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jc w:val="center"/>
        <w:rPr>
          <w:b/>
        </w:rPr>
      </w:pPr>
      <w:r>
        <w:rPr>
          <w:noProof/>
          <w:lang w:eastAsia="fr-FR"/>
        </w:rPr>
        <w:drawing>
          <wp:anchor distT="0" distB="0" distL="114300" distR="114300" simplePos="0" relativeHeight="251695104" behindDoc="0" locked="0" layoutInCell="1" allowOverlap="1">
            <wp:simplePos x="0" y="0"/>
            <wp:positionH relativeFrom="column">
              <wp:posOffset>20687</wp:posOffset>
            </wp:positionH>
            <wp:positionV relativeFrom="paragraph">
              <wp:posOffset>-356666</wp:posOffset>
            </wp:positionV>
            <wp:extent cx="1556048" cy="986155"/>
            <wp:effectExtent l="171450" t="228600" r="177800" b="1509395"/>
            <wp:wrapNone/>
            <wp:docPr id="5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20945001">
                      <a:off x="0" y="0"/>
                      <a:ext cx="1556048" cy="986155"/>
                    </a:xfrm>
                    <a:prstGeom prst="roundRect">
                      <a:avLst>
                        <a:gd name="adj" fmla="val 4167"/>
                      </a:avLst>
                    </a:prstGeom>
                    <a:solidFill>
                      <a:srgbClr val="FFFFFF"/>
                    </a:solidFill>
                    <a:ln w="76200" cap="sq">
                      <a:solidFill>
                        <a:srgbClr val="EAEAEA"/>
                      </a:solidFill>
                      <a:miter lim="800000"/>
                    </a:ln>
                    <a:effectLst>
                      <a:reflection blurRad="6350" stA="50000" endA="295" endPos="92000" dist="1016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Pr>
          <w:b/>
          <w:noProof/>
          <w:sz w:val="32"/>
          <w:szCs w:val="32"/>
          <w:lang w:eastAsia="fr-FR"/>
        </w:rPr>
        <w:drawing>
          <wp:anchor distT="0" distB="0" distL="114300" distR="114300" simplePos="0" relativeHeight="251696128" behindDoc="0" locked="0" layoutInCell="1" allowOverlap="1">
            <wp:simplePos x="0" y="0"/>
            <wp:positionH relativeFrom="column">
              <wp:posOffset>5089525</wp:posOffset>
            </wp:positionH>
            <wp:positionV relativeFrom="paragraph">
              <wp:posOffset>83185</wp:posOffset>
            </wp:positionV>
            <wp:extent cx="693420" cy="754380"/>
            <wp:effectExtent l="0" t="0" r="0" b="762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_RDP_CISIR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420" cy="754380"/>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t>Glossaire</w:t>
      </w:r>
    </w:p>
    <w:p>
      <w:pPr>
        <w:pStyle w:val="Titre1"/>
        <w:ind w:left="2832" w:firstLine="708"/>
        <w:rPr>
          <w:b/>
          <w:sz w:val="32"/>
          <w:szCs w:val="32"/>
        </w:rPr>
      </w:pPr>
      <w:r>
        <w:rPr>
          <w:noProof/>
          <w:lang w:eastAsia="fr-FR"/>
        </w:rPr>
        <mc:AlternateContent>
          <mc:Choice Requires="wps">
            <w:drawing>
              <wp:anchor distT="0" distB="0" distL="114300" distR="114300" simplePos="0" relativeHeight="251701248" behindDoc="0" locked="0" layoutInCell="1" allowOverlap="1">
                <wp:simplePos x="0" y="0"/>
                <wp:positionH relativeFrom="column">
                  <wp:posOffset>448359</wp:posOffset>
                </wp:positionH>
                <wp:positionV relativeFrom="paragraph">
                  <wp:posOffset>340067</wp:posOffset>
                </wp:positionV>
                <wp:extent cx="1875692" cy="1383323"/>
                <wp:effectExtent l="400050" t="57150" r="67945" b="121920"/>
                <wp:wrapNone/>
                <wp:docPr id="48" name="Étoile à 10 branches 48"/>
                <wp:cNvGraphicFramePr/>
                <a:graphic xmlns:a="http://schemas.openxmlformats.org/drawingml/2006/main">
                  <a:graphicData uri="http://schemas.microsoft.com/office/word/2010/wordprocessingShape">
                    <wps:wsp>
                      <wps:cNvSpPr/>
                      <wps:spPr>
                        <a:xfrm>
                          <a:off x="0" y="0"/>
                          <a:ext cx="1875692" cy="1383323"/>
                        </a:xfrm>
                        <a:prstGeom prst="star10">
                          <a:avLst>
                            <a:gd name="adj" fmla="val 30907"/>
                            <a:gd name="hf" fmla="val 105146"/>
                          </a:avLst>
                        </a:prstGeom>
                        <a:solidFill>
                          <a:schemeClr val="accent1">
                            <a:lumMod val="20000"/>
                            <a:lumOff val="80000"/>
                          </a:schemeClr>
                        </a:solidFill>
                        <a:effectLst>
                          <a:outerShdw blurRad="76200" dir="13500000" sy="23000" kx="1200000" algn="br" rotWithShape="0">
                            <a:prstClr val="black">
                              <a:alpha val="2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sz w:val="28"/>
                                <w:szCs w:val="28"/>
                              </w:rPr>
                            </w:pPr>
                          </w:p>
                        </w:txbxContent>
                      </wps:txbx>
                      <wps:bodyPr rot="0" spcFirstLastPara="1" vertOverflow="overflow" horzOverflow="overflow" vert="horz" wrap="square" lIns="91440" tIns="45720" rIns="91440" bIns="45720" numCol="1" spcCol="0" rtlCol="0" fromWordArt="0" anchor="ctr" anchorCtr="0" forceAA="0" compatLnSpc="1">
                        <a:prstTxWarp prst="textCircle">
                          <a:avLst>
                            <a:gd name="adj" fmla="val 10795616"/>
                          </a:avLst>
                        </a:prstTxWarp>
                        <a:noAutofit/>
                      </wps:bodyPr>
                    </wps:wsp>
                  </a:graphicData>
                </a:graphic>
                <wp14:sizeRelH relativeFrom="margin">
                  <wp14:pctWidth>0</wp14:pctWidth>
                </wp14:sizeRelH>
                <wp14:sizeRelV relativeFrom="margin">
                  <wp14:pctHeight>0</wp14:pctHeight>
                </wp14:sizeRelV>
              </wp:anchor>
            </w:drawing>
          </mc:Choice>
          <mc:Fallback>
            <w:pict>
              <v:shape w14:anchorId="785BF990" id="Étoile à 10 branches 48" o:spid="_x0000_s1026" style="position:absolute;left:0;text-align:left;margin-left:35.3pt;margin-top:26.8pt;width:147.7pt;height:108.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5692,13833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" adj="-11796480,,5400" path="m-1,477924l444706,440356,358222,132094,749482,285042,937846,r188364,285042l1517470,132094r-86484,308262l1875693,477924,1547399,691662r328294,213737l1430986,942967r86484,308262l1126210,1098281,937846,1383323,749482,1098281,358222,1251229,444706,942967,-1,905399,328293,691662,-1,477924xe" fillcolor="#deeaf6 [660]" strokecolor="#1f4d78 [1604]" strokeweight="1pt">
                <v:stroke joinstyle="miter"/>
                <v:shadow on="t" type="perspective" color="black" opacity="13107f" origin=".5,.5" offset="0,0" matrix=",23853f,,15073f"/>
                <v:formulas/>
                <v:path arrowok="t" o:connecttype="custom" o:connectlocs="-1,477924;444706,440356;358222,132094;749482,285042;937846,0;1126210,285042;1517470,132094;1430986,440356;1875693,477924;1547399,691662;1875693,905399;1430986,942967;1517470,1251229;1126210,1098281;937846,1383323;749482,1098281;358222,1251229;444706,942967;-1,905399;328293,691662;-1,477924" o:connectangles="0,0,0,0,0,0,0,0,0,0,0,0,0,0,0,0,0,0,0,0,0" textboxrect="0,0,1875692,1383323"/>
                <v:textbox>
                  <w:txbxContent>
                    <w:p w14:paraId="6C1189CC" w14:textId="49FEB10E" w:rsidR="006678BE" w:rsidRPr="006678BE" w:rsidRDefault="006678BE" w:rsidP="006678BE">
                      <w:pPr>
                        <w:jc w:val="center"/>
                        <w:rPr>
                          <w:rFonts w:ascii="Arial" w:hAnsi="Arial" w:cs="Arial"/>
                          <w:sz w:val="28"/>
                          <w:szCs w:val="28"/>
                        </w:rPr>
                      </w:pPr>
                    </w:p>
                  </w:txbxContent>
                </v:textbox>
              </v:shape>
            </w:pict>
          </mc:Fallback>
        </mc:AlternateContent>
      </w:r>
      <w:r>
        <w:rPr>
          <w:b/>
          <w:sz w:val="32"/>
          <w:szCs w:val="32"/>
        </w:rPr>
        <w:t xml:space="preserve">  Edition 2021</w:t>
      </w:r>
    </w:p>
    <w:p>
      <w:r>
        <w:rPr>
          <w:noProof/>
          <w:lang w:eastAsia="fr-FR"/>
        </w:rPr>
        <mc:AlternateContent>
          <mc:Choice Requires="wps">
            <w:drawing>
              <wp:anchor distT="0" distB="0" distL="114300" distR="114300" simplePos="0" relativeHeight="251702272" behindDoc="0" locked="0" layoutInCell="1" allowOverlap="1">
                <wp:simplePos x="0" y="0"/>
                <wp:positionH relativeFrom="column">
                  <wp:posOffset>591505</wp:posOffset>
                </wp:positionH>
                <wp:positionV relativeFrom="paragraph">
                  <wp:posOffset>305429</wp:posOffset>
                </wp:positionV>
                <wp:extent cx="1555115" cy="773430"/>
                <wp:effectExtent l="0" t="0" r="0" b="7620"/>
                <wp:wrapNone/>
                <wp:docPr id="49" name="Zone de texte 49"/>
                <wp:cNvGraphicFramePr/>
                <a:graphic xmlns:a="http://schemas.openxmlformats.org/drawingml/2006/main">
                  <a:graphicData uri="http://schemas.microsoft.com/office/word/2010/wordprocessingShape">
                    <wps:wsp>
                      <wps:cNvSpPr txBox="1"/>
                      <wps:spPr>
                        <a:xfrm>
                          <a:off x="0" y="0"/>
                          <a:ext cx="1555115" cy="773430"/>
                        </a:xfrm>
                        <a:prstGeom prst="rect">
                          <a:avLst/>
                        </a:prstGeom>
                        <a:noFill/>
                        <a:ln w="6350">
                          <a:noFill/>
                        </a:ln>
                        <a:effectLst>
                          <a:softEdge rad="12700"/>
                        </a:effectLst>
                      </wps:spPr>
                      <wps:style>
                        <a:lnRef idx="0">
                          <a:schemeClr val="accent1"/>
                        </a:lnRef>
                        <a:fillRef idx="0">
                          <a:schemeClr val="accent1"/>
                        </a:fillRef>
                        <a:effectRef idx="0">
                          <a:schemeClr val="accent1"/>
                        </a:effectRef>
                        <a:fontRef idx="minor">
                          <a:schemeClr val="dk1"/>
                        </a:fontRef>
                      </wps:style>
                      <wps:txbx>
                        <w:txbxContent>
                          <w:p>
                            <w:pPr>
                              <w:spacing w:before="0" w:after="0"/>
                              <w:jc w:val="center"/>
                              <w:rPr>
                                <w:b/>
                                <w:color w:val="C00000"/>
                                <w14:glow w14:rad="101600">
                                  <w14:schemeClr w14:val="accent1">
                                    <w14:alpha w14:val="60000"/>
                                    <w14:satMod w14:val="175000"/>
                                  </w14:schemeClr>
                                </w14:glow>
                                <w14:props3d w14:extrusionH="57150" w14:contourW="0" w14:prstMaterial="warmMatte">
                                  <w14:bevelT w14:w="38100" w14:h="38100" w14:prst="circle"/>
                                </w14:props3d>
                              </w:rPr>
                            </w:pPr>
                            <w:r>
                              <w:rPr>
                                <w:b/>
                                <w:color w:val="C00000"/>
                                <w14:glow w14:rad="101600">
                                  <w14:schemeClr w14:val="accent1">
                                    <w14:alpha w14:val="60000"/>
                                    <w14:satMod w14:val="175000"/>
                                  </w14:schemeClr>
                                </w14:glow>
                                <w14:props3d w14:extrusionH="57150" w14:contourW="0" w14:prstMaterial="warmMatte">
                                  <w14:bevelT w14:w="38100" w14:h="38100" w14:prst="circle"/>
                                </w14:props3d>
                              </w:rPr>
                              <w:t>NOUVELLES DEFINITIONS</w:t>
                            </w:r>
                          </w:p>
                          <w:p>
                            <w:pPr>
                              <w:jc w:val="center"/>
                              <w:rPr>
                                <w:b/>
                                <w:color w:val="C00000"/>
                                <w14:glow w14:rad="101600">
                                  <w14:schemeClr w14:val="accent1">
                                    <w14:alpha w14:val="60000"/>
                                    <w14:satMod w14:val="175000"/>
                                  </w14:schemeClr>
                                </w14:glow>
                                <w14:props3d w14:extrusionH="57150" w14:contourW="0" w14:prstMaterial="warmMatte">
                                  <w14:bevelT w14:w="38100" w14:h="38100" w14:prst="circle"/>
                                </w14:props3d>
                              </w:rPr>
                            </w:pPr>
                            <w:r>
                              <w:rPr>
                                <w:b/>
                                <w:color w:val="C00000"/>
                                <w14:glow w14:rad="101600">
                                  <w14:schemeClr w14:val="accent1">
                                    <w14:alpha w14:val="60000"/>
                                    <w14:satMod w14:val="175000"/>
                                  </w14:schemeClr>
                                </w14:glow>
                                <w14:props3d w14:extrusionH="57150" w14:contourW="0" w14:prstMaterial="warmMatte">
                                  <w14:bevelT w14:w="38100" w14:h="38100" w14:prst="circle"/>
                                </w14:props3d>
                              </w:rPr>
                              <w:t>PROPOSEES PAR CETTE EDITION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0</wp14:pctHeight>
                </wp14:sizeRelV>
              </wp:anchor>
            </w:drawing>
          </mc:Choice>
          <mc:Fallback>
            <w:pict>
              <v:shapetype w14:anchorId="31BFE323" id="_x0000_t202" coordsize="21600,21600" o:spt="202" path="m,l,21600r21600,l21600,xe">
                <v:stroke joinstyle="miter"/>
                <v:path gradientshapeok="t" o:connecttype="rect"/>
              </v:shapetype>
              <v:shape id="Zone de texte 49" o:spid="_x0000_s1027" type="#_x0000_t202" style="position:absolute;margin-left:46.6pt;margin-top:24.05pt;width:122.45pt;height:6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" filled="f" stroked="f" strokeweight=".5pt">
                <v:textbox>
                  <w:txbxContent>
                    <w:p w14:paraId="0F7E95A3" w14:textId="77777777" w:rsidR="007929C3" w:rsidRPr="00DB3CC3" w:rsidRDefault="00F037D1" w:rsidP="007929C3">
                      <w:pPr>
                        <w:spacing w:before="0" w:after="0"/>
                        <w:jc w:val="center"/>
                        <w:rPr>
                          <w:b/>
                          <w:color w:val="C00000"/>
                          <w14:glow w14:rad="101600">
                            <w14:schemeClr w14:val="accent1">
                              <w14:alpha w14:val="60000"/>
                              <w14:satMod w14:val="175000"/>
                            </w14:schemeClr>
                          </w14:glow>
                          <w14:props3d w14:extrusionH="57150" w14:contourW="0" w14:prstMaterial="warmMatte">
                            <w14:bevelT w14:w="38100" w14:h="38100" w14:prst="circle"/>
                          </w14:props3d>
                        </w:rPr>
                      </w:pPr>
                      <w:r w:rsidRPr="00DB3CC3">
                        <w:rPr>
                          <w:b/>
                          <w:color w:val="C00000"/>
                          <w14:glow w14:rad="101600">
                            <w14:schemeClr w14:val="accent1">
                              <w14:alpha w14:val="60000"/>
                              <w14:satMod w14:val="175000"/>
                            </w14:schemeClr>
                          </w14:glow>
                          <w14:props3d w14:extrusionH="57150" w14:contourW="0" w14:prstMaterial="warmMatte">
                            <w14:bevelT w14:w="38100" w14:h="38100" w14:prst="circle"/>
                          </w14:props3d>
                        </w:rPr>
                        <w:t>NOUVELLES DEFINITIONS</w:t>
                      </w:r>
                    </w:p>
                    <w:p w14:paraId="5D7C2286" w14:textId="1011ED0D" w:rsidR="00F037D1" w:rsidRPr="00DB3CC3" w:rsidRDefault="009962EA" w:rsidP="007929C3">
                      <w:pPr>
                        <w:jc w:val="center"/>
                        <w:rPr>
                          <w:b/>
                          <w:color w:val="C00000"/>
                          <w14:glow w14:rad="101600">
                            <w14:schemeClr w14:val="accent1">
                              <w14:alpha w14:val="60000"/>
                              <w14:satMod w14:val="175000"/>
                            </w14:schemeClr>
                          </w14:glow>
                          <w14:props3d w14:extrusionH="57150" w14:contourW="0" w14:prstMaterial="warmMatte">
                            <w14:bevelT w14:w="38100" w14:h="38100" w14:prst="circle"/>
                          </w14:props3d>
                        </w:rPr>
                      </w:pPr>
                      <w:r w:rsidRPr="00DB3CC3">
                        <w:rPr>
                          <w:b/>
                          <w:color w:val="C00000"/>
                          <w14:glow w14:rad="101600">
                            <w14:schemeClr w14:val="accent1">
                              <w14:alpha w14:val="60000"/>
                              <w14:satMod w14:val="175000"/>
                            </w14:schemeClr>
                          </w14:glow>
                          <w14:props3d w14:extrusionH="57150" w14:contourW="0" w14:prstMaterial="warmMatte">
                            <w14:bevelT w14:w="38100" w14:h="38100" w14:prst="circle"/>
                          </w14:props3d>
                        </w:rPr>
                        <w:t>PROPOSEES PAR</w:t>
                      </w:r>
                      <w:r w:rsidR="007929C3" w:rsidRPr="00DB3CC3">
                        <w:rPr>
                          <w:b/>
                          <w:color w:val="C00000"/>
                          <w14:glow w14:rad="101600">
                            <w14:schemeClr w14:val="accent1">
                              <w14:alpha w14:val="60000"/>
                              <w14:satMod w14:val="175000"/>
                            </w14:schemeClr>
                          </w14:glow>
                          <w14:props3d w14:extrusionH="57150" w14:contourW="0" w14:prstMaterial="warmMatte">
                            <w14:bevelT w14:w="38100" w14:h="38100" w14:prst="circle"/>
                          </w14:props3d>
                        </w:rPr>
                        <w:t xml:space="preserve"> CETTE EDITION :</w:t>
                      </w:r>
                    </w:p>
                  </w:txbxContent>
                </v:textbox>
              </v:shape>
            </w:pict>
          </mc:Fallback>
        </mc:AlternateContent>
      </w:r>
    </w:p>
    <w:p>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2304171</wp:posOffset>
                </wp:positionH>
                <wp:positionV relativeFrom="paragraph">
                  <wp:posOffset>92417</wp:posOffset>
                </wp:positionV>
                <wp:extent cx="3171039" cy="587229"/>
                <wp:effectExtent l="0" t="0" r="0" b="3810"/>
                <wp:wrapNone/>
                <wp:docPr id="51" name="Zone de texte 51"/>
                <wp:cNvGraphicFramePr/>
                <a:graphic xmlns:a="http://schemas.openxmlformats.org/drawingml/2006/main">
                  <a:graphicData uri="http://schemas.microsoft.com/office/word/2010/wordprocessingShape">
                    <wps:wsp>
                      <wps:cNvSpPr txBox="1"/>
                      <wps:spPr>
                        <a:xfrm>
                          <a:off x="0" y="0"/>
                          <a:ext cx="3171039" cy="5872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color w:val="5B9BD5" w:themeColor="accent1"/>
                                <w:sz w:val="22"/>
                                <w:szCs w:val="22"/>
                              </w:rPr>
                            </w:pPr>
                            <w:r>
                              <w:rPr>
                                <w:rFonts w:ascii="Times New Roman" w:hAnsi="Times New Roman" w:cs="Times New Roman"/>
                                <w:color w:val="5B9BD5" w:themeColor="accent1"/>
                                <w:sz w:val="22"/>
                                <w:szCs w:val="22"/>
                              </w:rPr>
                              <w:t>Abattement, frais de déplacement temporaire, proratisation, segmentation, incompatibilités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68A39" id="_x0000_t202" coordsize="21600,21600" o:spt="202" path="m,l,21600r21600,l21600,xe">
                <v:stroke joinstyle="miter"/>
                <v:path gradientshapeok="t" o:connecttype="rect"/>
              </v:shapetype>
              <v:shape id="Zone de texte 51" o:spid="_x0000_s1027" type="#_x0000_t202" style="position:absolute;margin-left:181.45pt;margin-top:7.3pt;width:249.7pt;height:4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" filled="f" stroked="f" strokeweight=".5pt">
                <v:textbox>
                  <w:txbxContent>
                    <w:p w14:paraId="71750F8B" w14:textId="4308F00C" w:rsidR="00D30548" w:rsidRPr="00D30548" w:rsidRDefault="00D30548">
                      <w:pPr>
                        <w:rPr>
                          <w:rFonts w:ascii="Times New Roman" w:hAnsi="Times New Roman" w:cs="Times New Roman"/>
                          <w:color w:val="5B9BD5" w:themeColor="accent1"/>
                          <w:sz w:val="22"/>
                          <w:szCs w:val="22"/>
                        </w:rPr>
                      </w:pPr>
                      <w:r w:rsidRPr="00D30548">
                        <w:rPr>
                          <w:rFonts w:ascii="Times New Roman" w:hAnsi="Times New Roman" w:cs="Times New Roman"/>
                          <w:color w:val="5B9BD5" w:themeColor="accent1"/>
                          <w:sz w:val="22"/>
                          <w:szCs w:val="22"/>
                        </w:rPr>
                        <w:t>Abattement, frais de déplacement temporaire, proratisation, segmentation, incompatibilités</w:t>
                      </w:r>
                    </w:p>
                  </w:txbxContent>
                </v:textbox>
              </v:shape>
            </w:pict>
          </mc:Fallback>
        </mc:AlternateContent>
      </w:r>
      <w:r>
        <w:rPr>
          <w:noProof/>
          <w:lang w:eastAsia="fr-FR"/>
        </w:rPr>
        <mc:AlternateContent>
          <mc:Choice Requires="wps">
            <w:drawing>
              <wp:anchor distT="0" distB="0" distL="114300" distR="114300" simplePos="0" relativeHeight="251657214" behindDoc="0" locked="0" layoutInCell="1" allowOverlap="1">
                <wp:simplePos x="0" y="0"/>
                <wp:positionH relativeFrom="column">
                  <wp:posOffset>2141721</wp:posOffset>
                </wp:positionH>
                <wp:positionV relativeFrom="paragraph">
                  <wp:posOffset>171450</wp:posOffset>
                </wp:positionV>
                <wp:extent cx="2977574" cy="410845"/>
                <wp:effectExtent l="57150" t="38100" r="51435" b="84455"/>
                <wp:wrapNone/>
                <wp:docPr id="50" name="Rogner un rectangle avec un coin diagonal 50"/>
                <wp:cNvGraphicFramePr/>
                <a:graphic xmlns:a="http://schemas.openxmlformats.org/drawingml/2006/main">
                  <a:graphicData uri="http://schemas.microsoft.com/office/word/2010/wordprocessingShape">
                    <wps:wsp>
                      <wps:cNvSpPr/>
                      <wps:spPr>
                        <a:xfrm>
                          <a:off x="0" y="0"/>
                          <a:ext cx="2977574" cy="410845"/>
                        </a:xfrm>
                        <a:prstGeom prst="snip2DiagRect">
                          <a:avLst>
                            <a:gd name="adj1" fmla="val 50000"/>
                            <a:gd name="adj2" fmla="val 0"/>
                          </a:avLst>
                        </a:prstGeom>
                        <a:solidFill>
                          <a:schemeClr val="accent1">
                            <a:lumMod val="20000"/>
                            <a:lumOff val="80000"/>
                          </a:schemeClr>
                        </a:soli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14700A" id="Rogner un rectangle avec un coin diagonal 50" o:spid="_x0000_s1026" style="position:absolute;margin-left:168.65pt;margin-top:13.5pt;width:234.45pt;height:32.3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77574,4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" path="m205423,l2977574,r,l2977574,205423,2772152,410845,,410845r,l,205423,205423,xe" fillcolor="#deeaf6 [660]" stroked="f">
                <v:shadow on="t" color="black" opacity="41287f" offset="0,1.5pt"/>
                <v:path arrowok="t" o:connecttype="custom" o:connectlocs="205423,0;2977574,0;2977574,0;2977574,205423;2772152,410845;0,410845;0,410845;0,205423;205423,0" o:connectangles="0,0,0,0,0,0,0,0,0"/>
              </v:shape>
            </w:pict>
          </mc:Fallback>
        </mc:AlternateContent>
      </w:r>
    </w:p>
    <w:p>
      <w:pPr>
        <w:pStyle w:val="NormalWeb"/>
      </w:pPr>
    </w:p>
    <w:p>
      <w:pPr>
        <w:pStyle w:val="NormalWeb"/>
      </w:pPr>
    </w:p>
    <w:p>
      <w:pPr>
        <w:pStyle w:val="NormalWeb"/>
      </w:pPr>
    </w:p>
    <w:p>
      <w:pPr>
        <w:pStyle w:val="NormalWeb"/>
      </w:pPr>
    </w:p>
    <w:p>
      <w:pPr>
        <w:pStyle w:val="NormalWeb"/>
        <w:numPr>
          <w:ilvl w:val="0"/>
          <w:numId w:val="13"/>
        </w:numPr>
      </w:pPr>
      <w:r>
        <w:t>Ce document a vocation à définir les termes utilisés dans le Référentiel de PAYE (RDP). Ces définitions sont de nature différente : réglementaire, métier, outil (INGRES).</w:t>
      </w:r>
    </w:p>
    <w:p>
      <w:pPr>
        <w:pStyle w:val="NormalWeb"/>
        <w:ind w:left="862"/>
      </w:pPr>
    </w:p>
    <w:p>
      <w:pPr>
        <w:pStyle w:val="NormalWeb"/>
        <w:numPr>
          <w:ilvl w:val="0"/>
          <w:numId w:val="13"/>
        </w:numPr>
      </w:pPr>
      <w:r>
        <w:t>Ce glossaire  permet une meilleure lisibilité et facilite la compréhension des fiches RDP et des séquences indemnitaires du chatbot Rebecca.</w:t>
      </w:r>
    </w:p>
    <w:p>
      <w:pPr>
        <w:pStyle w:val="NormalWeb"/>
      </w:pPr>
      <w:r>
        <w:rPr>
          <w:noProof/>
        </w:rPr>
        <w:drawing>
          <wp:anchor distT="0" distB="0" distL="114300" distR="114300" simplePos="0" relativeHeight="251660288" behindDoc="0" locked="0" layoutInCell="1" allowOverlap="1">
            <wp:simplePos x="0" y="0"/>
            <wp:positionH relativeFrom="column">
              <wp:posOffset>7996</wp:posOffset>
            </wp:positionH>
            <wp:positionV relativeFrom="paragraph">
              <wp:posOffset>127388</wp:posOffset>
            </wp:positionV>
            <wp:extent cx="436815" cy="510279"/>
            <wp:effectExtent l="0" t="0" r="1905" b="444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ssa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815" cy="51027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251237</wp:posOffset>
                </wp:positionV>
                <wp:extent cx="5748457" cy="396046"/>
                <wp:effectExtent l="0" t="0" r="24130" b="23495"/>
                <wp:wrapNone/>
                <wp:docPr id="1" name="Arrondir un rectangle avec un coin du même côté 1"/>
                <wp:cNvGraphicFramePr/>
                <a:graphic xmlns:a="http://schemas.openxmlformats.org/drawingml/2006/main">
                  <a:graphicData uri="http://schemas.microsoft.com/office/word/2010/wordprocessingShape">
                    <wps:wsp>
                      <wps:cNvSpPr/>
                      <wps:spPr>
                        <a:xfrm>
                          <a:off x="0" y="0"/>
                          <a:ext cx="5748457" cy="396046"/>
                        </a:xfrm>
                        <a:prstGeom prst="round2Same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b/>
                                <w:color w:val="8EAADB" w:themeColor="accent5" w:themeTint="99"/>
                                <w:sz w:val="28"/>
                                <w:szCs w:val="28"/>
                                <w14:shadow w14:blurRad="63500" w14:dist="50800" w14:dir="10800000" w14:sx="0" w14:sy="0" w14:kx="0" w14:ky="0" w14:algn="none">
                                  <w14:srgbClr w14:val="000000">
                                    <w14:alpha w14:val="15000"/>
                                  </w14:srgbClr>
                                </w14:shadow>
                              </w:rPr>
                            </w:pPr>
                            <w:r>
                              <w:rPr>
                                <w:b/>
                                <w:sz w:val="28"/>
                                <w:szCs w:val="28"/>
                                <w14:shadow w14:blurRad="63500" w14:dist="50800" w14:dir="10800000" w14:sx="0" w14:sy="0" w14:kx="0" w14:ky="0" w14:algn="none">
                                  <w14:srgbClr w14:val="000000">
                                    <w14:alpha w14:val="25000"/>
                                  </w14:srgbClr>
                                </w14:shadow>
                              </w:rPr>
                              <w:t xml:space="preserve">  </w:t>
                            </w:r>
                            <w:r>
                              <w:rPr>
                                <w:b/>
                                <w:sz w:val="28"/>
                                <w:szCs w:val="28"/>
                                <w14:shadow w14:blurRad="63500" w14:dist="50800" w14:dir="10800000" w14:sx="0" w14:sy="0" w14:kx="0" w14:ky="0" w14:algn="none">
                                  <w14:srgbClr w14:val="000000">
                                    <w14:alpha w14:val="25000"/>
                                  </w14:srgbClr>
                                </w14:shadow>
                              </w:rPr>
                              <w:tab/>
                            </w:r>
                            <w:r>
                              <w:rPr>
                                <w:b/>
                                <w:sz w:val="28"/>
                                <w:szCs w:val="28"/>
                                <w14:shadow w14:blurRad="63500" w14:dist="50800" w14:dir="10800000" w14:sx="0" w14:sy="0" w14:kx="0" w14:ky="0" w14:algn="none">
                                  <w14:srgbClr w14:val="000000">
                                    <w14:alpha w14:val="15000"/>
                                  </w14:srgb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Répertoire</w:t>
                            </w:r>
                          </w:p>
                          <w:p>
                            <w:pPr>
                              <w:rPr>
                                <w:color w:val="002060"/>
                                <w14:shadow w14:blurRad="114300" w14:dist="25400" w14:dir="1800000" w14:sx="0" w14:sy="0" w14:kx="0" w14:ky="0" w14:algn="none">
                                  <w14:schemeClr w14:val="accent2">
                                    <w14:lumMod w14:val="50000"/>
                                  </w14:schemeClr>
                                </w14:shadow>
                              </w:rPr>
                            </w:pPr>
                          </w:p>
                          <w:p>
                            <w:pPr>
                              <w:rPr>
                                <w:color w:val="002060"/>
                                <w14:shadow w14:blurRad="114300" w14:dist="25400" w14:dir="1800000" w14:sx="0" w14:sy="0" w14:kx="0" w14:ky="0" w14:algn="none">
                                  <w14:schemeClr w14:val="accent2">
                                    <w14:lumMod w14:val="50000"/>
                                  </w14:scheme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5935" id="Arrondir un rectangle avec un coin du même côté 1" o:spid="_x0000_s1026" style="position:absolute;margin-left:0;margin-top:19.8pt;width:452.65pt;height:3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8457,3960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" adj="-11796480,,5400" path="m66009,l5682448,v36456,,66009,29553,66009,66009l5748457,396046r,l,396046r,l,66009c,29553,29553,,66009,xe" fillcolor="white [3212]" strokecolor="#1f4d78 [1604]" strokeweight="1pt">
                <v:stroke joinstyle="miter"/>
                <v:formulas/>
                <v:path arrowok="t" o:connecttype="custom" o:connectlocs="66009,0;5682448,0;5748457,66009;5748457,396046;5748457,396046;0,396046;0,396046;0,66009;66009,0" o:connectangles="0,0,0,0,0,0,0,0,0" textboxrect="0,0,5748457,396046"/>
                <v:textbox>
                  <w:txbxContent>
                    <w:p w14:paraId="57CDE3A8" w14:textId="77777777" w:rsidR="00316188" w:rsidRPr="00846681" w:rsidRDefault="00316188" w:rsidP="00846681">
                      <w:pPr>
                        <w:rPr>
                          <w:b/>
                          <w:color w:val="8EAADB" w:themeColor="accent5" w:themeTint="99"/>
                          <w:sz w:val="28"/>
                          <w:szCs w:val="28"/>
                          <w14:shadow w14:blurRad="63500" w14:dist="50800" w14:dir="10800000" w14:sx="0" w14:sy="0" w14:kx="0" w14:ky="0" w14:algn="none">
                            <w14:srgbClr w14:val="000000">
                              <w14:alpha w14:val="15000"/>
                            </w14:srgbClr>
                          </w14:shadow>
                        </w:rPr>
                      </w:pPr>
                      <w:r>
                        <w:rPr>
                          <w:b/>
                          <w:sz w:val="28"/>
                          <w:szCs w:val="28"/>
                          <w14:shadow w14:blurRad="63500" w14:dist="50800" w14:dir="10800000" w14:sx="0" w14:sy="0" w14:kx="0" w14:ky="0" w14:algn="none">
                            <w14:srgbClr w14:val="000000">
                              <w14:alpha w14:val="25000"/>
                            </w14:srgbClr>
                          </w14:shadow>
                        </w:rPr>
                        <w:t xml:space="preserve">  </w:t>
                      </w:r>
                      <w:r>
                        <w:rPr>
                          <w:b/>
                          <w:sz w:val="28"/>
                          <w:szCs w:val="28"/>
                          <w14:shadow w14:blurRad="63500" w14:dist="50800" w14:dir="10800000" w14:sx="0" w14:sy="0" w14:kx="0" w14:ky="0" w14:algn="none">
                            <w14:srgbClr w14:val="000000">
                              <w14:alpha w14:val="25000"/>
                            </w14:srgbClr>
                          </w14:shadow>
                        </w:rPr>
                        <w:tab/>
                      </w:r>
                      <w:r w:rsidRPr="006A61D3">
                        <w:rPr>
                          <w:b/>
                          <w:sz w:val="28"/>
                          <w:szCs w:val="28"/>
                          <w14:shadow w14:blurRad="63500" w14:dist="50800" w14:dir="10800000" w14:sx="0" w14:sy="0" w14:kx="0" w14:ky="0" w14:algn="none">
                            <w14:srgbClr w14:val="000000">
                              <w14:alpha w14:val="15000"/>
                            </w14:srgb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Répertoire</w:t>
                      </w:r>
                    </w:p>
                    <w:p w14:paraId="10A380CC" w14:textId="77777777" w:rsidR="00316188" w:rsidRDefault="00316188" w:rsidP="00B45B53">
                      <w:pPr>
                        <w:rPr>
                          <w:color w:val="002060"/>
                          <w14:shadow w14:blurRad="114300" w14:dist="25400" w14:dir="1800000" w14:sx="0" w14:sy="0" w14:kx="0" w14:ky="0" w14:algn="none">
                            <w14:schemeClr w14:val="accent2">
                              <w14:lumMod w14:val="50000"/>
                            </w14:schemeClr>
                          </w14:shadow>
                        </w:rPr>
                      </w:pPr>
                    </w:p>
                    <w:p w14:paraId="6B90D7A4" w14:textId="77777777" w:rsidR="00316188" w:rsidRPr="00B45B53" w:rsidRDefault="00316188" w:rsidP="00B45B53">
                      <w:pPr>
                        <w:rPr>
                          <w:color w:val="002060"/>
                          <w14:shadow w14:blurRad="114300" w14:dist="25400" w14:dir="1800000" w14:sx="0" w14:sy="0" w14:kx="0" w14:ky="0" w14:algn="none">
                            <w14:schemeClr w14:val="accent2">
                              <w14:lumMod w14:val="50000"/>
                            </w14:schemeClr>
                          </w14:shadow>
                        </w:rPr>
                      </w:pPr>
                    </w:p>
                  </w:txbxContent>
                </v:textbox>
                <w10:wrap anchorx="margin"/>
              </v:shape>
            </w:pict>
          </mc:Fallback>
        </mc:AlternateContent>
      </w:r>
    </w:p>
    <w:p/>
    <w:tbl>
      <w:tblPr>
        <w:tblStyle w:val="Grilledutableau"/>
        <w:tblW w:w="0" w:type="auto"/>
        <w:shd w:val="pct5" w:color="1F3864" w:themeColor="accent5" w:themeShade="80" w:fill="auto"/>
        <w:tblLook w:val="04A0" w:firstRow="1" w:lastRow="0" w:firstColumn="1" w:lastColumn="0" w:noHBand="0" w:noVBand="1"/>
      </w:tblPr>
      <w:tblGrid>
        <w:gridCol w:w="713"/>
        <w:gridCol w:w="711"/>
        <w:gridCol w:w="701"/>
        <w:gridCol w:w="702"/>
        <w:gridCol w:w="694"/>
        <w:gridCol w:w="702"/>
        <w:gridCol w:w="700"/>
        <w:gridCol w:w="700"/>
        <w:gridCol w:w="693"/>
        <w:gridCol w:w="700"/>
        <w:gridCol w:w="697"/>
        <w:gridCol w:w="680"/>
        <w:gridCol w:w="669"/>
      </w:tblGrid>
      <w:tr>
        <w:trPr>
          <w:trHeight w:val="420"/>
        </w:trPr>
        <w:tc>
          <w:tcPr>
            <w:tcW w:w="713" w:type="dxa"/>
            <w:tcBorders>
              <w:top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A" w:history="1">
              <w:r>
                <w:rPr>
                  <w:rStyle w:val="Lienhypertexte"/>
                </w:rPr>
                <w:t>A</w:t>
              </w:r>
            </w:hyperlink>
          </w:p>
        </w:tc>
        <w:tc>
          <w:tcPr>
            <w:tcW w:w="711"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Barême_:" w:history="1">
              <w:r>
                <w:rPr>
                  <w:rStyle w:val="Lienhypertexte"/>
                </w:rPr>
                <w:t>B</w:t>
              </w:r>
            </w:hyperlink>
          </w:p>
        </w:tc>
        <w:tc>
          <w:tcPr>
            <w:tcW w:w="701"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C" w:history="1">
              <w:r>
                <w:rPr>
                  <w:rStyle w:val="Lienhypertexte"/>
                </w:rPr>
                <w:t>C</w:t>
              </w:r>
            </w:hyperlink>
          </w:p>
        </w:tc>
        <w:tc>
          <w:tcPr>
            <w:tcW w:w="702"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D" w:history="1">
              <w:r>
                <w:rPr>
                  <w:rStyle w:val="Lienhypertexte"/>
                </w:rPr>
                <w:t>D</w:t>
              </w:r>
            </w:hyperlink>
          </w:p>
        </w:tc>
        <w:tc>
          <w:tcPr>
            <w:tcW w:w="6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E" w:history="1">
              <w:r>
                <w:rPr>
                  <w:rStyle w:val="Lienhypertexte"/>
                </w:rPr>
                <w:t>E</w:t>
              </w:r>
            </w:hyperlink>
          </w:p>
        </w:tc>
        <w:tc>
          <w:tcPr>
            <w:tcW w:w="702"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F" w:history="1">
              <w:r>
                <w:rPr>
                  <w:rStyle w:val="Lienhypertexte"/>
                </w:rPr>
                <w:t>F</w:t>
              </w:r>
            </w:hyperlink>
            <w:r>
              <w:t xml:space="preserve"> </w:t>
            </w:r>
          </w:p>
        </w:tc>
        <w:tc>
          <w:tcPr>
            <w:tcW w:w="7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G</w:t>
            </w:r>
          </w:p>
        </w:tc>
        <w:tc>
          <w:tcPr>
            <w:tcW w:w="7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H</w:t>
            </w:r>
          </w:p>
        </w:tc>
        <w:tc>
          <w:tcPr>
            <w:tcW w:w="693"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I" w:history="1">
              <w:r>
                <w:rPr>
                  <w:rStyle w:val="Lienhypertexte"/>
                </w:rPr>
                <w:t>I</w:t>
              </w:r>
            </w:hyperlink>
          </w:p>
        </w:tc>
        <w:tc>
          <w:tcPr>
            <w:tcW w:w="7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J</w:t>
            </w:r>
          </w:p>
        </w:tc>
        <w:tc>
          <w:tcPr>
            <w:tcW w:w="697" w:type="dxa"/>
            <w:tcBorders>
              <w:top w:val="double" w:sz="4" w:space="0" w:color="4472C4" w:themeColor="accent5"/>
              <w:left w:val="double" w:sz="4" w:space="0" w:color="4472C4" w:themeColor="accent5"/>
              <w:bottom w:val="double" w:sz="4" w:space="0" w:color="4472C4" w:themeColor="accent5"/>
            </w:tcBorders>
            <w:shd w:val="clear" w:color="auto" w:fill="BDD6EE" w:themeFill="accent1" w:themeFillTint="66"/>
          </w:tcPr>
          <w:p>
            <w:pPr>
              <w:jc w:val="center"/>
            </w:pPr>
            <w:r>
              <w:t>K</w:t>
            </w:r>
          </w:p>
        </w:tc>
        <w:tc>
          <w:tcPr>
            <w:tcW w:w="680" w:type="dxa"/>
            <w:tcBorders>
              <w:top w:val="double" w:sz="4" w:space="0" w:color="4472C4" w:themeColor="accent5"/>
              <w:left w:val="double" w:sz="4" w:space="0" w:color="4472C4" w:themeColor="accent5"/>
              <w:bottom w:val="double" w:sz="4" w:space="0" w:color="4472C4" w:themeColor="accent5"/>
            </w:tcBorders>
            <w:shd w:val="clear" w:color="auto" w:fill="BDD6EE" w:themeFill="accent1" w:themeFillTint="66"/>
          </w:tcPr>
          <w:p>
            <w:pPr>
              <w:jc w:val="center"/>
            </w:pPr>
            <w:r>
              <w:t>L</w:t>
            </w:r>
          </w:p>
        </w:tc>
        <w:tc>
          <w:tcPr>
            <w:tcW w:w="669" w:type="dxa"/>
            <w:tcBorders>
              <w:top w:val="double" w:sz="4" w:space="0" w:color="4472C4" w:themeColor="accent5"/>
              <w:left w:val="double" w:sz="4" w:space="0" w:color="4472C4" w:themeColor="accent5"/>
              <w:bottom w:val="double" w:sz="4" w:space="0" w:color="4472C4" w:themeColor="accent5"/>
            </w:tcBorders>
            <w:shd w:val="clear" w:color="auto" w:fill="BDD6EE" w:themeFill="accent1" w:themeFillTint="66"/>
          </w:tcPr>
          <w:p>
            <w:pPr>
              <w:jc w:val="center"/>
            </w:pPr>
            <w:hyperlink w:anchor="_M" w:history="1">
              <w:r>
                <w:rPr>
                  <w:rStyle w:val="Lienhypertexte"/>
                </w:rPr>
                <w:t>M</w:t>
              </w:r>
            </w:hyperlink>
          </w:p>
        </w:tc>
      </w:tr>
      <w:tr>
        <w:trPr>
          <w:trHeight w:val="384"/>
        </w:trPr>
        <w:tc>
          <w:tcPr>
            <w:tcW w:w="713" w:type="dxa"/>
            <w:tcBorders>
              <w:top w:val="double" w:sz="4" w:space="0" w:color="4472C4" w:themeColor="accent5"/>
              <w:left w:val="single" w:sz="4" w:space="0" w:color="1F3864" w:themeColor="accent5" w:themeShade="80"/>
              <w:bottom w:val="double" w:sz="4" w:space="0" w:color="4472C4" w:themeColor="accent5"/>
              <w:right w:val="double" w:sz="4" w:space="0" w:color="4472C4" w:themeColor="accent5"/>
            </w:tcBorders>
            <w:shd w:val="clear" w:color="auto" w:fill="BDD6EE" w:themeFill="accent1" w:themeFillTint="66"/>
          </w:tcPr>
          <w:p>
            <w:pPr>
              <w:jc w:val="center"/>
            </w:pPr>
            <w:r>
              <w:t>N</w:t>
            </w:r>
          </w:p>
        </w:tc>
        <w:tc>
          <w:tcPr>
            <w:tcW w:w="711"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O</w:t>
            </w:r>
          </w:p>
        </w:tc>
        <w:tc>
          <w:tcPr>
            <w:tcW w:w="701"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P" w:history="1">
              <w:r>
                <w:rPr>
                  <w:rStyle w:val="Lienhypertexte"/>
                </w:rPr>
                <w:t>P</w:t>
              </w:r>
            </w:hyperlink>
          </w:p>
        </w:tc>
        <w:tc>
          <w:tcPr>
            <w:tcW w:w="702"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Q</w:t>
            </w:r>
          </w:p>
        </w:tc>
        <w:tc>
          <w:tcPr>
            <w:tcW w:w="694"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R" w:history="1">
              <w:r>
                <w:rPr>
                  <w:rStyle w:val="Lienhypertexte"/>
                </w:rPr>
                <w:t>R</w:t>
              </w:r>
            </w:hyperlink>
          </w:p>
        </w:tc>
        <w:tc>
          <w:tcPr>
            <w:tcW w:w="702"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S" w:history="1">
              <w:r>
                <w:rPr>
                  <w:rStyle w:val="Lienhypertexte"/>
                </w:rPr>
                <w:t>S</w:t>
              </w:r>
            </w:hyperlink>
          </w:p>
        </w:tc>
        <w:tc>
          <w:tcPr>
            <w:tcW w:w="7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T</w:t>
            </w:r>
          </w:p>
        </w:tc>
        <w:tc>
          <w:tcPr>
            <w:tcW w:w="7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U</w:t>
            </w:r>
          </w:p>
        </w:tc>
        <w:tc>
          <w:tcPr>
            <w:tcW w:w="693"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hyperlink w:anchor="_V" w:history="1">
              <w:r>
                <w:rPr>
                  <w:rStyle w:val="Lienhypertexte"/>
                </w:rPr>
                <w:t>V</w:t>
              </w:r>
            </w:hyperlink>
          </w:p>
        </w:tc>
        <w:tc>
          <w:tcPr>
            <w:tcW w:w="700"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BDD6EE" w:themeFill="accent1" w:themeFillTint="66"/>
          </w:tcPr>
          <w:p>
            <w:pPr>
              <w:jc w:val="center"/>
            </w:pPr>
            <w:r>
              <w:t>W</w:t>
            </w:r>
          </w:p>
        </w:tc>
        <w:tc>
          <w:tcPr>
            <w:tcW w:w="697" w:type="dxa"/>
            <w:tcBorders>
              <w:top w:val="double" w:sz="4" w:space="0" w:color="4472C4" w:themeColor="accent5"/>
              <w:left w:val="double" w:sz="4" w:space="0" w:color="4472C4" w:themeColor="accent5"/>
              <w:bottom w:val="double" w:sz="4" w:space="0" w:color="4472C4" w:themeColor="accent5"/>
            </w:tcBorders>
            <w:shd w:val="clear" w:color="auto" w:fill="BDD6EE" w:themeFill="accent1" w:themeFillTint="66"/>
          </w:tcPr>
          <w:p>
            <w:pPr>
              <w:jc w:val="center"/>
            </w:pPr>
            <w:r>
              <w:t>X</w:t>
            </w:r>
          </w:p>
        </w:tc>
        <w:tc>
          <w:tcPr>
            <w:tcW w:w="680" w:type="dxa"/>
            <w:tcBorders>
              <w:top w:val="double" w:sz="4" w:space="0" w:color="4472C4" w:themeColor="accent5"/>
              <w:left w:val="double" w:sz="4" w:space="0" w:color="4472C4" w:themeColor="accent5"/>
              <w:bottom w:val="double" w:sz="4" w:space="0" w:color="4472C4" w:themeColor="accent5"/>
            </w:tcBorders>
            <w:shd w:val="clear" w:color="auto" w:fill="BDD6EE" w:themeFill="accent1" w:themeFillTint="66"/>
          </w:tcPr>
          <w:p>
            <w:pPr>
              <w:jc w:val="center"/>
            </w:pPr>
            <w:r>
              <w:t>Y</w:t>
            </w:r>
          </w:p>
        </w:tc>
        <w:tc>
          <w:tcPr>
            <w:tcW w:w="669" w:type="dxa"/>
            <w:tcBorders>
              <w:top w:val="double" w:sz="4" w:space="0" w:color="4472C4" w:themeColor="accent5"/>
              <w:left w:val="double" w:sz="4" w:space="0" w:color="4472C4" w:themeColor="accent5"/>
              <w:bottom w:val="double" w:sz="4" w:space="0" w:color="4472C4" w:themeColor="accent5"/>
            </w:tcBorders>
            <w:shd w:val="clear" w:color="auto" w:fill="BDD6EE" w:themeFill="accent1" w:themeFillTint="66"/>
          </w:tcPr>
          <w:p>
            <w:pPr>
              <w:jc w:val="center"/>
            </w:pPr>
            <w:r>
              <w:t>Z</w:t>
            </w:r>
          </w:p>
        </w:tc>
      </w:tr>
    </w:tbl>
    <w:p>
      <w:pPr>
        <w:rPr>
          <w:rFonts w:ascii="Times New Roman" w:hAnsi="Times New Roman" w:cs="Times New Roman"/>
        </w:rPr>
      </w:pPr>
      <w:r>
        <w:rPr>
          <w:noProof/>
          <w:lang w:eastAsia="fr-FR"/>
        </w:rPr>
        <w:drawing>
          <wp:inline distT="0" distB="0" distL="0" distR="0">
            <wp:extent cx="218420" cy="220520"/>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one_remin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713" cy="236970"/>
                    </a:xfrm>
                    <a:prstGeom prst="rect">
                      <a:avLst/>
                    </a:prstGeom>
                  </pic:spPr>
                </pic:pic>
              </a:graphicData>
            </a:graphic>
          </wp:inline>
        </w:drawing>
      </w:r>
      <w:r>
        <w:t xml:space="preserve"> </w:t>
      </w:r>
      <w:r>
        <w:rPr>
          <w:rFonts w:ascii="Times New Roman" w:hAnsi="Times New Roman" w:cs="Times New Roman"/>
        </w:rPr>
        <w:t>Pour accéder à la page du répertoire, cliquez sur la lettre à l’aide du ctrl + clic de la souris</w:t>
      </w:r>
    </w:p>
    <w:p>
      <w:pPr>
        <w:rPr>
          <w:rFonts w:ascii="Times New Roman" w:hAnsi="Times New Roman" w:cs="Times New Roman"/>
        </w:rPr>
      </w:pPr>
    </w:p>
    <w:p>
      <w:r>
        <w:rPr>
          <w:noProof/>
          <w:lang w:eastAsia="fr-FR"/>
        </w:rPr>
        <w:drawing>
          <wp:anchor distT="0" distB="0" distL="114300" distR="114300" simplePos="0" relativeHeight="251674624" behindDoc="0" locked="0" layoutInCell="1" allowOverlap="1">
            <wp:simplePos x="0" y="0"/>
            <wp:positionH relativeFrom="column">
              <wp:posOffset>15875</wp:posOffset>
            </wp:positionH>
            <wp:positionV relativeFrom="paragraph">
              <wp:posOffset>113030</wp:posOffset>
            </wp:positionV>
            <wp:extent cx="430530" cy="337185"/>
            <wp:effectExtent l="0" t="0" r="7620" b="571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gen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530" cy="33718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3600" behindDoc="0" locked="0" layoutInCell="1" allowOverlap="1">
                <wp:simplePos x="0" y="0"/>
                <wp:positionH relativeFrom="margin">
                  <wp:posOffset>-52705</wp:posOffset>
                </wp:positionH>
                <wp:positionV relativeFrom="paragraph">
                  <wp:posOffset>95885</wp:posOffset>
                </wp:positionV>
                <wp:extent cx="1968581" cy="395605"/>
                <wp:effectExtent l="0" t="0" r="12700" b="23495"/>
                <wp:wrapNone/>
                <wp:docPr id="17" name="Arrondir un rectangle avec un coin du même côté 17"/>
                <wp:cNvGraphicFramePr/>
                <a:graphic xmlns:a="http://schemas.openxmlformats.org/drawingml/2006/main">
                  <a:graphicData uri="http://schemas.microsoft.com/office/word/2010/wordprocessingShape">
                    <wps:wsp>
                      <wps:cNvSpPr/>
                      <wps:spPr>
                        <a:xfrm>
                          <a:off x="0" y="0"/>
                          <a:ext cx="1968581" cy="395605"/>
                        </a:xfrm>
                        <a:prstGeom prst="round2Same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b/>
                                <w:color w:val="8EAADB" w:themeColor="accent5" w:themeTint="99"/>
                                <w:sz w:val="28"/>
                                <w:szCs w:val="28"/>
                                <w14:shadow w14:blurRad="63500" w14:dist="50800" w14:dir="10800000" w14:sx="0" w14:sy="0" w14:kx="0" w14:ky="0" w14:algn="none">
                                  <w14:srgbClr w14:val="000000">
                                    <w14:alpha w14:val="15000"/>
                                  </w14:srgbClr>
                                </w14:shadow>
                              </w:rPr>
                            </w:pPr>
                            <w:r>
                              <w:rPr>
                                <w:b/>
                                <w:sz w:val="28"/>
                                <w:szCs w:val="28"/>
                                <w14:shadow w14:blurRad="63500" w14:dist="50800" w14:dir="10800000" w14:sx="0" w14:sy="0" w14:kx="0" w14:ky="0" w14:algn="none">
                                  <w14:srgbClr w14:val="000000">
                                    <w14:alpha w14:val="25000"/>
                                  </w14:srgbClr>
                                </w14:shadow>
                              </w:rPr>
                              <w:t xml:space="preserve">  </w:t>
                            </w:r>
                            <w:r>
                              <w:rPr>
                                <w:b/>
                                <w:sz w:val="28"/>
                                <w:szCs w:val="28"/>
                                <w14:shadow w14:blurRad="63500" w14:dist="50800" w14:dir="10800000" w14:sx="0" w14:sy="0" w14:kx="0" w14:ky="0" w14:algn="none">
                                  <w14:srgbClr w14:val="000000">
                                    <w14:alpha w14:val="25000"/>
                                  </w14:srgbClr>
                                </w14:shadow>
                              </w:rPr>
                              <w:tab/>
                            </w:r>
                            <w:r>
                              <w:rPr>
                                <w:b/>
                                <w:sz w:val="28"/>
                                <w:szCs w:val="28"/>
                                <w14:shadow w14:blurRad="63500" w14:dist="50800" w14:dir="10800000" w14:sx="0" w14:sy="0" w14:kx="0" w14:ky="0" w14:algn="none">
                                  <w14:srgbClr w14:val="000000">
                                    <w14:alpha w14:val="15000"/>
                                  </w14:srgb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Aide à la lecture </w:t>
                            </w:r>
                          </w:p>
                          <w:p>
                            <w:pPr>
                              <w:rPr>
                                <w:color w:val="002060"/>
                                <w14:shadow w14:blurRad="114300" w14:dist="25400" w14:dir="1800000" w14:sx="0" w14:sy="0" w14:kx="0" w14:ky="0" w14:algn="none">
                                  <w14:schemeClr w14:val="accent2">
                                    <w14:lumMod w14:val="50000"/>
                                  </w14:schemeClr>
                                </w14:shadow>
                              </w:rPr>
                            </w:pPr>
                          </w:p>
                          <w:p>
                            <w:pPr>
                              <w:rPr>
                                <w:color w:val="002060"/>
                                <w14:shadow w14:blurRad="114300" w14:dist="25400" w14:dir="1800000" w14:sx="0" w14:sy="0" w14:kx="0" w14:ky="0" w14:algn="none">
                                  <w14:schemeClr w14:val="accent2">
                                    <w14:lumMod w14:val="50000"/>
                                  </w14:scheme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0A2E6" id="Arrondir un rectangle avec un coin du même côté 17" o:spid="_x0000_s1030" style="position:absolute;margin-left:-4.15pt;margin-top:7.55pt;width:155pt;height:31.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68581,3956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" adj="-11796480,,5400" path="m65935,l1902646,v36415,,65935,29520,65935,65935l1968581,395605r,l,395605r,l,65935c,29520,29520,,65935,xe" fillcolor="white [3212]" strokecolor="#1f4d78 [1604]" strokeweight="1pt">
                <v:stroke joinstyle="miter"/>
                <v:formulas/>
                <v:path arrowok="t" o:connecttype="custom" o:connectlocs="65935,0;1902646,0;1968581,65935;1968581,395605;1968581,395605;0,395605;0,395605;0,65935;65935,0" o:connectangles="0,0,0,0,0,0,0,0,0" textboxrect="0,0,1968581,395605"/>
                <v:textbox>
                  <w:txbxContent>
                    <w:p w14:paraId="55931D5F" w14:textId="77777777" w:rsidR="00316188" w:rsidRPr="00F7408D" w:rsidRDefault="00316188" w:rsidP="00E33F28">
                      <w:pPr>
                        <w:rPr>
                          <w:b/>
                          <w:color w:val="8EAADB" w:themeColor="accent5" w:themeTint="99"/>
                          <w:sz w:val="28"/>
                          <w:szCs w:val="28"/>
                          <w14:shadow w14:blurRad="63500" w14:dist="50800" w14:dir="10800000" w14:sx="0" w14:sy="0" w14:kx="0" w14:ky="0" w14:algn="none">
                            <w14:srgbClr w14:val="000000">
                              <w14:alpha w14:val="15000"/>
                            </w14:srgbClr>
                          </w14:shadow>
                        </w:rPr>
                      </w:pPr>
                      <w:r>
                        <w:rPr>
                          <w:b/>
                          <w:sz w:val="28"/>
                          <w:szCs w:val="28"/>
                          <w14:shadow w14:blurRad="63500" w14:dist="50800" w14:dir="10800000" w14:sx="0" w14:sy="0" w14:kx="0" w14:ky="0" w14:algn="none">
                            <w14:srgbClr w14:val="000000">
                              <w14:alpha w14:val="25000"/>
                            </w14:srgbClr>
                          </w14:shadow>
                        </w:rPr>
                        <w:t xml:space="preserve">  </w:t>
                      </w:r>
                      <w:r>
                        <w:rPr>
                          <w:b/>
                          <w:sz w:val="28"/>
                          <w:szCs w:val="28"/>
                          <w14:shadow w14:blurRad="63500" w14:dist="50800" w14:dir="10800000" w14:sx="0" w14:sy="0" w14:kx="0" w14:ky="0" w14:algn="none">
                            <w14:srgbClr w14:val="000000">
                              <w14:alpha w14:val="25000"/>
                            </w14:srgbClr>
                          </w14:shadow>
                        </w:rPr>
                        <w:tab/>
                      </w:r>
                      <w:r w:rsidRPr="006A61D3">
                        <w:rPr>
                          <w:b/>
                          <w:sz w:val="28"/>
                          <w:szCs w:val="28"/>
                          <w14:shadow w14:blurRad="63500" w14:dist="50800" w14:dir="10800000" w14:sx="0" w14:sy="0" w14:kx="0" w14:ky="0" w14:algn="none">
                            <w14:srgbClr w14:val="000000">
                              <w14:alpha w14:val="15000"/>
                            </w14:srgbClr>
                          </w14:shadow>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Aide à la lecture </w:t>
                      </w:r>
                    </w:p>
                    <w:p w14:paraId="07DAA845" w14:textId="77777777" w:rsidR="00316188" w:rsidRDefault="00316188" w:rsidP="00E33F28">
                      <w:pPr>
                        <w:rPr>
                          <w:color w:val="002060"/>
                          <w14:shadow w14:blurRad="114300" w14:dist="25400" w14:dir="1800000" w14:sx="0" w14:sy="0" w14:kx="0" w14:ky="0" w14:algn="none">
                            <w14:schemeClr w14:val="accent2">
                              <w14:lumMod w14:val="50000"/>
                            </w14:schemeClr>
                          </w14:shadow>
                        </w:rPr>
                      </w:pPr>
                    </w:p>
                    <w:p w14:paraId="6A7621FA" w14:textId="77777777" w:rsidR="00316188" w:rsidRPr="00B45B53" w:rsidRDefault="00316188" w:rsidP="00E33F28">
                      <w:pPr>
                        <w:rPr>
                          <w:color w:val="002060"/>
                          <w14:shadow w14:blurRad="114300" w14:dist="25400" w14:dir="1800000" w14:sx="0" w14:sy="0" w14:kx="0" w14:ky="0" w14:algn="none">
                            <w14:schemeClr w14:val="accent2">
                              <w14:lumMod w14:val="50000"/>
                            </w14:schemeClr>
                          </w14:shadow>
                        </w:rPr>
                      </w:pPr>
                    </w:p>
                  </w:txbxContent>
                </v:textbox>
                <w10:wrap anchorx="margin"/>
              </v:shape>
            </w:pict>
          </mc:Fallback>
        </mc:AlternateContent>
      </w:r>
    </w:p>
    <w:p>
      <w:r>
        <w:rPr>
          <w:noProof/>
          <w:lang w:eastAsia="fr-FR"/>
        </w:rPr>
        <w:drawing>
          <wp:anchor distT="0" distB="0" distL="114300" distR="114300" simplePos="0" relativeHeight="251700224" behindDoc="0" locked="0" layoutInCell="1" allowOverlap="1">
            <wp:simplePos x="0" y="0"/>
            <wp:positionH relativeFrom="margin">
              <wp:align>left</wp:align>
            </wp:positionH>
            <wp:positionV relativeFrom="paragraph">
              <wp:posOffset>256540</wp:posOffset>
            </wp:positionV>
            <wp:extent cx="369071" cy="36692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071" cy="36692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191135</wp:posOffset>
                </wp:positionV>
                <wp:extent cx="5734050" cy="1758909"/>
                <wp:effectExtent l="0" t="0" r="57150" b="13335"/>
                <wp:wrapNone/>
                <wp:docPr id="20" name="Carré corné 20"/>
                <wp:cNvGraphicFramePr/>
                <a:graphic xmlns:a="http://schemas.openxmlformats.org/drawingml/2006/main">
                  <a:graphicData uri="http://schemas.microsoft.com/office/word/2010/wordprocessingShape">
                    <wps:wsp>
                      <wps:cNvSpPr/>
                      <wps:spPr>
                        <a:xfrm>
                          <a:off x="0" y="0"/>
                          <a:ext cx="5734050" cy="1758909"/>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E522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0" o:spid="_x0000_s1031" type="#_x0000_t65" style="position:absolute;margin-left:400.3pt;margin-top:15.05pt;width:451.5pt;height:138.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" adj="18000" fillcolor="white [3212]" strokecolor="#1f4d78 [1604]" strokeweight="1pt">
                <v:stroke joinstyle="miter"/>
                <v:textbox>
                  <w:txbxContent>
                    <w:p w14:paraId="6197F07C" w14:textId="77777777" w:rsidR="00316188" w:rsidRDefault="00316188" w:rsidP="002C0FBB">
                      <w:pPr>
                        <w:jc w:val="center"/>
                      </w:pPr>
                    </w:p>
                  </w:txbxContent>
                </v:textbox>
                <w10:wrap anchorx="margin"/>
              </v:shape>
            </w:pict>
          </mc:Fallback>
        </mc:AlternateContent>
      </w:r>
      <w:r>
        <w:tab/>
      </w:r>
    </w:p>
    <w:p>
      <w:r>
        <w:t xml:space="preserve"> Cette icône souligne une remarque importante et/ou supplémentaire à une définition</w:t>
      </w:r>
    </w:p>
    <w:p>
      <w:r>
        <w:rPr>
          <w:noProof/>
          <w:lang w:eastAsia="fr-FR"/>
        </w:rPr>
        <w:drawing>
          <wp:anchor distT="0" distB="0" distL="114300" distR="114300" simplePos="0" relativeHeight="251699200" behindDoc="0" locked="0" layoutInCell="1" allowOverlap="1">
            <wp:simplePos x="0" y="0"/>
            <wp:positionH relativeFrom="margin">
              <wp:align>left</wp:align>
            </wp:positionH>
            <wp:positionV relativeFrom="paragraph">
              <wp:posOffset>202404</wp:posOffset>
            </wp:positionV>
            <wp:extent cx="307879" cy="285386"/>
            <wp:effectExtent l="0" t="0" r="0" b="63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79" cy="285386"/>
                    </a:xfrm>
                    <a:prstGeom prst="rect">
                      <a:avLst/>
                    </a:prstGeom>
                  </pic:spPr>
                </pic:pic>
              </a:graphicData>
            </a:graphic>
            <wp14:sizeRelH relativeFrom="page">
              <wp14:pctWidth>0</wp14:pctWidth>
            </wp14:sizeRelH>
            <wp14:sizeRelV relativeFrom="page">
              <wp14:pctHeight>0</wp14:pctHeight>
            </wp14:sizeRelV>
          </wp:anchor>
        </w:drawing>
      </w:r>
    </w:p>
    <w:p>
      <w:r>
        <w:t xml:space="preserve">   Cette icône mentionne la traduction dans INGRES</w:t>
      </w:r>
    </w:p>
    <w:p>
      <w:r>
        <w:rPr>
          <w:noProof/>
          <w:lang w:eastAsia="fr-FR"/>
        </w:rPr>
        <w:drawing>
          <wp:anchor distT="0" distB="0" distL="114300" distR="114300" simplePos="0" relativeHeight="251698176" behindDoc="0" locked="0" layoutInCell="1" allowOverlap="1">
            <wp:simplePos x="0" y="0"/>
            <wp:positionH relativeFrom="margin">
              <wp:posOffset>12879</wp:posOffset>
            </wp:positionH>
            <wp:positionV relativeFrom="paragraph">
              <wp:posOffset>69107</wp:posOffset>
            </wp:positionV>
            <wp:extent cx="424815" cy="442595"/>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815" cy="442595"/>
                    </a:xfrm>
                    <a:prstGeom prst="rect">
                      <a:avLst/>
                    </a:prstGeom>
                  </pic:spPr>
                </pic:pic>
              </a:graphicData>
            </a:graphic>
            <wp14:sizeRelH relativeFrom="page">
              <wp14:pctWidth>0</wp14:pctWidth>
            </wp14:sizeRelH>
            <wp14:sizeRelV relativeFrom="page">
              <wp14:pctHeight>0</wp14:pctHeight>
            </wp14:sizeRelV>
          </wp:anchor>
        </w:drawing>
      </w:r>
    </w:p>
    <w:p>
      <w:r>
        <w:rPr>
          <w:rFonts w:ascii="Times New Roman" w:hAnsi="Times New Roman" w:cs="Times New Roman"/>
        </w:rPr>
        <w:t>Par bouton ctrl + clic gauche de la souris</w:t>
      </w:r>
      <w:r>
        <w:t xml:space="preserve"> sur cette icône, vous accédez au répertoire du glossaire</w:t>
      </w:r>
    </w:p>
    <w:p/>
    <w:p>
      <w:pPr>
        <w:jc w:val="right"/>
      </w:pPr>
      <w:r>
        <w:rPr>
          <w:noProof/>
          <w:lang w:eastAsia="fr-FR"/>
        </w:rPr>
        <w:lastRenderedPageBreak/>
        <w:drawing>
          <wp:inline distT="0" distB="0" distL="0" distR="0">
            <wp:extent cx="329920" cy="343581"/>
            <wp:effectExtent l="0" t="0" r="0" b="0"/>
            <wp:docPr id="29" name="Imag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sz w:val="28"/>
          <w:szCs w:val="28"/>
        </w:rPr>
      </w:pPr>
      <w:bookmarkStart w:id="0" w:name="_A"/>
      <w:bookmarkEnd w:id="0"/>
      <w:r>
        <w:rPr>
          <w:sz w:val="28"/>
          <w:szCs w:val="28"/>
        </w:rPr>
        <w:t>A</w:t>
      </w:r>
    </w:p>
    <w:p>
      <w:pPr>
        <w:pStyle w:val="Titre3"/>
        <w:rPr>
          <w:sz w:val="24"/>
          <w:szCs w:val="24"/>
        </w:rPr>
      </w:pPr>
      <w:r>
        <w:rPr>
          <w:rStyle w:val="Rfrencelgre"/>
          <w:sz w:val="24"/>
          <w:szCs w:val="24"/>
        </w:rPr>
        <w:t>A</w:t>
      </w:r>
      <w:r>
        <w:rPr>
          <w:sz w:val="24"/>
          <w:szCs w:val="24"/>
        </w:rPr>
        <w:t>battement</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 abattement est une déduction appliquée à un montant donné. L’abattement sur la rémunération </w:t>
      </w:r>
      <w:hyperlink r:id="rId18" w:history="1">
        <w:r>
          <w:rPr>
            <w:rFonts w:ascii="Times New Roman" w:hAnsi="Times New Roman" w:cs="Times New Roman"/>
            <w:color w:val="000000"/>
            <w:sz w:val="24"/>
            <w:szCs w:val="24"/>
          </w:rPr>
          <w:t>correspond</w:t>
        </w:r>
      </w:hyperlink>
      <w:r>
        <w:rPr>
          <w:rFonts w:ascii="Times New Roman" w:hAnsi="Times New Roman" w:cs="Times New Roman"/>
          <w:color w:val="000000"/>
          <w:sz w:val="24"/>
          <w:szCs w:val="24"/>
        </w:rPr>
        <w:t xml:space="preserve"> à l’impact des positions et des congés/absences sur la rémunération, autrement dit à la déduction appliquée sur le montant de la rémunération en fonction d’une position ou d’un congé/absence. Cette déduction peut être forfaitaire ou en pourcentage.</w:t>
      </w:r>
    </w:p>
    <w:p>
      <w:pPr>
        <w:pStyle w:val="Paragraphedeliste"/>
        <w:numPr>
          <w:ilvl w:val="0"/>
          <w:numId w:val="17"/>
        </w:numPr>
        <w:jc w:val="both"/>
        <w:rPr>
          <w:rFonts w:ascii="Times New Roman" w:hAnsi="Times New Roman" w:cs="Times New Roman"/>
          <w:color w:val="000000"/>
          <w:sz w:val="24"/>
          <w:szCs w:val="24"/>
        </w:rPr>
      </w:pPr>
      <w:r>
        <w:rPr>
          <w:rFonts w:ascii="Times New Roman" w:hAnsi="Times New Roman" w:cs="Times New Roman"/>
          <w:color w:val="000000"/>
          <w:sz w:val="24"/>
          <w:szCs w:val="24"/>
        </w:rPr>
        <w:t>Exemples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le traitement est réduit de 50% pendant le congé de maladie ordinaire à demi traitement avec maintien des primes dans les mêmes conditions que le traitement.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les primes ne sont pas versées pendant le congé de longue maladie. </w:t>
      </w:r>
    </w:p>
    <w:p>
      <w:pPr>
        <w:pStyle w:val="Titre3"/>
        <w:rPr>
          <w:sz w:val="24"/>
          <w:szCs w:val="24"/>
        </w:rPr>
      </w:pPr>
      <w:r>
        <w:rPr>
          <w:rStyle w:val="Rfrencelgre"/>
          <w:sz w:val="24"/>
          <w:szCs w:val="24"/>
        </w:rPr>
        <w:t>A</w:t>
      </w:r>
      <w:r>
        <w:rPr>
          <w:sz w:val="24"/>
          <w:szCs w:val="24"/>
        </w:rPr>
        <w:t>llocation</w:t>
      </w:r>
    </w:p>
    <w:p>
      <w:pPr>
        <w:pStyle w:val="NormalWeb"/>
      </w:pPr>
      <w:r>
        <w:t xml:space="preserve">L'allocation est une prestation en argent ou en nature versée à un bénéficiaire, désigné comme allocataire, pour compenser une perte (allocations de </w:t>
      </w:r>
      <w:hyperlink r:id="rId19" w:history="1">
        <w:r>
          <w:t>chômage</w:t>
        </w:r>
      </w:hyperlink>
      <w:r>
        <w:t>), tenir compte d´une charge (allocations familiales) ou faciliter une transition (allocations de conversion).</w:t>
      </w:r>
    </w:p>
    <w:p>
      <w:pPr>
        <w:pStyle w:val="Titre3"/>
        <w:rPr>
          <w:sz w:val="24"/>
          <w:szCs w:val="24"/>
        </w:rPr>
      </w:pPr>
      <w:r>
        <w:rPr>
          <w:rStyle w:val="Rfrencelgre"/>
          <w:sz w:val="24"/>
          <w:szCs w:val="24"/>
        </w:rPr>
        <w:t>A</w:t>
      </w:r>
      <w:r>
        <w:rPr>
          <w:sz w:val="24"/>
          <w:szCs w:val="24"/>
        </w:rPr>
        <w:t>ttribution individuelle</w:t>
      </w:r>
    </w:p>
    <w:p>
      <w:pPr>
        <w:pStyle w:val="NormalWeb"/>
        <w:spacing w:before="80" w:beforeAutospacing="0" w:after="80" w:afterAutospacing="0"/>
      </w:pPr>
      <w:r>
        <w:t>Certaines indemnités sont modulées pour tenir compte de la manière de servir de l’agent dans l’exercice de ses fonctions.</w:t>
      </w:r>
    </w:p>
    <w:p>
      <w:pPr>
        <w:pStyle w:val="NormalWeb"/>
        <w:spacing w:before="80" w:beforeAutospacing="0" w:after="80" w:afterAutospacing="0"/>
      </w:pPr>
      <w:r>
        <w:t>Lorsque la manière de servir de l’agent a un impact sur le montant de l’indemnité versé à l’agent : dans INGRES, la rubrique ‘’Attribution individuelle’’ est renseignée à ‘’Oui ‘’.</w:t>
      </w:r>
    </w:p>
    <w:p>
      <w:pPr>
        <w:pStyle w:val="NormalWeb"/>
        <w:spacing w:before="80" w:beforeAutospacing="0" w:after="80" w:afterAutospacing="0"/>
      </w:pPr>
    </w:p>
    <w:p>
      <w:pPr>
        <w:pStyle w:val="NormalWeb"/>
        <w:spacing w:before="80" w:beforeAutospacing="0" w:after="80" w:afterAutospacing="0"/>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7729</wp:posOffset>
            </wp:positionV>
            <wp:extent cx="405505" cy="403147"/>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5505" cy="403147"/>
                    </a:xfrm>
                    <a:prstGeom prst="rect">
                      <a:avLst/>
                    </a:prstGeom>
                  </pic:spPr>
                </pic:pic>
              </a:graphicData>
            </a:graphic>
            <wp14:sizeRelH relativeFrom="page">
              <wp14:pctWidth>0</wp14:pctWidth>
            </wp14:sizeRelH>
            <wp14:sizeRelV relativeFrom="page">
              <wp14:pctHeight>0</wp14:pctHeight>
            </wp14:sizeRelV>
          </wp:anchor>
        </w:drawing>
      </w:r>
      <w:r>
        <w:t xml:space="preserve"> À ne pas confondre avec le calcul de l’indemnité par corps, grade qui ne rentre pas dans ce cadre : dans INGRES, la rubrique Attribution individuelle est renseignée à ‘’Non’’.</w:t>
      </w:r>
    </w:p>
    <w:p>
      <w:pPr>
        <w:pStyle w:val="Titre3"/>
        <w:rPr>
          <w:sz w:val="24"/>
          <w:szCs w:val="24"/>
        </w:rPr>
      </w:pPr>
      <w:r>
        <w:rPr>
          <w:rStyle w:val="Rfrencelgre"/>
          <w:sz w:val="24"/>
          <w:szCs w:val="24"/>
        </w:rPr>
        <w:t>A</w:t>
      </w:r>
      <w:r>
        <w:rPr>
          <w:sz w:val="24"/>
          <w:szCs w:val="24"/>
        </w:rPr>
        <w:t>vantage en nature</w:t>
      </w:r>
    </w:p>
    <w:p>
      <w:pPr>
        <w:pStyle w:val="NormalWeb"/>
        <w:spacing w:before="80" w:beforeAutospacing="0" w:after="80" w:afterAutospacing="0"/>
      </w:pPr>
      <w:r>
        <w:t>L’employeur peut fournir à ses personnels un bien ou un service (nourriture, logement, véhicule). Cette mise à disposition peut être gratuite ou moyennant une participation de l’agent inférieure à sa valeur réelle.</w:t>
      </w:r>
    </w:p>
    <w:p>
      <w:pPr>
        <w:pStyle w:val="NormalWeb"/>
        <w:spacing w:before="80" w:beforeAutospacing="0" w:after="80" w:afterAutospacing="0"/>
      </w:pPr>
      <w:r>
        <w:t>Les avantages en nature permettent aux agents de faire l’économie de frais qu’ils auraient dû normalement supporter. Ils sont soumis à cotisations.</w:t>
      </w:r>
    </w:p>
    <w:p>
      <w:pPr>
        <w:pStyle w:val="NormalWeb"/>
        <w:spacing w:before="80" w:beforeAutospacing="0" w:after="80" w:afterAutospacing="0"/>
      </w:pPr>
      <w:r>
        <w:t>L’avantage en nature doit figurer sur le bulletin de paie, au niveau du salaire brut pour être soumis à cotisations. Après détermination du salaire net imposable, il sera déduit du salaire net à verser au salarié.</w:t>
      </w:r>
    </w:p>
    <w:p>
      <w:pPr>
        <w:pStyle w:val="NormalWeb"/>
        <w:spacing w:before="80" w:beforeAutospacing="0" w:after="80" w:afterAutospacing="0"/>
      </w:pPr>
    </w:p>
    <w:p>
      <w:pPr>
        <w:pStyle w:val="NormalWeb"/>
        <w:spacing w:before="80" w:beforeAutospacing="0" w:after="80" w:afterAutospacing="0"/>
      </w:pPr>
    </w:p>
    <w:p>
      <w:pPr>
        <w:ind w:left="7788" w:firstLine="708"/>
      </w:pPr>
      <w:r>
        <w:rPr>
          <w:noProof/>
          <w:lang w:eastAsia="fr-FR"/>
        </w:rPr>
        <w:drawing>
          <wp:inline distT="0" distB="0" distL="0" distR="0">
            <wp:extent cx="329920" cy="343581"/>
            <wp:effectExtent l="0" t="0" r="0" b="0"/>
            <wp:docPr id="44" name="Imag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sz w:val="28"/>
          <w:szCs w:val="28"/>
        </w:rPr>
      </w:pPr>
      <w:r>
        <w:rPr>
          <w:sz w:val="28"/>
          <w:szCs w:val="28"/>
        </w:rPr>
        <w:t>A</w:t>
      </w:r>
    </w:p>
    <w:p>
      <w:pPr>
        <w:pStyle w:val="NormalWeb"/>
        <w:spacing w:before="80" w:beforeAutospacing="0" w:after="80" w:afterAutospacing="0"/>
      </w:pPr>
    </w:p>
    <w:p>
      <w:pPr>
        <w:pStyle w:val="NormalWeb"/>
        <w:spacing w:before="80" w:beforeAutospacing="0" w:after="80" w:afterAutospacing="0"/>
      </w:pPr>
    </w:p>
    <w:p>
      <w:pPr>
        <w:pStyle w:val="NormalWeb"/>
        <w:spacing w:before="80" w:beforeAutospacing="0" w:after="80" w:afterAutospacing="0"/>
      </w:pPr>
      <w:r>
        <w:t>Si, pour bénéficier de l’avantage en nature, l’agent participe financièrement à l’acquisition du bien ou du service, le montant de cette participation est réduit du montant de l’avantage en nature.</w:t>
      </w:r>
    </w:p>
    <w:p>
      <w:pPr>
        <w:rPr>
          <w:b/>
          <w:color w:val="4472C4" w:themeColor="accent5"/>
        </w:rPr>
      </w:pPr>
      <w:r>
        <w:rPr>
          <w:b/>
          <w:color w:val="4472C4" w:themeColor="accent5"/>
        </w:rPr>
        <w:br w:type="page"/>
      </w:r>
    </w:p>
    <w:p>
      <w:pPr>
        <w:ind w:left="7788" w:firstLine="708"/>
        <w:rPr>
          <w:rFonts w:ascii="Times New Roman" w:eastAsia="Times New Roman" w:hAnsi="Times New Roman" w:cs="Times New Roman"/>
          <w:b/>
          <w:color w:val="4472C4" w:themeColor="accent5"/>
          <w:sz w:val="24"/>
          <w:szCs w:val="24"/>
          <w:lang w:eastAsia="fr-FR"/>
        </w:rPr>
      </w:pPr>
      <w:r>
        <w:rPr>
          <w:noProof/>
          <w:lang w:eastAsia="fr-FR"/>
        </w:rPr>
        <w:lastRenderedPageBreak/>
        <w:drawing>
          <wp:inline distT="0" distB="0" distL="0" distR="0">
            <wp:extent cx="329920" cy="343581"/>
            <wp:effectExtent l="0" t="0" r="0" b="0"/>
            <wp:docPr id="13" name="Imag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b/>
        </w:rPr>
      </w:pPr>
      <w:r>
        <w:rPr>
          <w:b/>
        </w:rPr>
        <w:t>B</w:t>
      </w:r>
    </w:p>
    <w:p>
      <w:pPr>
        <w:pStyle w:val="Titre3"/>
        <w:rPr>
          <w:sz w:val="24"/>
          <w:szCs w:val="24"/>
        </w:rPr>
      </w:pPr>
      <w:bookmarkStart w:id="1" w:name="_Barême_:"/>
      <w:bookmarkEnd w:id="1"/>
      <w:r>
        <w:rPr>
          <w:rStyle w:val="Rfrencelgre"/>
          <w:sz w:val="24"/>
          <w:szCs w:val="24"/>
        </w:rPr>
        <w:t>B</w:t>
      </w:r>
      <w:r>
        <w:rPr>
          <w:sz w:val="24"/>
          <w:szCs w:val="24"/>
        </w:rPr>
        <w:t>arême </w:t>
      </w:r>
    </w:p>
    <w:p>
      <w:pPr>
        <w:pStyle w:val="NormalWeb"/>
        <w:spacing w:before="80" w:beforeAutospacing="0" w:after="80" w:afterAutospacing="0"/>
      </w:pPr>
      <w:r>
        <w:t>Un barème contient des données en entrée (corps, grade, fonction...) et en sortie (montant horaire, mensuel, annuel, taux...) nécessaires au calcul de l’indemnité.</w:t>
      </w:r>
    </w:p>
    <w:p>
      <w:pPr>
        <w:pStyle w:val="NormalWeb"/>
        <w:spacing w:before="80" w:beforeAutospacing="0" w:after="80" w:afterAutospacing="0"/>
      </w:pPr>
      <w:r>
        <w:t>Un barème est spécifique à une fiche.</w:t>
      </w:r>
    </w:p>
    <w:p>
      <w:pPr>
        <w:pStyle w:val="NormalWeb"/>
        <w:numPr>
          <w:ilvl w:val="0"/>
          <w:numId w:val="12"/>
        </w:numPr>
        <w:spacing w:before="80" w:beforeAutospacing="0" w:after="80" w:afterAutospacing="0"/>
      </w:pPr>
      <w:r>
        <w:t xml:space="preserve">Un </w:t>
      </w:r>
      <w:r>
        <w:rPr>
          <w:b/>
        </w:rPr>
        <w:t>barème simple</w:t>
      </w:r>
      <w:r>
        <w:t xml:space="preserve"> est un tableau visible dans Ingres et dans l’édition de la fiche (dans Modalités de liquidation).</w:t>
      </w:r>
    </w:p>
    <w:p>
      <w:pPr>
        <w:pStyle w:val="NormalWeb"/>
        <w:numPr>
          <w:ilvl w:val="0"/>
          <w:numId w:val="12"/>
        </w:numPr>
        <w:spacing w:before="80" w:beforeAutospacing="0" w:after="80" w:afterAutospacing="0"/>
      </w:pPr>
      <w:r>
        <w:t xml:space="preserve">Un </w:t>
      </w:r>
      <w:r>
        <w:rPr>
          <w:b/>
        </w:rPr>
        <w:t>barème complexe</w:t>
      </w:r>
      <w:r>
        <w:t xml:space="preserve"> est un tableau Excel annexé à l’édition.</w:t>
      </w:r>
    </w:p>
    <w:p>
      <w:pPr>
        <w:pStyle w:val="NormalWeb"/>
        <w:spacing w:before="80" w:beforeAutospacing="0" w:after="80" w:afterAutospacing="0"/>
        <w:ind w:left="720"/>
      </w:pPr>
    </w:p>
    <w:p>
      <w:pPr>
        <w:pStyle w:val="NormalWeb"/>
        <w:spacing w:before="80" w:beforeAutospacing="0" w:after="80" w:afterAutospacing="0"/>
      </w:pPr>
      <w:r>
        <w:rPr>
          <w:noProof/>
        </w:rPr>
        <w:drawing>
          <wp:anchor distT="0" distB="0" distL="114300" distR="114300" simplePos="0" relativeHeight="251662336" behindDoc="0" locked="0" layoutInCell="1" allowOverlap="1">
            <wp:simplePos x="0" y="0"/>
            <wp:positionH relativeFrom="column">
              <wp:posOffset>-2868</wp:posOffset>
            </wp:positionH>
            <wp:positionV relativeFrom="paragraph">
              <wp:posOffset>-558</wp:posOffset>
            </wp:positionV>
            <wp:extent cx="370399" cy="36824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399" cy="368245"/>
                    </a:xfrm>
                    <a:prstGeom prst="rect">
                      <a:avLst/>
                    </a:prstGeom>
                  </pic:spPr>
                </pic:pic>
              </a:graphicData>
            </a:graphic>
            <wp14:sizeRelH relativeFrom="page">
              <wp14:pctWidth>0</wp14:pctWidth>
            </wp14:sizeRelH>
            <wp14:sizeRelV relativeFrom="page">
              <wp14:pctHeight>0</wp14:pctHeight>
            </wp14:sizeRelV>
          </wp:anchor>
        </w:drawing>
      </w:r>
      <w:r>
        <w:t>Dans INGRES, le barème correspond au barème réglementaire issu des textes juridiques. Les barèmes de gestion propres aux ministères ne sont pas décrits dans les fiches RDP.</w:t>
      </w:r>
    </w:p>
    <w:p>
      <w:r>
        <w:br w:type="page"/>
      </w:r>
    </w:p>
    <w:p>
      <w:pPr>
        <w:ind w:left="8496"/>
      </w:pPr>
      <w:r>
        <w:rPr>
          <w:noProof/>
          <w:lang w:eastAsia="fr-FR"/>
        </w:rPr>
        <w:lastRenderedPageBreak/>
        <w:drawing>
          <wp:inline distT="0" distB="0" distL="0" distR="0">
            <wp:extent cx="329920" cy="343581"/>
            <wp:effectExtent l="0" t="0" r="0" b="0"/>
            <wp:docPr id="27" name="Imag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b/>
        </w:rPr>
      </w:pPr>
      <w:bookmarkStart w:id="2" w:name="_C"/>
      <w:bookmarkEnd w:id="2"/>
      <w:r>
        <w:rPr>
          <w:b/>
        </w:rPr>
        <w:t>C</w:t>
      </w:r>
    </w:p>
    <w:p>
      <w:pPr>
        <w:pStyle w:val="Titre3"/>
        <w:rPr>
          <w:sz w:val="24"/>
          <w:szCs w:val="24"/>
        </w:rPr>
      </w:pPr>
      <w:r>
        <w:rPr>
          <w:rStyle w:val="Rfrencelgre"/>
          <w:sz w:val="24"/>
          <w:szCs w:val="24"/>
        </w:rPr>
        <w:t>C</w:t>
      </w:r>
      <w:r>
        <w:rPr>
          <w:sz w:val="24"/>
          <w:szCs w:val="24"/>
        </w:rPr>
        <w:t>hapitre</w:t>
      </w:r>
    </w:p>
    <w:p>
      <w:pPr>
        <w:pStyle w:val="NormalWeb"/>
        <w:spacing w:before="80" w:beforeAutospacing="0" w:after="80" w:afterAutospacing="0"/>
      </w:pPr>
      <w:r>
        <w:t>Un chapitre regroupe les fiches des grandes familles de règles de paye : statutaire, NBI, indemnitaire, cotisation-contribution-fiscalité, prestation, retenues et oppositions contentieuses, rémunération des personnels affectés à l’étranger.</w:t>
      </w:r>
    </w:p>
    <w:p>
      <w:pPr>
        <w:pStyle w:val="NormalWeb"/>
        <w:spacing w:before="80" w:beforeAutospacing="0" w:after="80" w:afterAutospacing="0"/>
      </w:pPr>
    </w:p>
    <w:p>
      <w:pPr>
        <w:pStyle w:val="Titre3"/>
        <w:rPr>
          <w:sz w:val="24"/>
          <w:szCs w:val="24"/>
        </w:rPr>
      </w:pPr>
      <w:r>
        <w:rPr>
          <w:rStyle w:val="Rfrencelgre"/>
          <w:sz w:val="24"/>
          <w:szCs w:val="24"/>
        </w:rPr>
        <w:t>C</w:t>
      </w:r>
      <w:r>
        <w:rPr>
          <w:sz w:val="24"/>
          <w:szCs w:val="24"/>
        </w:rPr>
        <w:t>onditions d’exclusion</w:t>
      </w:r>
    </w:p>
    <w:p>
      <w:pPr>
        <w:pStyle w:val="NormalWeb"/>
        <w:spacing w:before="80" w:beforeAutospacing="0" w:after="80" w:afterAutospacing="0"/>
      </w:pPr>
      <w:r>
        <w:t>Ce sont les conditions d’inéligibilité à la prime.</w:t>
      </w:r>
    </w:p>
    <w:p>
      <w:pPr>
        <w:ind w:left="7788" w:firstLine="708"/>
      </w:pPr>
      <w:r>
        <w:br w:type="page"/>
      </w:r>
      <w:r>
        <w:rPr>
          <w:noProof/>
          <w:lang w:eastAsia="fr-FR"/>
        </w:rPr>
        <w:lastRenderedPageBreak/>
        <w:drawing>
          <wp:inline distT="0" distB="0" distL="0" distR="0">
            <wp:extent cx="329920" cy="343581"/>
            <wp:effectExtent l="0" t="0" r="0" b="0"/>
            <wp:docPr id="26" name="Image 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3" w:name="_D"/>
      <w:bookmarkEnd w:id="3"/>
      <w:r>
        <w:t>D</w:t>
      </w:r>
    </w:p>
    <w:p>
      <w:pPr>
        <w:pStyle w:val="Titre3"/>
        <w:rPr>
          <w:sz w:val="24"/>
          <w:szCs w:val="24"/>
        </w:rPr>
      </w:pPr>
      <w:r>
        <w:rPr>
          <w:rStyle w:val="Rfrencelgre"/>
          <w:sz w:val="24"/>
          <w:szCs w:val="24"/>
        </w:rPr>
        <w:t>D</w:t>
      </w:r>
      <w:r>
        <w:rPr>
          <w:sz w:val="24"/>
          <w:szCs w:val="24"/>
        </w:rPr>
        <w:t xml:space="preserve">ate d’abrogation </w:t>
      </w:r>
    </w:p>
    <w:p>
      <w:pPr>
        <w:pStyle w:val="NormalWeb"/>
        <w:rPr>
          <w:rStyle w:val="Rfrencelgre"/>
          <w:b w:val="0"/>
          <w:bCs w:val="0"/>
          <w:color w:val="auto"/>
        </w:rPr>
      </w:pPr>
      <w:r>
        <w:t>Date à laquelle l’indemnité ne doit plus être payée, suite à l’abrogation du texte fondateur ou d’un ou plusieurs articles.</w:t>
      </w:r>
    </w:p>
    <w:p>
      <w:pPr>
        <w:pStyle w:val="Titre3"/>
        <w:rPr>
          <w:sz w:val="24"/>
          <w:szCs w:val="24"/>
        </w:rPr>
      </w:pPr>
      <w:r>
        <w:rPr>
          <w:rStyle w:val="Rfrencelgre"/>
          <w:sz w:val="24"/>
          <w:szCs w:val="24"/>
        </w:rPr>
        <w:t>D</w:t>
      </w:r>
      <w:r>
        <w:rPr>
          <w:sz w:val="24"/>
          <w:szCs w:val="24"/>
        </w:rPr>
        <w:t xml:space="preserve">ate d’entrée en vigueur </w:t>
      </w:r>
    </w:p>
    <w:p>
      <w:pPr>
        <w:pStyle w:val="NormalWeb"/>
        <w:spacing w:before="80" w:beforeAutospacing="0" w:after="80" w:afterAutospacing="0"/>
      </w:pPr>
      <w:r>
        <w:t>Date de création de l’indemnité prévue par le texte d’origine : elle correspond à la date de début de validité juridique.</w:t>
      </w:r>
    </w:p>
    <w:p>
      <w:pPr>
        <w:pStyle w:val="Titre3"/>
        <w:rPr>
          <w:sz w:val="24"/>
          <w:szCs w:val="24"/>
        </w:rPr>
      </w:pPr>
      <w:r>
        <w:rPr>
          <w:rStyle w:val="Rfrencelgre"/>
          <w:sz w:val="24"/>
          <w:szCs w:val="24"/>
        </w:rPr>
        <w:t>D</w:t>
      </w:r>
      <w:r>
        <w:rPr>
          <w:sz w:val="24"/>
          <w:szCs w:val="24"/>
        </w:rPr>
        <w:t>ate pivot</w:t>
      </w:r>
    </w:p>
    <w:p>
      <w:pPr>
        <w:pStyle w:val="NormalWeb"/>
        <w:spacing w:before="80" w:beforeAutospacing="0" w:after="80" w:afterAutospacing="0"/>
      </w:pPr>
      <w:r>
        <w:rPr>
          <w:noProof/>
        </w:rPr>
        <w:drawing>
          <wp:inline distT="0" distB="0" distL="0" distR="0">
            <wp:extent cx="366925" cy="340240"/>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i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3836" cy="346649"/>
                    </a:xfrm>
                    <a:prstGeom prst="rect">
                      <a:avLst/>
                    </a:prstGeom>
                  </pic:spPr>
                </pic:pic>
              </a:graphicData>
            </a:graphic>
          </wp:inline>
        </w:drawing>
      </w:r>
      <w:r>
        <w:t xml:space="preserve"> Dans INGRES, la date pivot est renseignée dans le champ « Date de validité » de la fiche. Cette date est fixée en concertation avec chaque ministère, au démarrage des travaux avec RDP.</w:t>
      </w:r>
    </w:p>
    <w:p>
      <w:pPr>
        <w:pStyle w:val="NormalWeb"/>
        <w:spacing w:before="80" w:beforeAutospacing="0" w:after="80" w:afterAutospacing="0"/>
      </w:pPr>
      <w:r>
        <w:t xml:space="preserve">La description réglementaire de la fiche RDP correspond à celle en vigueur à la « Date pivot’’. </w:t>
      </w:r>
    </w:p>
    <w:p>
      <w:pPr>
        <w:pStyle w:val="NormalWeb"/>
        <w:spacing w:before="80" w:beforeAutospacing="0" w:after="80" w:afterAutospacing="0"/>
      </w:pPr>
      <w:r>
        <w:t xml:space="preserve">Les évolutions juridiques antérieures à cette date ne sont pas retracées. </w:t>
      </w:r>
    </w:p>
    <w:p>
      <w:pPr>
        <w:pStyle w:val="NormalWeb"/>
        <w:spacing w:before="80" w:beforeAutospacing="0" w:after="80" w:afterAutospacing="0"/>
      </w:pPr>
      <w:r>
        <w:t>Les évolutions juridiques postérieures à la date pivot sont tracées par une montée de version de la fiche avec une date de début de validité qui correspondra à la date d'entrée en vigueur du texte portant cette évolution.</w:t>
      </w:r>
    </w:p>
    <w:p>
      <w:pPr>
        <w:pStyle w:val="NormalWeb"/>
        <w:numPr>
          <w:ilvl w:val="0"/>
          <w:numId w:val="14"/>
        </w:numPr>
        <w:spacing w:before="80" w:beforeAutospacing="0" w:after="80" w:afterAutospacing="0"/>
      </w:pPr>
      <w:r>
        <w:t>Exemple :</w:t>
      </w:r>
    </w:p>
    <w:p>
      <w:pPr>
        <w:pStyle w:val="NormalWeb"/>
        <w:spacing w:before="80" w:beforeAutospacing="0" w:after="80" w:afterAutospacing="0"/>
      </w:pPr>
      <w:r>
        <w:t>La date d’entrée en vigueur de l’indemnité 201420 - Jour(s) ARTT non pris _ catégorie A et assimilés - est fixée au 01/05/2002.</w:t>
      </w:r>
    </w:p>
    <w:p>
      <w:pPr>
        <w:pStyle w:val="NormalWeb"/>
        <w:spacing w:before="80" w:beforeAutospacing="0" w:after="80" w:afterAutospacing="0"/>
      </w:pPr>
      <w:r>
        <w:t>La date pivot est fixée au 01/09/2017. La description réglementaire correspondra à celle en vigueur au 01/09/2017. Les versions antérieures à cette date ne sont pas décrites.</w:t>
      </w:r>
    </w:p>
    <w:p>
      <w:pPr>
        <w:pStyle w:val="NormalWeb"/>
        <w:spacing w:before="80" w:beforeAutospacing="0" w:after="80" w:afterAutospacing="0"/>
      </w:pPr>
    </w:p>
    <w:p>
      <w:pPr>
        <w:ind w:left="7788" w:firstLine="708"/>
      </w:pPr>
    </w:p>
    <w:p>
      <w:pPr>
        <w:ind w:left="7788" w:firstLine="708"/>
      </w:pPr>
    </w:p>
    <w:p>
      <w:pPr>
        <w:ind w:left="7788" w:firstLine="708"/>
      </w:pPr>
    </w:p>
    <w:p>
      <w:pPr>
        <w:ind w:left="7788" w:firstLine="708"/>
      </w:pPr>
    </w:p>
    <w:p>
      <w:pPr>
        <w:ind w:left="7788" w:firstLine="708"/>
        <w:rPr>
          <w:rFonts w:ascii="Times New Roman" w:eastAsia="Times New Roman" w:hAnsi="Times New Roman" w:cs="Times New Roman"/>
          <w:sz w:val="24"/>
          <w:szCs w:val="24"/>
          <w:lang w:eastAsia="fr-FR"/>
        </w:rPr>
      </w:pPr>
      <w:r>
        <w:br w:type="page"/>
      </w:r>
      <w:r>
        <w:rPr>
          <w:noProof/>
          <w:lang w:eastAsia="fr-FR"/>
        </w:rPr>
        <w:lastRenderedPageBreak/>
        <w:drawing>
          <wp:inline distT="0" distB="0" distL="0" distR="0">
            <wp:extent cx="329920" cy="343581"/>
            <wp:effectExtent l="0" t="0" r="0" b="0"/>
            <wp:docPr id="21" name="Imag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r>
        <w:t>D</w:t>
      </w:r>
    </w:p>
    <w:p>
      <w:pPr>
        <w:pStyle w:val="Titre3"/>
        <w:rPr>
          <w:sz w:val="24"/>
          <w:szCs w:val="24"/>
        </w:rPr>
      </w:pPr>
      <w:r>
        <w:rPr>
          <w:rStyle w:val="Rfrencelgre"/>
          <w:sz w:val="24"/>
          <w:szCs w:val="24"/>
        </w:rPr>
        <w:t>D</w:t>
      </w:r>
      <w:r>
        <w:rPr>
          <w:sz w:val="24"/>
          <w:szCs w:val="24"/>
        </w:rPr>
        <w:t>éclinaison</w:t>
      </w:r>
    </w:p>
    <w:p>
      <w:pPr>
        <w:pStyle w:val="NormalWeb"/>
        <w:spacing w:before="80" w:beforeAutospacing="0" w:after="80" w:afterAutospacing="0"/>
      </w:pPr>
      <w:r>
        <w:t>Lorsque les spécificités d’une indemnité ou d’une prime ne peuvent pas être décrites dans une même fiche, celle-ci est déclinée en une ou plusieurs fiches RDP dans INGRES (Code BJ + A, B, C, …).</w:t>
      </w:r>
    </w:p>
    <w:p>
      <w:pPr>
        <w:pStyle w:val="NormalWeb"/>
        <w:spacing w:before="80" w:beforeAutospacing="0" w:after="80" w:afterAutospacing="0"/>
      </w:pPr>
      <w:r>
        <w:t>La déclinaison doit rester exceptionnelle.</w:t>
      </w:r>
    </w:p>
    <w:p>
      <w:pPr>
        <w:pStyle w:val="NormalWeb"/>
        <w:spacing w:before="80" w:beforeAutospacing="0" w:after="80" w:afterAutospacing="0"/>
      </w:pPr>
      <w:r>
        <w:t>La déclinaison est créée uniquement si une ou des composantes de la fiche d’origine sont différentes : conditions d’éligibilité, références textes, populations, modalités de liquidation, etc.</w:t>
      </w:r>
    </w:p>
    <w:p>
      <w:pPr>
        <w:pStyle w:val="NormalWeb"/>
        <w:numPr>
          <w:ilvl w:val="0"/>
          <w:numId w:val="14"/>
        </w:numPr>
        <w:spacing w:before="80" w:beforeAutospacing="0" w:after="80" w:afterAutospacing="0"/>
      </w:pPr>
      <w:r>
        <w:t>Exemple :</w:t>
      </w:r>
    </w:p>
    <w:p>
      <w:pPr>
        <w:pStyle w:val="NormalWeb"/>
        <w:spacing w:before="80" w:beforeAutospacing="0" w:after="80" w:afterAutospacing="0"/>
      </w:pPr>
      <w:r>
        <w:t>Fiche RDP 200730 - Complément exceptionnel ou spécifique de restructuration en faveur de certains agents du ministère de la défense :</w:t>
      </w:r>
    </w:p>
    <w:p>
      <w:pPr>
        <w:pStyle w:val="NormalWeb"/>
        <w:spacing w:before="80" w:beforeAutospacing="0" w:after="80" w:afterAutospacing="0"/>
      </w:pPr>
      <w:r>
        <w:t xml:space="preserve">- 1 fiche 200730-A concernant les populations des titulaires et contractuels  </w:t>
      </w:r>
    </w:p>
    <w:p>
      <w:pPr>
        <w:pStyle w:val="NormalWeb"/>
        <w:spacing w:before="80" w:beforeAutospacing="0" w:after="80" w:afterAutospacing="0"/>
      </w:pPr>
      <w:r>
        <w:t xml:space="preserve">- 1 fiche 200730-B concernant les ouvriers d’État </w:t>
      </w:r>
    </w:p>
    <w:p>
      <w:pPr>
        <w:ind w:left="7788" w:firstLine="708"/>
      </w:pPr>
    </w:p>
    <w:p>
      <w:r>
        <w:br w:type="page"/>
      </w:r>
    </w:p>
    <w:p>
      <w:pPr>
        <w:ind w:left="7788" w:firstLine="708"/>
      </w:pPr>
      <w:r>
        <w:rPr>
          <w:noProof/>
          <w:lang w:eastAsia="fr-FR"/>
        </w:rPr>
        <w:lastRenderedPageBreak/>
        <w:drawing>
          <wp:inline distT="0" distB="0" distL="0" distR="0">
            <wp:extent cx="329920" cy="343581"/>
            <wp:effectExtent l="0" t="0" r="0" b="0"/>
            <wp:docPr id="30" name="Image 3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4" w:name="_E"/>
      <w:bookmarkEnd w:id="4"/>
      <w:r>
        <w:t>E</w:t>
      </w:r>
    </w:p>
    <w:p>
      <w:pPr>
        <w:pBdr>
          <w:top w:val="single" w:sz="6" w:space="2" w:color="5B9BD5" w:themeColor="accent1"/>
        </w:pBdr>
        <w:spacing w:before="300" w:after="0"/>
        <w:outlineLvl w:val="2"/>
        <w:rPr>
          <w:rStyle w:val="Rfrencelgre"/>
          <w:b w:val="0"/>
          <w:sz w:val="24"/>
          <w:szCs w:val="24"/>
        </w:rPr>
      </w:pPr>
      <w:r>
        <w:rPr>
          <w:rStyle w:val="Rfrencelgre"/>
          <w:b w:val="0"/>
          <w:sz w:val="24"/>
          <w:szCs w:val="24"/>
        </w:rPr>
        <w:t>E</w:t>
      </w:r>
      <w:r>
        <w:rPr>
          <w:rStyle w:val="Rfrencelgre"/>
          <w:b w:val="0"/>
          <w:color w:val="2F5496" w:themeColor="accent5" w:themeShade="BF"/>
          <w:sz w:val="24"/>
          <w:szCs w:val="24"/>
        </w:rPr>
        <w:t xml:space="preserve">LEVE </w:t>
      </w:r>
    </w:p>
    <w:p>
      <w:pPr>
        <w:spacing w:before="80" w:after="8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L’élève est un agent qui a été recruté pour être titularisé dans le grade d’un corps de fonctionnaire mais qui préalablement à sa nomination en qualité de fonctionnaire stagiaire doit suivre une période de scolarité obligatoire. Il n’est pas encore nommé dans un emploi permanent de l’État ou d’un de ses établissements publics et n’effectue pas les fonctions afférentes au grade auquel il aura vocation à accéder.</w:t>
      </w:r>
    </w:p>
    <w:p>
      <w:pPr>
        <w:spacing w:before="80" w:after="8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L’élève peut également être en position de détachement dans son corps ou cadre d’emplois d’origine.</w:t>
      </w:r>
    </w:p>
    <w:p>
      <w:pPr>
        <w:spacing w:before="80" w:after="80" w:line="240" w:lineRule="auto"/>
        <w:rPr>
          <w:rFonts w:ascii="Times New Roman" w:eastAsia="Times New Roman" w:hAnsi="Times New Roman" w:cs="Times New Roman"/>
          <w:sz w:val="24"/>
          <w:szCs w:val="24"/>
          <w:lang w:eastAsia="fr-FR"/>
        </w:rPr>
      </w:pPr>
    </w:p>
    <w:p>
      <w:pPr>
        <w:spacing w:before="80" w:after="80"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79744" behindDoc="0" locked="0" layoutInCell="1" allowOverlap="1">
            <wp:simplePos x="0" y="0"/>
            <wp:positionH relativeFrom="margin">
              <wp:align>left</wp:align>
            </wp:positionH>
            <wp:positionV relativeFrom="paragraph">
              <wp:posOffset>8066</wp:posOffset>
            </wp:positionV>
            <wp:extent cx="264059" cy="262524"/>
            <wp:effectExtent l="0" t="0" r="3175" b="444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59" cy="2625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eastAsia="fr-FR"/>
        </w:rPr>
        <w:t>Voir aussi la définition « Stagiaire ».</w:t>
      </w:r>
    </w:p>
    <w:p>
      <w:pPr>
        <w:spacing w:before="80" w:after="80" w:line="240" w:lineRule="auto"/>
        <w:rPr>
          <w:rFonts w:ascii="Times New Roman" w:eastAsia="Times New Roman" w:hAnsi="Times New Roman" w:cs="Times New Roman"/>
          <w:sz w:val="24"/>
          <w:szCs w:val="24"/>
          <w:lang w:eastAsia="fr-FR"/>
        </w:rPr>
      </w:pPr>
    </w:p>
    <w:p>
      <w:pPr>
        <w:spacing w:before="80" w:after="80" w:line="240" w:lineRule="auto"/>
        <w:rPr>
          <w:rFonts w:ascii="Times New Roman" w:eastAsia="Times New Roman" w:hAnsi="Times New Roman" w:cs="Times New Roman"/>
          <w:sz w:val="24"/>
          <w:szCs w:val="24"/>
          <w:lang w:eastAsia="fr-FR"/>
        </w:rPr>
      </w:pPr>
    </w:p>
    <w:p>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pPr>
        <w:ind w:left="7788" w:firstLine="708"/>
      </w:pPr>
      <w:r>
        <w:rPr>
          <w:noProof/>
          <w:lang w:eastAsia="fr-FR"/>
        </w:rPr>
        <w:lastRenderedPageBreak/>
        <w:drawing>
          <wp:inline distT="0" distB="0" distL="0" distR="0">
            <wp:extent cx="329920" cy="343581"/>
            <wp:effectExtent l="0" t="0" r="0" b="0"/>
            <wp:docPr id="45" name="Image 4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sz w:val="28"/>
          <w:szCs w:val="28"/>
        </w:rPr>
      </w:pPr>
      <w:bookmarkStart w:id="5" w:name="_F"/>
      <w:bookmarkEnd w:id="5"/>
      <w:r>
        <w:rPr>
          <w:sz w:val="28"/>
          <w:szCs w:val="28"/>
        </w:rPr>
        <w:t>F</w:t>
      </w:r>
    </w:p>
    <w:p>
      <w:pPr>
        <w:ind w:left="7788" w:firstLine="708"/>
        <w:jc w:val="both"/>
      </w:pPr>
    </w:p>
    <w:p>
      <w:pPr>
        <w:pBdr>
          <w:top w:val="single" w:sz="6" w:space="2" w:color="5B9BD5" w:themeColor="accent1"/>
        </w:pBdr>
        <w:spacing w:before="300" w:after="0"/>
        <w:outlineLvl w:val="2"/>
        <w:rPr>
          <w:rStyle w:val="Titre3Car"/>
          <w:sz w:val="24"/>
          <w:szCs w:val="24"/>
        </w:rPr>
      </w:pPr>
      <w:r>
        <w:rPr>
          <w:rStyle w:val="Rfrencelgre"/>
          <w:b w:val="0"/>
          <w:sz w:val="24"/>
          <w:szCs w:val="24"/>
        </w:rPr>
        <w:t>F</w:t>
      </w:r>
      <w:r>
        <w:rPr>
          <w:rStyle w:val="Titre3Car"/>
          <w:sz w:val="24"/>
          <w:szCs w:val="24"/>
        </w:rPr>
        <w:t>RAIS DE DEPLACEMENTS TEMPORAIRES </w:t>
      </w:r>
    </w:p>
    <w:p>
      <w:pPr>
        <w:pStyle w:val="Paragraphedeliste"/>
        <w:numPr>
          <w:ilvl w:val="0"/>
          <w:numId w:val="20"/>
        </w:numPr>
        <w:jc w:val="both"/>
        <w:rPr>
          <w:rFonts w:ascii="Times New Roman" w:hAnsi="Times New Roman" w:cs="Times New Roman"/>
          <w:color w:val="000000"/>
          <w:sz w:val="24"/>
          <w:szCs w:val="24"/>
        </w:rPr>
      </w:pPr>
      <w:r>
        <w:rPr>
          <w:rFonts w:ascii="Times New Roman" w:hAnsi="Times New Roman" w:cs="Times New Roman"/>
          <w:color w:val="000000"/>
          <w:sz w:val="24"/>
          <w:szCs w:val="24"/>
        </w:rPr>
        <w:t>Définitions selon l’article 2 du Décret 2006-781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Pr>
          <w:rFonts w:ascii="Times New Roman" w:hAnsi="Times New Roman" w:cs="Times New Roman"/>
          <w:b/>
          <w:color w:val="000000"/>
          <w:sz w:val="24"/>
          <w:szCs w:val="24"/>
        </w:rPr>
        <w:t>Agent en mission</w:t>
      </w:r>
      <w:r>
        <w:rPr>
          <w:rFonts w:ascii="Times New Roman" w:hAnsi="Times New Roman" w:cs="Times New Roman"/>
          <w:color w:val="000000"/>
          <w:sz w:val="24"/>
          <w:szCs w:val="24"/>
        </w:rPr>
        <w:t xml:space="preserve"> : agent en service, muni d'un ordre de mission pour une durée totale qui ne peut excéder douze mois, qui se déplace, pour l'exécution du service, hors de sa résidence administrative et hors de sa résidence familiale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Pr>
          <w:rFonts w:ascii="Times New Roman" w:hAnsi="Times New Roman" w:cs="Times New Roman"/>
          <w:b/>
          <w:color w:val="000000"/>
          <w:sz w:val="24"/>
          <w:szCs w:val="24"/>
        </w:rPr>
        <w:t>Agent en tournée</w:t>
      </w:r>
      <w:r>
        <w:rPr>
          <w:rFonts w:ascii="Times New Roman" w:hAnsi="Times New Roman" w:cs="Times New Roman"/>
          <w:color w:val="000000"/>
          <w:sz w:val="24"/>
          <w:szCs w:val="24"/>
        </w:rPr>
        <w:t xml:space="preserve"> : agent en poste à l'étranger et qui effectue un déplacement de service à l'intérieur du pays de sa résidence administrative ou à l'intérieur de sa zone de compétence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Pr>
          <w:rFonts w:ascii="Times New Roman" w:hAnsi="Times New Roman" w:cs="Times New Roman"/>
          <w:b/>
          <w:color w:val="000000"/>
          <w:sz w:val="24"/>
          <w:szCs w:val="24"/>
        </w:rPr>
        <w:t>Agent assurant un intérim</w:t>
      </w:r>
      <w:r>
        <w:rPr>
          <w:rFonts w:ascii="Times New Roman" w:hAnsi="Times New Roman" w:cs="Times New Roman"/>
          <w:color w:val="000000"/>
          <w:sz w:val="24"/>
          <w:szCs w:val="24"/>
        </w:rPr>
        <w:t xml:space="preserve"> : agent qui se déplace pour occuper un poste temporairement vacant, situé hors de sa résidence administrative et hors de sa résidence familiale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Pr>
          <w:rFonts w:ascii="Times New Roman" w:hAnsi="Times New Roman" w:cs="Times New Roman"/>
          <w:b/>
          <w:color w:val="000000"/>
          <w:sz w:val="24"/>
          <w:szCs w:val="24"/>
        </w:rPr>
        <w:t>Agent en stage</w:t>
      </w:r>
      <w:r>
        <w:rPr>
          <w:rFonts w:ascii="Times New Roman" w:hAnsi="Times New Roman" w:cs="Times New Roman"/>
          <w:color w:val="000000"/>
          <w:sz w:val="24"/>
          <w:szCs w:val="24"/>
        </w:rPr>
        <w:t xml:space="preserve"> : agent qui suit une action de formation statutaire préalable à la titularisation ou qui se déplace, hors de sa résidence administrative et hors de sa résidence familiale, pour suivre une action, organisée par ou à l'initiative de l'administration, de formation statutaire ou de formation continue en vue de la formation professionnelle tout au long de la vie des personnels de l'État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Pr>
          <w:rFonts w:ascii="Times New Roman" w:hAnsi="Times New Roman" w:cs="Times New Roman"/>
          <w:b/>
          <w:color w:val="000000"/>
          <w:sz w:val="24"/>
          <w:szCs w:val="24"/>
        </w:rPr>
        <w:t>Personne participant à un organisme consultatif</w:t>
      </w:r>
      <w:r>
        <w:rPr>
          <w:rFonts w:ascii="Times New Roman" w:hAnsi="Times New Roman" w:cs="Times New Roman"/>
          <w:color w:val="000000"/>
          <w:sz w:val="24"/>
          <w:szCs w:val="24"/>
        </w:rPr>
        <w:t xml:space="preserve"> ou qui intervient pour le compte des services et établissements : personne qui se déplace pour participer aux commissions, conseils, comités et autres organismes consultatifs dont les frais de fonctionnement sont payés sur fonds publics ou pour apporter son concours aux services et établissements mentionnés à l'article 1er;</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Pr>
          <w:rFonts w:ascii="Times New Roman" w:hAnsi="Times New Roman" w:cs="Times New Roman"/>
          <w:b/>
          <w:color w:val="000000"/>
          <w:sz w:val="24"/>
          <w:szCs w:val="24"/>
        </w:rPr>
        <w:t>Résidence administrative</w:t>
      </w:r>
      <w:r>
        <w:rPr>
          <w:rFonts w:ascii="Times New Roman" w:hAnsi="Times New Roman" w:cs="Times New Roman"/>
          <w:color w:val="000000"/>
          <w:sz w:val="24"/>
          <w:szCs w:val="24"/>
        </w:rPr>
        <w:t xml:space="preserve"> : territoire de la commune sur lequel se situe le service où l'agent est affecté ou l'école où il effectue sa scolarité. Lorsqu'il est fait mention de la résidence de l'agent, sans autre précision, cette résidence est sa résidence administrative ;</w:t>
      </w:r>
    </w:p>
    <w:p>
      <w:pPr>
        <w:pStyle w:val="Commentaire"/>
        <w:ind w:left="708"/>
        <w:jc w:val="both"/>
        <w:rPr>
          <w:rFonts w:ascii="Times New Roman" w:hAnsi="Times New Roman" w:cs="Times New Roman"/>
          <w:color w:val="000000"/>
        </w:rPr>
      </w:pPr>
      <w:r>
        <w:rPr>
          <w:noProof/>
          <w:lang w:eastAsia="fr-FR"/>
        </w:rPr>
        <w:drawing>
          <wp:anchor distT="0" distB="0" distL="114300" distR="114300" simplePos="0" relativeHeight="251694080" behindDoc="0" locked="0" layoutInCell="1" allowOverlap="1">
            <wp:simplePos x="0" y="0"/>
            <wp:positionH relativeFrom="margin">
              <wp:align>left</wp:align>
            </wp:positionH>
            <wp:positionV relativeFrom="paragraph">
              <wp:posOffset>8255</wp:posOffset>
            </wp:positionV>
            <wp:extent cx="263525" cy="262255"/>
            <wp:effectExtent l="0" t="0" r="3175" b="444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525" cy="2622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NB : ne pas confondre la résidence administrative avec les concepts d’« affectation administrative » et d’« affectation opérationnelle » du Noyau RH FPE. L’affectation administrative désigne l’unité structurelle dans laquelle l’agent est juridiquement affecté et l’affectation opérationnelle désigne le poste exact occupé par l’agent et par conséquent son lieu de travail. (cf. Thème 19 Affectation du Dictionnaire des concepts à consulter dans Pissarho).</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Pr>
          <w:rFonts w:ascii="Times New Roman" w:hAnsi="Times New Roman" w:cs="Times New Roman"/>
          <w:b/>
          <w:color w:val="000000"/>
          <w:sz w:val="24"/>
          <w:szCs w:val="24"/>
        </w:rPr>
        <w:t>Résidence familiale</w:t>
      </w:r>
      <w:r>
        <w:rPr>
          <w:rFonts w:ascii="Times New Roman" w:hAnsi="Times New Roman" w:cs="Times New Roman"/>
          <w:color w:val="000000"/>
          <w:sz w:val="24"/>
          <w:szCs w:val="24"/>
        </w:rPr>
        <w:t xml:space="preserve"> : territoire de la commune sur lequel se situe le domicile de l'agent ;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Constituant </w:t>
      </w:r>
      <w:r>
        <w:rPr>
          <w:rFonts w:ascii="Times New Roman" w:hAnsi="Times New Roman" w:cs="Times New Roman"/>
          <w:b/>
          <w:color w:val="000000"/>
          <w:sz w:val="24"/>
          <w:szCs w:val="24"/>
        </w:rPr>
        <w:t>une seule et même commune</w:t>
      </w:r>
      <w:r>
        <w:rPr>
          <w:rFonts w:ascii="Times New Roman" w:hAnsi="Times New Roman" w:cs="Times New Roman"/>
          <w:color w:val="000000"/>
          <w:sz w:val="24"/>
          <w:szCs w:val="24"/>
        </w:rPr>
        <w:t xml:space="preserve"> : toute commune et les communes limitrophes, desservies par des moyens de transports publics de voyageurs ;</w:t>
      </w:r>
    </w:p>
    <w:p>
      <w:pPr>
        <w:jc w:val="both"/>
        <w:rPr>
          <w:rFonts w:ascii="Times New Roman" w:hAnsi="Times New Roman" w:cs="Times New Roman"/>
          <w:color w:val="000000"/>
          <w:sz w:val="24"/>
          <w:szCs w:val="24"/>
        </w:rPr>
      </w:pPr>
    </w:p>
    <w:p>
      <w:pPr>
        <w:ind w:left="7788" w:firstLine="708"/>
      </w:pPr>
      <w:r>
        <w:rPr>
          <w:noProof/>
          <w:lang w:eastAsia="fr-FR"/>
        </w:rPr>
        <w:lastRenderedPageBreak/>
        <w:drawing>
          <wp:inline distT="0" distB="0" distL="0" distR="0">
            <wp:extent cx="329920" cy="343581"/>
            <wp:effectExtent l="0" t="0" r="0" b="0"/>
            <wp:docPr id="46" name="Image 4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sz w:val="28"/>
          <w:szCs w:val="28"/>
        </w:rPr>
      </w:pPr>
      <w:r>
        <w:rPr>
          <w:sz w:val="28"/>
          <w:szCs w:val="28"/>
        </w:rPr>
        <w:t>F</w:t>
      </w:r>
    </w:p>
    <w:p>
      <w:pPr>
        <w:jc w:val="both"/>
        <w:rPr>
          <w:rFonts w:ascii="Times New Roman" w:hAnsi="Times New Roman" w:cs="Times New Roman"/>
          <w:color w:val="000000"/>
          <w:sz w:val="24"/>
          <w:szCs w:val="24"/>
        </w:rPr>
      </w:pP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Toutefois, lorsque l'intérêt du service l'exige et pour tenir compte de situations particulières, un arrêté ministériel ou une délibération du conseil d'administration de l'établissement peut déroger à l'application du 8 ci-dessus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9/ </w:t>
      </w:r>
      <w:r>
        <w:rPr>
          <w:rFonts w:ascii="Times New Roman" w:hAnsi="Times New Roman" w:cs="Times New Roman"/>
          <w:b/>
          <w:color w:val="000000"/>
          <w:sz w:val="24"/>
          <w:szCs w:val="24"/>
        </w:rPr>
        <w:t>Outre-mer</w:t>
      </w:r>
      <w:r>
        <w:rPr>
          <w:rFonts w:ascii="Times New Roman" w:hAnsi="Times New Roman" w:cs="Times New Roman"/>
          <w:color w:val="000000"/>
          <w:sz w:val="24"/>
          <w:szCs w:val="24"/>
        </w:rPr>
        <w:t xml:space="preserve"> : départements d'outre-mer, collectivités d'outre-mer, ainsi que la Nouvelle-Calédonie et les Terres australes et antarctiques françaises. </w:t>
      </w:r>
    </w:p>
    <w:p>
      <w:pPr>
        <w:ind w:left="7788" w:firstLine="708"/>
        <w:jc w:val="both"/>
        <w:rPr>
          <w:rFonts w:ascii="Times New Roman" w:hAnsi="Times New Roman" w:cs="Times New Roman"/>
        </w:rPr>
      </w:pPr>
    </w:p>
    <w:p>
      <w:pPr>
        <w:ind w:left="7788" w:firstLine="708"/>
      </w:pPr>
      <w:r>
        <w:br w:type="page"/>
      </w:r>
      <w:r>
        <w:rPr>
          <w:noProof/>
          <w:lang w:eastAsia="fr-FR"/>
        </w:rPr>
        <w:lastRenderedPageBreak/>
        <w:drawing>
          <wp:inline distT="0" distB="0" distL="0" distR="0">
            <wp:extent cx="329920" cy="343581"/>
            <wp:effectExtent l="0" t="0" r="0" b="0"/>
            <wp:docPr id="22" name="Imag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6" w:name="_I"/>
      <w:bookmarkEnd w:id="6"/>
      <w:r>
        <w:t>I</w:t>
      </w:r>
    </w:p>
    <w:p>
      <w:pPr>
        <w:pStyle w:val="Titre3"/>
        <w:rPr>
          <w:sz w:val="24"/>
          <w:szCs w:val="24"/>
        </w:rPr>
      </w:pPr>
      <w:r>
        <w:rPr>
          <w:rStyle w:val="Rfrencelgre"/>
          <w:sz w:val="24"/>
          <w:szCs w:val="24"/>
        </w:rPr>
        <w:t>I</w:t>
      </w:r>
      <w:r>
        <w:rPr>
          <w:sz w:val="24"/>
          <w:szCs w:val="24"/>
        </w:rPr>
        <w:t>ncompatibilité</w:t>
      </w:r>
    </w:p>
    <w:p>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color w:val="000000"/>
          <w:sz w:val="24"/>
          <w:szCs w:val="24"/>
        </w:rPr>
        <w:t xml:space="preserve">Des indemnités sont incompatibles lorsque la réglementation prévoit que leur cumul par l’agent est impossible, soit sur une période donnée, soit sur l’ensemble de la carrière de l’agent, ou parce qu’elles sont de même nature. </w:t>
      </w:r>
    </w:p>
    <w:p>
      <w:pPr>
        <w:autoSpaceDE w:val="0"/>
        <w:autoSpaceDN w:val="0"/>
        <w:adjustRightInd w:val="0"/>
        <w:spacing w:after="0" w:line="240" w:lineRule="auto"/>
        <w:jc w:val="both"/>
        <w:rPr>
          <w:rFonts w:ascii="Times New Roman" w:hAnsi="Times New Roman" w:cs="Times New Roman"/>
          <w:b/>
          <w:color w:val="000000"/>
          <w:sz w:val="24"/>
          <w:szCs w:val="24"/>
        </w:rPr>
      </w:pPr>
    </w:p>
    <w:p>
      <w:pPr>
        <w:autoSpaceDE w:val="0"/>
        <w:autoSpaceDN w:val="0"/>
        <w:adjustRightInd w:val="0"/>
        <w:spacing w:after="0" w:line="240" w:lineRule="auto"/>
        <w:ind w:left="708"/>
        <w:jc w:val="both"/>
        <w:rPr>
          <w:rFonts w:ascii="Times New Roman" w:hAnsi="Times New Roman" w:cs="Times New Roman"/>
          <w:b/>
          <w:color w:val="000000"/>
          <w:sz w:val="24"/>
          <w:szCs w:val="24"/>
        </w:rPr>
      </w:pPr>
      <w:r>
        <w:rPr>
          <w:noProof/>
          <w:lang w:eastAsia="fr-FR"/>
        </w:rPr>
        <w:drawing>
          <wp:anchor distT="0" distB="0" distL="114300" distR="114300" simplePos="0" relativeHeight="251689984" behindDoc="0" locked="0" layoutInCell="1" allowOverlap="1">
            <wp:simplePos x="0" y="0"/>
            <wp:positionH relativeFrom="margin">
              <wp:posOffset>-635</wp:posOffset>
            </wp:positionH>
            <wp:positionV relativeFrom="paragraph">
              <wp:posOffset>66675</wp:posOffset>
            </wp:positionV>
            <wp:extent cx="368935" cy="366395"/>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935" cy="366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sz w:val="24"/>
          <w:szCs w:val="24"/>
        </w:rPr>
        <w:t>Les incompatibilités peuvent être totales ou conditionnelles, permanentes ou non permanentes.</w:t>
      </w:r>
    </w:p>
    <w:p>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Les types d’incompatibilités (totale, permanente) de la matrice des incompatibilités et ceux (totale, conditionnelle) de la fiche RDP sont couplés à des indicateurs dans INGRES, mais ne sont pas tous repris dans l’édition de la fiche RDP et le Chatbot. </w:t>
      </w:r>
    </w:p>
    <w:p>
      <w:pPr>
        <w:ind w:left="708"/>
        <w:jc w:val="both"/>
        <w:rPr>
          <w:rFonts w:ascii="Times New Roman" w:hAnsi="Times New Roman" w:cs="Times New Roman"/>
          <w:color w:val="000000"/>
          <w:sz w:val="24"/>
          <w:szCs w:val="24"/>
        </w:rPr>
      </w:pPr>
      <w:r>
        <w:rPr>
          <w:rFonts w:ascii="Times New Roman" w:hAnsi="Times New Roman" w:cs="Times New Roman"/>
          <w:noProof/>
          <w:lang w:eastAsia="fr-FR"/>
        </w:rPr>
        <w:drawing>
          <wp:anchor distT="0" distB="0" distL="114300" distR="114300" simplePos="0" relativeHeight="251691008" behindDoc="0" locked="0" layoutInCell="1" allowOverlap="1">
            <wp:simplePos x="0" y="0"/>
            <wp:positionH relativeFrom="margin">
              <wp:posOffset>1445895</wp:posOffset>
            </wp:positionH>
            <wp:positionV relativeFrom="paragraph">
              <wp:posOffset>549275</wp:posOffset>
            </wp:positionV>
            <wp:extent cx="2914650" cy="742950"/>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1465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E74B5" w:themeColor="accent1" w:themeShade="BF"/>
          <w:sz w:val="28"/>
          <w:szCs w:val="28"/>
        </w:rPr>
        <w:sym w:font="Wingdings" w:char="F076"/>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Indicateurs renseignés dans la matrice des incompatibilités :</w:t>
      </w:r>
      <w:r>
        <w:rPr>
          <w:rFonts w:ascii="Times New Roman" w:hAnsi="Times New Roman" w:cs="Times New Roman"/>
          <w:color w:val="000000"/>
          <w:sz w:val="24"/>
          <w:szCs w:val="24"/>
        </w:rPr>
        <w:t xml:space="preserve"> ‘’Oui’’ ou ‘’Non’’ pour préciser respectivement si l’incompatibilité est totale ou permanente.</w:t>
      </w:r>
    </w:p>
    <w:p>
      <w:pPr>
        <w:rPr>
          <w:rFonts w:ascii="Times New Roman" w:hAnsi="Times New Roman" w:cs="Times New Roman"/>
          <w:color w:val="000000"/>
          <w:sz w:val="24"/>
          <w:szCs w:val="24"/>
        </w:rPr>
      </w:pPr>
    </w:p>
    <w:p>
      <w:pPr>
        <w:jc w:val="both"/>
        <w:rPr>
          <w:rFonts w:ascii="Times New Roman" w:hAnsi="Times New Roman" w:cs="Times New Roman"/>
          <w:color w:val="00B0F0"/>
          <w:sz w:val="28"/>
          <w:szCs w:val="24"/>
        </w:rPr>
      </w:pPr>
    </w:p>
    <w:p>
      <w:pPr>
        <w:jc w:val="both"/>
        <w:rPr>
          <w:rFonts w:ascii="Times New Roman" w:hAnsi="Times New Roman" w:cs="Times New Roman"/>
          <w:color w:val="00B0F0"/>
          <w:sz w:val="28"/>
          <w:szCs w:val="24"/>
        </w:rPr>
      </w:pPr>
    </w:p>
    <w:p>
      <w:pPr>
        <w:ind w:left="708"/>
        <w:jc w:val="both"/>
        <w:rPr>
          <w:rFonts w:ascii="Times New Roman" w:hAnsi="Times New Roman" w:cs="Times New Roman"/>
          <w:color w:val="000000"/>
          <w:sz w:val="24"/>
          <w:szCs w:val="24"/>
        </w:rPr>
      </w:pPr>
      <w:r>
        <w:rPr>
          <w:rFonts w:ascii="Times New Roman" w:hAnsi="Times New Roman" w:cs="Times New Roman"/>
          <w:color w:val="00B0F0"/>
          <w:sz w:val="28"/>
          <w:szCs w:val="24"/>
        </w:rPr>
        <w:sym w:font="Wingdings" w:char="F032"/>
      </w:r>
      <w:r>
        <w:rPr>
          <w:rFonts w:ascii="Times New Roman" w:hAnsi="Times New Roman" w:cs="Times New Roman"/>
          <w:color w:val="000000"/>
          <w:sz w:val="24"/>
          <w:szCs w:val="24"/>
        </w:rPr>
        <w:t> </w:t>
      </w:r>
      <w:r>
        <w:rPr>
          <w:rFonts w:ascii="Times New Roman" w:hAnsi="Times New Roman" w:cs="Times New Roman"/>
          <w:b/>
          <w:color w:val="000000"/>
          <w:sz w:val="24"/>
          <w:szCs w:val="24"/>
        </w:rPr>
        <w:t>Indicateurs renseignés dans la rubrique des incompatibilités de la fiche RDP :</w:t>
      </w:r>
      <w:r>
        <w:rPr>
          <w:rFonts w:ascii="Times New Roman" w:hAnsi="Times New Roman" w:cs="Times New Roman"/>
          <w:color w:val="000000"/>
          <w:sz w:val="24"/>
          <w:szCs w:val="24"/>
        </w:rPr>
        <w:t xml:space="preserve"> « 1 » lorsque l’incompatibilité est totale, « 0 » lorsqu’elle est conditionnelle (différente de totale). Le type ‘’permanente ‘’ ne figure pas dans la fiche RDP. </w:t>
      </w:r>
    </w:p>
    <w:p>
      <w:pPr>
        <w:jc w:val="both"/>
        <w:rPr>
          <w:rFonts w:ascii="Times New Roman" w:hAnsi="Times New Roman" w:cs="Times New Roman"/>
          <w:color w:val="000000"/>
          <w:sz w:val="24"/>
          <w:szCs w:val="24"/>
        </w:rPr>
      </w:pPr>
      <w:r>
        <w:rPr>
          <w:rFonts w:ascii="Times New Roman" w:hAnsi="Times New Roman" w:cs="Times New Roman"/>
          <w:noProof/>
          <w:lang w:eastAsia="fr-FR"/>
        </w:rPr>
        <w:drawing>
          <wp:anchor distT="0" distB="0" distL="114300" distR="114300" simplePos="0" relativeHeight="251692032" behindDoc="0" locked="0" layoutInCell="1" allowOverlap="1">
            <wp:simplePos x="0" y="0"/>
            <wp:positionH relativeFrom="margin">
              <wp:align>center</wp:align>
            </wp:positionH>
            <wp:positionV relativeFrom="paragraph">
              <wp:posOffset>5080</wp:posOffset>
            </wp:positionV>
            <wp:extent cx="1019175" cy="685800"/>
            <wp:effectExtent l="0" t="0" r="9525"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19175" cy="685800"/>
                    </a:xfrm>
                    <a:prstGeom prst="rect">
                      <a:avLst/>
                    </a:prstGeom>
                  </pic:spPr>
                </pic:pic>
              </a:graphicData>
            </a:graphic>
            <wp14:sizeRelH relativeFrom="page">
              <wp14:pctWidth>0</wp14:pctWidth>
            </wp14:sizeRelH>
            <wp14:sizeRelV relativeFrom="page">
              <wp14:pctHeight>0</wp14:pctHeight>
            </wp14:sizeRelV>
          </wp:anchor>
        </w:drawing>
      </w:r>
    </w:p>
    <w:p>
      <w:pPr>
        <w:jc w:val="both"/>
        <w:rPr>
          <w:rFonts w:ascii="Times New Roman" w:hAnsi="Times New Roman" w:cs="Times New Roman"/>
          <w:color w:val="000000"/>
          <w:sz w:val="24"/>
          <w:szCs w:val="24"/>
        </w:rPr>
      </w:pPr>
    </w:p>
    <w:p>
      <w:pPr>
        <w:pStyle w:val="Commentaire"/>
        <w:jc w:val="both"/>
        <w:rPr>
          <w:rFonts w:ascii="Times New Roman" w:hAnsi="Times New Roman" w:cs="Times New Roman"/>
          <w:b/>
          <w:color w:val="2F5496" w:themeColor="accent5" w:themeShade="BF"/>
          <w:sz w:val="24"/>
          <w:szCs w:val="24"/>
        </w:rPr>
      </w:pPr>
    </w:p>
    <w:p>
      <w:pPr>
        <w:pStyle w:val="Commentaire"/>
        <w:numPr>
          <w:ilvl w:val="0"/>
          <w:numId w:val="19"/>
        </w:numPr>
        <w:jc w:val="both"/>
        <w:rPr>
          <w:rFonts w:ascii="Times New Roman" w:hAnsi="Times New Roman" w:cs="Times New Roman"/>
          <w:sz w:val="24"/>
          <w:szCs w:val="24"/>
        </w:rPr>
      </w:pPr>
      <w:r>
        <w:rPr>
          <w:rFonts w:ascii="Times New Roman" w:hAnsi="Times New Roman" w:cs="Times New Roman"/>
          <w:b/>
          <w:color w:val="2F5496" w:themeColor="accent5" w:themeShade="BF"/>
          <w:sz w:val="24"/>
          <w:szCs w:val="24"/>
        </w:rPr>
        <w:t>Totale</w:t>
      </w:r>
      <w:r>
        <w:rPr>
          <w:rFonts w:ascii="Times New Roman" w:hAnsi="Times New Roman" w:cs="Times New Roman"/>
          <w:color w:val="2F5496" w:themeColor="accent5" w:themeShade="BF"/>
          <w:sz w:val="24"/>
          <w:szCs w:val="24"/>
        </w:rPr>
        <w:t> </w:t>
      </w:r>
      <w:r>
        <w:rPr>
          <w:rFonts w:ascii="Times New Roman" w:hAnsi="Times New Roman" w:cs="Times New Roman"/>
          <w:color w:val="000000"/>
          <w:sz w:val="24"/>
          <w:szCs w:val="24"/>
        </w:rPr>
        <w:t xml:space="preserve">: les 2 indemnités (codes BJ) sont systématiquement incompatibles : </w:t>
      </w:r>
      <w:r>
        <w:rPr>
          <w:rFonts w:ascii="Times New Roman" w:hAnsi="Times New Roman" w:cs="Times New Roman"/>
          <w:sz w:val="24"/>
          <w:szCs w:val="24"/>
        </w:rPr>
        <w:t xml:space="preserve">l’indicateur est « Oui » </w:t>
      </w:r>
      <w:r>
        <w:rPr>
          <w:rFonts w:ascii="Times New Roman" w:hAnsi="Times New Roman" w:cs="Times New Roman"/>
          <w:color w:val="2E74B5" w:themeColor="accent1" w:themeShade="BF"/>
          <w:sz w:val="28"/>
          <w:szCs w:val="28"/>
        </w:rPr>
        <w:sym w:font="Wingdings" w:char="F076"/>
      </w:r>
      <w:r>
        <w:rPr>
          <w:rFonts w:ascii="Times New Roman" w:hAnsi="Times New Roman" w:cs="Times New Roman"/>
          <w:color w:val="2E74B5" w:themeColor="accent1" w:themeShade="BF"/>
          <w:sz w:val="28"/>
          <w:szCs w:val="28"/>
        </w:rPr>
        <w:t xml:space="preserve"> et </w:t>
      </w:r>
      <w:r>
        <w:rPr>
          <w:rFonts w:ascii="Times New Roman" w:hAnsi="Times New Roman" w:cs="Times New Roman"/>
          <w:sz w:val="24"/>
          <w:szCs w:val="24"/>
        </w:rPr>
        <w:t xml:space="preserve">« 1 » </w:t>
      </w:r>
      <w:r>
        <w:rPr>
          <w:rFonts w:ascii="Times New Roman" w:hAnsi="Times New Roman" w:cs="Times New Roman"/>
          <w:color w:val="00B0F0"/>
          <w:sz w:val="28"/>
          <w:szCs w:val="24"/>
        </w:rPr>
        <w:sym w:font="Wingdings" w:char="F032"/>
      </w:r>
      <w:r>
        <w:rPr>
          <w:rFonts w:ascii="Times New Roman" w:hAnsi="Times New Roman" w:cs="Times New Roman"/>
          <w:sz w:val="24"/>
          <w:szCs w:val="24"/>
        </w:rPr>
        <w:t>.</w:t>
      </w:r>
    </w:p>
    <w:p>
      <w:pPr>
        <w:pStyle w:val="Commentair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Exemple : si un agent perçoit l’Indemnité d'administration et de technicité » (IAT) code 200674, il ne peut pas percevoir pour la même période l’« Indemnité forfaitaire pour travaux supplémentaires des services déconcentrés » (IFTS) code 200676. </w:t>
      </w:r>
      <w:r>
        <w:rPr>
          <w:rFonts w:ascii="Times New Roman" w:hAnsi="Times New Roman" w:cs="Times New Roman"/>
          <w:sz w:val="24"/>
          <w:szCs w:val="24"/>
        </w:rPr>
        <w:t xml:space="preserve">L’indicateur est « Oui » </w:t>
      </w:r>
      <w:r>
        <w:rPr>
          <w:rFonts w:ascii="Times New Roman" w:hAnsi="Times New Roman" w:cs="Times New Roman"/>
          <w:color w:val="2E74B5" w:themeColor="accent1" w:themeShade="BF"/>
          <w:sz w:val="28"/>
          <w:szCs w:val="28"/>
        </w:rPr>
        <w:sym w:font="Wingdings" w:char="F076"/>
      </w:r>
      <w:r>
        <w:rPr>
          <w:rFonts w:ascii="Times New Roman" w:hAnsi="Times New Roman" w:cs="Times New Roman"/>
          <w:color w:val="2E74B5" w:themeColor="accent1" w:themeShade="BF"/>
          <w:sz w:val="28"/>
          <w:szCs w:val="28"/>
        </w:rPr>
        <w:t xml:space="preserve"> et </w:t>
      </w:r>
      <w:r>
        <w:rPr>
          <w:rFonts w:ascii="Times New Roman" w:hAnsi="Times New Roman" w:cs="Times New Roman"/>
          <w:sz w:val="24"/>
          <w:szCs w:val="24"/>
        </w:rPr>
        <w:t xml:space="preserve">« 1 » </w:t>
      </w:r>
      <w:r>
        <w:rPr>
          <w:rFonts w:ascii="Times New Roman" w:hAnsi="Times New Roman" w:cs="Times New Roman"/>
          <w:color w:val="00B0F0"/>
          <w:sz w:val="28"/>
          <w:szCs w:val="24"/>
        </w:rPr>
        <w:sym w:font="Wingdings" w:char="F032"/>
      </w:r>
      <w:r>
        <w:rPr>
          <w:rFonts w:ascii="Times New Roman" w:hAnsi="Times New Roman" w:cs="Times New Roman"/>
          <w:sz w:val="24"/>
          <w:szCs w:val="24"/>
        </w:rPr>
        <w:t>.</w:t>
      </w:r>
    </w:p>
    <w:p>
      <w:pPr>
        <w:pStyle w:val="Commentaire"/>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Un agent qui perçoit l’IAT peut devenir éligible, suite à une augmentation d’indice, à l’IFTS et la percevoir consécutivement à l’IAT (200674 de janvier à mai 2020, puis 200676 à compter de juin 2020).</w:t>
      </w:r>
    </w:p>
    <w:p>
      <w:pPr>
        <w:pStyle w:val="Paragraphedeliste"/>
        <w:numPr>
          <w:ilvl w:val="0"/>
          <w:numId w:val="19"/>
        </w:numPr>
        <w:jc w:val="both"/>
        <w:rPr>
          <w:rFonts w:ascii="Times New Roman" w:hAnsi="Times New Roman" w:cs="Times New Roman"/>
          <w:color w:val="000000"/>
          <w:sz w:val="24"/>
          <w:szCs w:val="24"/>
        </w:rPr>
      </w:pPr>
      <w:r>
        <w:rPr>
          <w:rFonts w:ascii="Times New Roman" w:hAnsi="Times New Roman" w:cs="Times New Roman"/>
          <w:b/>
          <w:color w:val="2F5496" w:themeColor="accent5" w:themeShade="BF"/>
          <w:sz w:val="24"/>
          <w:szCs w:val="24"/>
        </w:rPr>
        <w:t>Conditionnelle</w:t>
      </w:r>
      <w:r>
        <w:rPr>
          <w:rFonts w:ascii="Times New Roman" w:hAnsi="Times New Roman" w:cs="Times New Roman"/>
          <w:b/>
          <w:color w:val="000000"/>
          <w:sz w:val="24"/>
          <w:szCs w:val="24"/>
        </w:rPr>
        <w:t> </w:t>
      </w:r>
      <w:r>
        <w:rPr>
          <w:rFonts w:ascii="Times New Roman" w:hAnsi="Times New Roman" w:cs="Times New Roman"/>
          <w:color w:val="000000"/>
          <w:sz w:val="24"/>
          <w:szCs w:val="24"/>
        </w:rPr>
        <w:t xml:space="preserve">: les 2 indemnités (code BJ) sont incompatibles mais peuvent parfois être cumulées sous certaines conditions (période d’attribution distincte, exercer des </w:t>
      </w:r>
    </w:p>
    <w:p>
      <w:pPr>
        <w:jc w:val="right"/>
      </w:pPr>
      <w:r>
        <w:rPr>
          <w:noProof/>
          <w:lang w:eastAsia="fr-FR"/>
        </w:rPr>
        <w:lastRenderedPageBreak/>
        <w:drawing>
          <wp:inline distT="0" distB="0" distL="0" distR="0">
            <wp:extent cx="329920" cy="343581"/>
            <wp:effectExtent l="0" t="0" r="0" b="0"/>
            <wp:docPr id="42" name="Image 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r>
        <w:t>I</w:t>
      </w:r>
    </w:p>
    <w:p>
      <w:pPr>
        <w:ind w:left="708"/>
        <w:jc w:val="both"/>
        <w:rPr>
          <w:rFonts w:ascii="Times New Roman" w:hAnsi="Times New Roman" w:cs="Times New Roman"/>
          <w:color w:val="000000"/>
          <w:sz w:val="24"/>
          <w:szCs w:val="24"/>
        </w:rPr>
      </w:pPr>
    </w:p>
    <w:p>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fonctions précises) : l’indicateur est ‘’0’’ </w:t>
      </w:r>
      <w:r>
        <w:rPr>
          <w:color w:val="00B0F0"/>
          <w:sz w:val="28"/>
        </w:rPr>
        <w:sym w:font="Wingdings" w:char="F032"/>
      </w:r>
      <w:r>
        <w:rPr>
          <w:rFonts w:ascii="Times New Roman" w:hAnsi="Times New Roman" w:cs="Times New Roman"/>
          <w:color w:val="000000"/>
          <w:sz w:val="24"/>
          <w:szCs w:val="24"/>
        </w:rPr>
        <w:t xml:space="preserve"> dans la</w:t>
      </w:r>
      <w:r>
        <w:rPr>
          <w:rFonts w:ascii="Times New Roman" w:hAnsi="Times New Roman" w:cs="Times New Roman"/>
          <w:color w:val="00B0F0"/>
          <w:sz w:val="28"/>
          <w:szCs w:val="24"/>
        </w:rPr>
        <w:t xml:space="preserve"> </w:t>
      </w:r>
      <w:r>
        <w:rPr>
          <w:rFonts w:ascii="Times New Roman" w:hAnsi="Times New Roman" w:cs="Times New Roman"/>
          <w:color w:val="000000"/>
          <w:sz w:val="24"/>
          <w:szCs w:val="24"/>
        </w:rPr>
        <w:t>fiche RDP.</w:t>
      </w:r>
      <w:r>
        <w:rPr>
          <w:rFonts w:ascii="Times New Roman" w:hAnsi="Times New Roman" w:cs="Times New Roman"/>
          <w:color w:val="000000"/>
        </w:rPr>
        <w:t xml:space="preserve"> </w:t>
      </w:r>
      <w:r>
        <w:rPr>
          <w:rFonts w:ascii="Times New Roman" w:hAnsi="Times New Roman" w:cs="Times New Roman"/>
          <w:color w:val="000000"/>
          <w:sz w:val="24"/>
          <w:szCs w:val="24"/>
        </w:rPr>
        <w:t>Dans ce cas, les conditions de cumul sont indiquées dans la zone ‘’Commentaires’’ de la fiche RDP. Cette information ne figure pas dans la matrice des incompatibilités.</w:t>
      </w:r>
    </w:p>
    <w:p>
      <w:pPr>
        <w:pStyle w:val="Paragraphedelist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Exemples : </w:t>
      </w:r>
    </w:p>
    <w:p>
      <w:pPr>
        <w:pStyle w:val="Commentaire"/>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l’indemnité « Heures supplémentaires des ouvriers d'Etat du ministère de la Défense (1er taux) » code 201060 et l’indemnité « Heures supplémentaires des ouvriers d'Etat du ministère de la Défense (2ème  taux) » code 201061 ne peuvent pas se cumuler. L’indicateur est ‘’0’’ </w:t>
      </w:r>
      <w:r>
        <w:rPr>
          <w:rFonts w:ascii="Times New Roman" w:hAnsi="Times New Roman" w:cs="Times New Roman"/>
          <w:color w:val="00B0F0"/>
          <w:sz w:val="28"/>
          <w:szCs w:val="24"/>
        </w:rPr>
        <w:sym w:font="Wingdings" w:char="F032"/>
      </w:r>
      <w:r>
        <w:rPr>
          <w:rFonts w:ascii="Times New Roman" w:hAnsi="Times New Roman" w:cs="Times New Roman"/>
          <w:color w:val="000000"/>
          <w:sz w:val="24"/>
          <w:szCs w:val="24"/>
        </w:rPr>
        <w:t xml:space="preserve"> dans la</w:t>
      </w:r>
      <w:r>
        <w:rPr>
          <w:rFonts w:ascii="Times New Roman" w:hAnsi="Times New Roman" w:cs="Times New Roman"/>
          <w:color w:val="00B0F0"/>
          <w:sz w:val="28"/>
          <w:szCs w:val="24"/>
        </w:rPr>
        <w:t xml:space="preserve"> </w:t>
      </w:r>
      <w:r>
        <w:rPr>
          <w:rFonts w:ascii="Times New Roman" w:hAnsi="Times New Roman" w:cs="Times New Roman"/>
          <w:color w:val="000000"/>
          <w:sz w:val="24"/>
          <w:szCs w:val="24"/>
        </w:rPr>
        <w:t>fiche RDP. L’incompatibilité porte uniquement au titre de la même heure travaillée : chaque heure est rémunérée soit au 1er soit au 2e taux.</w:t>
      </w:r>
    </w:p>
    <w:p>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l’indemnité de fonction particulière versée à certains professeurs des écoles code 200408, est incompatible avec les fonctions donnant lieu au versement de  la Nouvelle Bonification Indiciaire (NBI) code 101070 à l'exception des fonctions de directeur d'école. L’indicateur est ‘’0’’ </w:t>
      </w:r>
      <w:r>
        <w:rPr>
          <w:rFonts w:ascii="Times New Roman" w:hAnsi="Times New Roman" w:cs="Times New Roman"/>
          <w:color w:val="00B0F0"/>
          <w:sz w:val="28"/>
        </w:rPr>
        <w:sym w:font="Wingdings" w:char="F032"/>
      </w:r>
      <w:r>
        <w:rPr>
          <w:rFonts w:ascii="Times New Roman" w:hAnsi="Times New Roman" w:cs="Times New Roman"/>
          <w:color w:val="000000"/>
          <w:sz w:val="24"/>
          <w:szCs w:val="24"/>
        </w:rPr>
        <w:t xml:space="preserve"> dans la</w:t>
      </w:r>
      <w:r>
        <w:rPr>
          <w:rFonts w:ascii="Times New Roman" w:hAnsi="Times New Roman" w:cs="Times New Roman"/>
          <w:color w:val="00B0F0"/>
          <w:sz w:val="28"/>
          <w:szCs w:val="24"/>
        </w:rPr>
        <w:t xml:space="preserve"> </w:t>
      </w:r>
      <w:r>
        <w:rPr>
          <w:rFonts w:ascii="Times New Roman" w:hAnsi="Times New Roman" w:cs="Times New Roman"/>
          <w:color w:val="000000"/>
          <w:sz w:val="24"/>
          <w:szCs w:val="24"/>
        </w:rPr>
        <w:t>fiche RDP.</w:t>
      </w:r>
    </w:p>
    <w:p>
      <w:pPr>
        <w:pStyle w:val="Paragraphedeliste"/>
        <w:numPr>
          <w:ilvl w:val="0"/>
          <w:numId w:val="19"/>
        </w:numPr>
        <w:jc w:val="both"/>
        <w:rPr>
          <w:rFonts w:ascii="Times New Roman" w:hAnsi="Times New Roman" w:cs="Times New Roman"/>
          <w:color w:val="000000"/>
          <w:sz w:val="24"/>
          <w:szCs w:val="24"/>
        </w:rPr>
      </w:pPr>
      <w:r>
        <w:rPr>
          <w:rFonts w:ascii="Times New Roman" w:hAnsi="Times New Roman" w:cs="Times New Roman"/>
          <w:b/>
          <w:color w:val="2F5496" w:themeColor="accent5" w:themeShade="BF"/>
          <w:sz w:val="24"/>
          <w:szCs w:val="24"/>
        </w:rPr>
        <w:t xml:space="preserve">Permanente </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les 2 indemnités sont systématiquement et rigoureusement incompatibles : l’indicateur est ‘’Oui’’ </w:t>
      </w:r>
      <w:r>
        <w:rPr>
          <w:color w:val="2E74B5" w:themeColor="accent1" w:themeShade="BF"/>
          <w:sz w:val="28"/>
          <w:szCs w:val="28"/>
        </w:rPr>
        <w:sym w:font="Wingdings" w:char="F076"/>
      </w:r>
      <w:r>
        <w:rPr>
          <w:rFonts w:ascii="Times New Roman" w:hAnsi="Times New Roman" w:cs="Times New Roman"/>
          <w:color w:val="2E74B5" w:themeColor="accent1" w:themeShade="BF"/>
          <w:sz w:val="24"/>
          <w:szCs w:val="24"/>
        </w:rPr>
        <w:t xml:space="preserve"> </w:t>
      </w:r>
      <w:r>
        <w:rPr>
          <w:rFonts w:ascii="Times New Roman" w:hAnsi="Times New Roman" w:cs="Times New Roman"/>
          <w:color w:val="000000"/>
          <w:sz w:val="24"/>
          <w:szCs w:val="24"/>
        </w:rPr>
        <w:t xml:space="preserve">dans la matrice (cette information ne figure pas dans la fiche RDP). </w:t>
      </w:r>
    </w:p>
    <w:p>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Si un agent a perçu la « prime spéciale d’installation » code 200127, il ne pourra jamais percevoir la « Prime spécifique d'installation » code 200672 durant le reste de sa carrière.</w:t>
      </w:r>
    </w:p>
    <w:p>
      <w:pPr>
        <w:jc w:val="both"/>
        <w:rPr>
          <w:rFonts w:ascii="Times New Roman" w:hAnsi="Times New Roman" w:cs="Times New Roman"/>
          <w:color w:val="000000"/>
          <w:sz w:val="24"/>
          <w:szCs w:val="24"/>
        </w:rPr>
      </w:pPr>
      <w:r>
        <w:rPr>
          <w:noProof/>
          <w:lang w:eastAsia="fr-FR"/>
        </w:rPr>
        <w:drawing>
          <wp:inline distT="0" distB="0" distL="0" distR="0">
            <wp:extent cx="5760720" cy="3137535"/>
            <wp:effectExtent l="0" t="0" r="0"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37535"/>
                    </a:xfrm>
                    <a:prstGeom prst="rect">
                      <a:avLst/>
                    </a:prstGeom>
                  </pic:spPr>
                </pic:pic>
              </a:graphicData>
            </a:graphic>
          </wp:inline>
        </w:drawing>
      </w:r>
    </w:p>
    <w:p>
      <w:pPr>
        <w:jc w:val="right"/>
      </w:pPr>
      <w:r>
        <w:rPr>
          <w:noProof/>
          <w:lang w:eastAsia="fr-FR"/>
        </w:rPr>
        <w:lastRenderedPageBreak/>
        <w:drawing>
          <wp:inline distT="0" distB="0" distL="0" distR="0">
            <wp:extent cx="329920" cy="343581"/>
            <wp:effectExtent l="0" t="0" r="0" b="0"/>
            <wp:docPr id="43" name="Image 4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r>
        <w:t>I</w:t>
      </w:r>
    </w:p>
    <w:p>
      <w:pPr>
        <w:pStyle w:val="Titre3"/>
        <w:rPr>
          <w:rFonts w:ascii="Times New Roman" w:hAnsi="Times New Roman" w:cs="Times New Roman"/>
          <w:color w:val="000000"/>
          <w:sz w:val="24"/>
          <w:szCs w:val="24"/>
        </w:rPr>
      </w:pPr>
    </w:p>
    <w:p>
      <w:pPr>
        <w:pStyle w:val="Titre3"/>
        <w:rPr>
          <w:sz w:val="24"/>
          <w:szCs w:val="24"/>
        </w:rPr>
      </w:pPr>
      <w:r>
        <w:rPr>
          <w:rStyle w:val="Rfrencelgre"/>
          <w:sz w:val="24"/>
          <w:szCs w:val="24"/>
        </w:rPr>
        <w:t>I</w:t>
      </w:r>
      <w:r>
        <w:rPr>
          <w:sz w:val="24"/>
          <w:szCs w:val="24"/>
        </w:rPr>
        <w:t>ndemnité</w:t>
      </w:r>
    </w:p>
    <w:p>
      <w:pPr>
        <w:pStyle w:val="NormalWeb"/>
        <w:spacing w:before="80" w:beforeAutospacing="0" w:after="80" w:afterAutospacing="0"/>
      </w:pPr>
      <w:r>
        <w:t xml:space="preserve">Rétribution ou compensation pécuniaire d’une fonction temporaire, de frais ou d’une situation particuliers : indemnité de départ, de fin d'emploi ou de cessation d'emploi. </w:t>
      </w:r>
    </w:p>
    <w:p>
      <w:pPr>
        <w:pStyle w:val="NormalWeb"/>
        <w:numPr>
          <w:ilvl w:val="0"/>
          <w:numId w:val="14"/>
        </w:numPr>
        <w:spacing w:before="80" w:beforeAutospacing="0" w:after="80" w:afterAutospacing="0"/>
      </w:pPr>
      <w:r>
        <w:t>Exemples :</w:t>
      </w:r>
    </w:p>
    <w:p>
      <w:pPr>
        <w:pStyle w:val="NormalWeb"/>
        <w:spacing w:before="80" w:beforeAutospacing="0" w:after="80" w:afterAutospacing="0"/>
        <w:ind w:left="360"/>
      </w:pPr>
      <w:r>
        <w:t>Fiche 201494 indemnité de départ volontaire (IDV);</w:t>
      </w:r>
    </w:p>
    <w:p>
      <w:pPr>
        <w:pStyle w:val="NormalWeb"/>
        <w:spacing w:before="80" w:beforeAutospacing="0" w:after="80" w:afterAutospacing="0"/>
        <w:ind w:left="360"/>
      </w:pPr>
      <w:r>
        <w:t>Fiche 200284 indemnité de formation (pour les formateurs).</w:t>
      </w:r>
    </w:p>
    <w:p>
      <w:pPr>
        <w:pStyle w:val="NormalWeb"/>
        <w:spacing w:before="80" w:beforeAutospacing="0" w:after="80" w:afterAutospacing="0"/>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229235</wp:posOffset>
            </wp:positionV>
            <wp:extent cx="346075" cy="34353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6075" cy="343535"/>
                    </a:xfrm>
                    <a:prstGeom prst="rect">
                      <a:avLst/>
                    </a:prstGeom>
                  </pic:spPr>
                </pic:pic>
              </a:graphicData>
            </a:graphic>
            <wp14:sizeRelH relativeFrom="page">
              <wp14:pctWidth>0</wp14:pctWidth>
            </wp14:sizeRelH>
            <wp14:sizeRelV relativeFrom="page">
              <wp14:pctHeight>0</wp14:pctHeight>
            </wp14:sizeRelV>
          </wp:anchor>
        </w:drawing>
      </w:r>
    </w:p>
    <w:p>
      <w:pPr>
        <w:pStyle w:val="NormalWeb"/>
        <w:spacing w:before="80" w:beforeAutospacing="0" w:after="80" w:afterAutospacing="0"/>
      </w:pPr>
      <w:r>
        <w:t>Voir aussi la définition prime. À noter qu’avec le temps, ces 2 notions bien que distinctes, ont tendance à être utilisées indifféremment.</w:t>
      </w:r>
    </w:p>
    <w:p>
      <w:pPr>
        <w:rPr>
          <w:rFonts w:ascii="Times New Roman" w:eastAsia="Times New Roman" w:hAnsi="Times New Roman" w:cs="Times New Roman"/>
          <w:sz w:val="24"/>
          <w:szCs w:val="24"/>
          <w:lang w:eastAsia="fr-FR"/>
        </w:rPr>
      </w:pPr>
      <w:r>
        <w:br w:type="page"/>
      </w:r>
    </w:p>
    <w:p>
      <w:pPr>
        <w:pStyle w:val="NormalWeb"/>
        <w:spacing w:before="80" w:beforeAutospacing="0" w:after="80" w:afterAutospacing="0"/>
      </w:pPr>
    </w:p>
    <w:p>
      <w:pPr>
        <w:pStyle w:val="NormalWeb"/>
        <w:spacing w:before="80" w:beforeAutospacing="0" w:after="80" w:afterAutospacing="0"/>
        <w:ind w:left="7788" w:firstLine="708"/>
      </w:pPr>
      <w:r>
        <w:rPr>
          <w:noProof/>
        </w:rPr>
        <w:drawing>
          <wp:inline distT="0" distB="0" distL="0" distR="0">
            <wp:extent cx="329920" cy="343581"/>
            <wp:effectExtent l="0" t="0" r="0" b="0"/>
            <wp:docPr id="23" name="Image 2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7" w:name="_M"/>
      <w:bookmarkEnd w:id="7"/>
      <w:r>
        <w:t>M</w:t>
      </w:r>
    </w:p>
    <w:p>
      <w:pPr>
        <w:pStyle w:val="Titre3"/>
        <w:rPr>
          <w:sz w:val="24"/>
          <w:szCs w:val="24"/>
        </w:rPr>
      </w:pPr>
      <w:r>
        <w:rPr>
          <w:rStyle w:val="Rfrencelgre"/>
          <w:sz w:val="24"/>
          <w:szCs w:val="24"/>
        </w:rPr>
        <w:t>M</w:t>
      </w:r>
      <w:r>
        <w:rPr>
          <w:sz w:val="24"/>
          <w:szCs w:val="24"/>
        </w:rPr>
        <w:t>odalité de liquidation</w:t>
      </w:r>
    </w:p>
    <w:p>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modalité de liquidation, dans la fiche RDP, correspond aux éléments réglementaires à prendre en compte dans la liquidation de l’indemnité (décret, arrêté…).</w:t>
      </w:r>
    </w:p>
    <w:p>
      <w:pPr>
        <w:pStyle w:val="Titre3"/>
        <w:rPr>
          <w:sz w:val="24"/>
          <w:szCs w:val="24"/>
        </w:rPr>
      </w:pPr>
      <w:r>
        <w:rPr>
          <w:rStyle w:val="Rfrencelgre"/>
          <w:sz w:val="24"/>
          <w:szCs w:val="24"/>
        </w:rPr>
        <w:t>M</w:t>
      </w:r>
      <w:r>
        <w:rPr>
          <w:sz w:val="24"/>
          <w:szCs w:val="24"/>
        </w:rPr>
        <w:t>odalité de revalorisation</w:t>
      </w:r>
    </w:p>
    <w:p>
      <w:pPr>
        <w:pStyle w:val="NormalWeb"/>
        <w:spacing w:before="80" w:beforeAutospacing="0" w:after="80" w:afterAutospacing="0"/>
      </w:pPr>
      <w:r>
        <w:t xml:space="preserve">Le montant des primes et indemnités peut être augmenté c’est à dire revalorisé. </w:t>
      </w:r>
    </w:p>
    <w:p>
      <w:pPr>
        <w:pStyle w:val="NormalWeb"/>
        <w:spacing w:before="80" w:beforeAutospacing="0" w:after="80" w:afterAutospacing="0"/>
      </w:pPr>
      <w:r>
        <w:t>La revalorisation peut être effectuée via la publication d’un texte (décret, arrêté) fixant le nouveau montant de la prime ou de l’indemnité.</w:t>
      </w:r>
    </w:p>
    <w:p>
      <w:pPr>
        <w:pStyle w:val="NormalWeb"/>
        <w:spacing w:before="80" w:beforeAutospacing="0" w:after="80" w:afterAutospacing="0"/>
      </w:pPr>
      <w:r>
        <w:t>Si ce montant est calculé sur la base du point d’indice fonction publique, alors il sera recalculé à chaque évolution du point d’indice de la fonction publique.</w:t>
      </w:r>
    </w:p>
    <w:p>
      <w:pPr>
        <w:ind w:left="7788" w:firstLine="708"/>
      </w:pPr>
      <w:r>
        <w:br w:type="page"/>
      </w:r>
      <w:r>
        <w:rPr>
          <w:noProof/>
          <w:lang w:eastAsia="fr-FR"/>
        </w:rPr>
        <w:lastRenderedPageBreak/>
        <w:drawing>
          <wp:inline distT="0" distB="0" distL="0" distR="0">
            <wp:extent cx="329920" cy="343581"/>
            <wp:effectExtent l="0" t="0" r="0" b="0"/>
            <wp:docPr id="24" name="Image 2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rPr>
          <w:rStyle w:val="Rfrencelgre"/>
          <w:b w:val="0"/>
          <w:bCs w:val="0"/>
          <w:color w:val="FFFFFF" w:themeColor="background1"/>
        </w:rPr>
      </w:pPr>
      <w:bookmarkStart w:id="8" w:name="_P"/>
      <w:bookmarkEnd w:id="8"/>
      <w:r>
        <w:t>P</w:t>
      </w:r>
    </w:p>
    <w:p>
      <w:pPr>
        <w:pStyle w:val="Titre3"/>
        <w:rPr>
          <w:sz w:val="24"/>
          <w:szCs w:val="24"/>
        </w:rPr>
      </w:pPr>
      <w:r>
        <w:rPr>
          <w:rStyle w:val="Rfrencelgre"/>
          <w:sz w:val="24"/>
          <w:szCs w:val="24"/>
        </w:rPr>
        <w:t>P</w:t>
      </w:r>
      <w:r>
        <w:rPr>
          <w:sz w:val="24"/>
          <w:szCs w:val="24"/>
        </w:rPr>
        <w:t xml:space="preserve">opulation </w:t>
      </w:r>
    </w:p>
    <w:p>
      <w:pPr>
        <w:pStyle w:val="Corpsdetexte"/>
        <w:tabs>
          <w:tab w:val="left" w:pos="1077"/>
        </w:tabs>
        <w:suppressAutoHyphens w:val="0"/>
        <w:spacing w:before="120"/>
        <w:jc w:val="both"/>
        <w:rPr>
          <w:b/>
          <w:sz w:val="24"/>
          <w:szCs w:val="24"/>
        </w:rPr>
      </w:pPr>
      <w:r>
        <w:rPr>
          <w:sz w:val="24"/>
          <w:szCs w:val="24"/>
        </w:rPr>
        <w:t xml:space="preserve">Les agents de la fonction publique d’Etat sont classés en 5 typologies : Titulaire / Stagiaire / Non titulaire / Militaire /Ouvrier de l’Etat qui correspondent aux 5 </w:t>
      </w:r>
      <w:r>
        <w:rPr>
          <w:b/>
          <w:sz w:val="24"/>
          <w:szCs w:val="24"/>
        </w:rPr>
        <w:t>Populations générales.</w:t>
      </w:r>
    </w:p>
    <w:p>
      <w:pPr>
        <w:pStyle w:val="Corpsdetexte"/>
        <w:tabs>
          <w:tab w:val="left" w:pos="1077"/>
        </w:tabs>
        <w:suppressAutoHyphens w:val="0"/>
        <w:spacing w:before="120"/>
        <w:jc w:val="both"/>
        <w:rPr>
          <w:sz w:val="24"/>
          <w:szCs w:val="24"/>
        </w:rPr>
      </w:pPr>
    </w:p>
    <w:p>
      <w:pPr>
        <w:pStyle w:val="Corpsdetexte"/>
        <w:tabs>
          <w:tab w:val="left" w:pos="1077"/>
        </w:tabs>
        <w:suppressAutoHyphens w:val="0"/>
        <w:spacing w:before="120"/>
        <w:jc w:val="both"/>
        <w:rPr>
          <w:sz w:val="24"/>
          <w:szCs w:val="24"/>
        </w:rPr>
      </w:pPr>
      <w:r>
        <w:rPr>
          <w:noProof/>
          <w:sz w:val="24"/>
          <w:szCs w:val="24"/>
          <w:lang w:eastAsia="fr-FR"/>
        </w:rPr>
        <w:drawing>
          <wp:anchor distT="0" distB="0" distL="114300" distR="114300" simplePos="0" relativeHeight="251671552" behindDoc="0" locked="0" layoutInCell="1" allowOverlap="1">
            <wp:simplePos x="0" y="0"/>
            <wp:positionH relativeFrom="margin">
              <wp:align>left</wp:align>
            </wp:positionH>
            <wp:positionV relativeFrom="paragraph">
              <wp:posOffset>5715</wp:posOffset>
            </wp:positionV>
            <wp:extent cx="324485" cy="300355"/>
            <wp:effectExtent l="0" t="0" r="0" b="444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i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485" cy="30035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Dans INGRES, chaque typologie est associée à un code : Titulaire P0001 / Stagiaire  P0004/ non titulaire P0003/ militaire P0002 /ouvrier de l’Etat P0005</w:t>
      </w:r>
    </w:p>
    <w:p>
      <w:pPr>
        <w:rPr>
          <w:rFonts w:ascii="Times New Roman" w:hAnsi="Times New Roman" w:cs="Times New Roman"/>
          <w:b/>
          <w:sz w:val="24"/>
          <w:szCs w:val="24"/>
        </w:rPr>
      </w:pPr>
    </w:p>
    <w:p>
      <w:pPr>
        <w:rPr>
          <w:rFonts w:ascii="Times New Roman" w:hAnsi="Times New Roman" w:cs="Times New Roman"/>
          <w:sz w:val="24"/>
          <w:szCs w:val="24"/>
        </w:rPr>
      </w:pPr>
      <w:r>
        <w:rPr>
          <w:b/>
          <w:noProof/>
          <w:lang w:eastAsia="fr-FR"/>
        </w:rPr>
        <w:drawing>
          <wp:anchor distT="0" distB="0" distL="114300" distR="114300" simplePos="0" relativeHeight="251664384" behindDoc="0" locked="0" layoutInCell="1" allowOverlap="1">
            <wp:simplePos x="0" y="0"/>
            <wp:positionH relativeFrom="column">
              <wp:posOffset>-2868</wp:posOffset>
            </wp:positionH>
            <wp:positionV relativeFrom="paragraph">
              <wp:posOffset>-1691</wp:posOffset>
            </wp:positionV>
            <wp:extent cx="311220" cy="30941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1220" cy="3094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Une population particulière</w:t>
      </w:r>
      <w:r>
        <w:rPr>
          <w:rFonts w:ascii="Times New Roman" w:hAnsi="Times New Roman" w:cs="Times New Roman"/>
          <w:sz w:val="24"/>
          <w:szCs w:val="24"/>
        </w:rPr>
        <w:t xml:space="preserve"> est une composante d’une population générale.</w:t>
      </w:r>
    </w:p>
    <w:p>
      <w:pPr>
        <w:rPr>
          <w:rFonts w:ascii="Times New Roman" w:hAnsi="Times New Roman" w:cs="Times New Roman"/>
          <w:sz w:val="24"/>
          <w:szCs w:val="24"/>
        </w:rPr>
      </w:pPr>
    </w:p>
    <w:p>
      <w:pPr>
        <w:pStyle w:val="NormalWeb"/>
        <w:spacing w:before="80" w:beforeAutospacing="0" w:after="80" w:afterAutospacing="0"/>
      </w:pPr>
      <w:r>
        <w:rPr>
          <w:noProof/>
        </w:rPr>
        <w:drawing>
          <wp:anchor distT="0" distB="0" distL="114300" distR="114300" simplePos="0" relativeHeight="251665408" behindDoc="0" locked="0" layoutInCell="1" allowOverlap="1">
            <wp:simplePos x="0" y="0"/>
            <wp:positionH relativeFrom="column">
              <wp:posOffset>-43815</wp:posOffset>
            </wp:positionH>
            <wp:positionV relativeFrom="paragraph">
              <wp:posOffset>3810</wp:posOffset>
            </wp:positionV>
            <wp:extent cx="324485" cy="300355"/>
            <wp:effectExtent l="0" t="0" r="0" b="444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i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485" cy="300355"/>
                    </a:xfrm>
                    <a:prstGeom prst="rect">
                      <a:avLst/>
                    </a:prstGeom>
                  </pic:spPr>
                </pic:pic>
              </a:graphicData>
            </a:graphic>
            <wp14:sizeRelH relativeFrom="page">
              <wp14:pctWidth>0</wp14:pctWidth>
            </wp14:sizeRelH>
            <wp14:sizeRelV relativeFrom="page">
              <wp14:pctHeight>0</wp14:pctHeight>
            </wp14:sizeRelV>
          </wp:anchor>
        </w:drawing>
      </w:r>
      <w:r>
        <w:t xml:space="preserve">Dans INGRES, ce sont les populations prévues dans les textes règlementaires qui respectent les conditions requises pour bénéficier de l’indemnité. </w:t>
      </w:r>
    </w:p>
    <w:p>
      <w:pPr>
        <w:pStyle w:val="NormalWeb"/>
        <w:spacing w:before="80" w:beforeAutospacing="0" w:after="80" w:afterAutospacing="0"/>
      </w:pPr>
    </w:p>
    <w:p>
      <w:pPr>
        <w:pStyle w:val="Commentaire"/>
        <w:numPr>
          <w:ilvl w:val="0"/>
          <w:numId w:val="14"/>
        </w:numPr>
        <w:rPr>
          <w:rFonts w:ascii="Times New Roman" w:hAnsi="Times New Roman" w:cs="Times New Roman"/>
          <w:sz w:val="24"/>
          <w:szCs w:val="24"/>
        </w:rPr>
      </w:pPr>
      <w:r>
        <w:rPr>
          <w:rFonts w:ascii="Times New Roman" w:hAnsi="Times New Roman" w:cs="Times New Roman"/>
          <w:sz w:val="24"/>
          <w:szCs w:val="24"/>
        </w:rPr>
        <w:t xml:space="preserve">Exemple : </w:t>
      </w:r>
    </w:p>
    <w:p>
      <w:pPr>
        <w:pStyle w:val="Commentaire"/>
        <w:ind w:left="720"/>
        <w:rPr>
          <w:rFonts w:ascii="Times New Roman" w:hAnsi="Times New Roman" w:cs="Times New Roman"/>
          <w:sz w:val="24"/>
          <w:szCs w:val="24"/>
        </w:rPr>
      </w:pPr>
      <w:r>
        <w:rPr>
          <w:rFonts w:ascii="Times New Roman" w:hAnsi="Times New Roman" w:cs="Times New Roman"/>
          <w:sz w:val="24"/>
          <w:szCs w:val="24"/>
        </w:rPr>
        <w:t xml:space="preserve">La population générale « Titulaire » P0001  comprend notamment la population particulière « Magistrats « (P0007), </w:t>
      </w:r>
    </w:p>
    <w:p>
      <w:pPr>
        <w:pStyle w:val="Commentaire"/>
        <w:ind w:left="720"/>
        <w:rPr>
          <w:rFonts w:ascii="Times New Roman" w:hAnsi="Times New Roman" w:cs="Times New Roman"/>
          <w:sz w:val="24"/>
          <w:szCs w:val="24"/>
        </w:rPr>
      </w:pPr>
      <w:r>
        <w:rPr>
          <w:rFonts w:ascii="Times New Roman" w:hAnsi="Times New Roman" w:cs="Times New Roman"/>
          <w:sz w:val="24"/>
          <w:szCs w:val="24"/>
        </w:rPr>
        <w:t>La population particulière ‘’Magistrat‘’ (P0007) est une composante de la population générale « Titulaires » P0001.</w:t>
      </w:r>
    </w:p>
    <w:p>
      <w:pPr>
        <w:pStyle w:val="Commentaire"/>
        <w:ind w:left="720"/>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noProof/>
          <w:sz w:val="24"/>
          <w:szCs w:val="24"/>
          <w:lang w:eastAsia="fr-FR"/>
        </w:rPr>
        <w:drawing>
          <wp:anchor distT="0" distB="0" distL="114300" distR="114300" simplePos="0" relativeHeight="251683840" behindDoc="0" locked="0" layoutInCell="1" allowOverlap="1">
            <wp:simplePos x="0" y="0"/>
            <wp:positionH relativeFrom="column">
              <wp:posOffset>-32385</wp:posOffset>
            </wp:positionH>
            <wp:positionV relativeFrom="paragraph">
              <wp:posOffset>70485</wp:posOffset>
            </wp:positionV>
            <wp:extent cx="311150" cy="30924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1150" cy="3092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Population particulière exclue</w:t>
      </w:r>
    </w:p>
    <w:p>
      <w:pPr>
        <w:pStyle w:val="NormalWeb"/>
        <w:spacing w:before="80" w:after="80"/>
        <w:ind w:left="708"/>
        <w:rPr>
          <w:iCs/>
        </w:rPr>
      </w:pPr>
      <w:r>
        <w:t>C’est une  population particulière qui n’est pas éligible à une indemnité</w:t>
      </w:r>
      <w:r>
        <w:rPr>
          <w:i/>
          <w:iCs/>
        </w:rPr>
        <w:t>,</w:t>
      </w:r>
      <w:r>
        <w:rPr>
          <w:iCs/>
        </w:rPr>
        <w:t xml:space="preserve"> bien qu’étant      une</w:t>
      </w:r>
      <w:r>
        <w:t xml:space="preserve"> composante</w:t>
      </w:r>
      <w:r>
        <w:rPr>
          <w:iCs/>
        </w:rPr>
        <w:t xml:space="preserve"> d’une population générale éligible à cette même indemnité.</w:t>
      </w:r>
    </w:p>
    <w:p>
      <w:pPr>
        <w:pStyle w:val="NormalWeb"/>
        <w:spacing w:before="80" w:after="80"/>
        <w:ind w:left="708"/>
        <w:rPr>
          <w:iCs/>
        </w:rPr>
      </w:pPr>
      <w:r>
        <w:rPr>
          <w:iCs/>
        </w:rPr>
        <w:t>La population exclue est renseignée dès lors que le texte réglementaire mentionne une information telle que « tout sauf », « à l’exception de ».</w:t>
      </w:r>
    </w:p>
    <w:p>
      <w:pPr>
        <w:pStyle w:val="NormalWeb"/>
        <w:spacing w:before="80" w:beforeAutospacing="0" w:after="80" w:afterAutospacing="0"/>
      </w:pPr>
    </w:p>
    <w:p>
      <w:pPr>
        <w:pStyle w:val="NormalWeb"/>
        <w:numPr>
          <w:ilvl w:val="0"/>
          <w:numId w:val="14"/>
        </w:numPr>
        <w:spacing w:before="80" w:beforeAutospacing="0" w:after="80" w:afterAutospacing="0"/>
      </w:pPr>
      <w:r>
        <w:rPr>
          <w:b/>
        </w:rPr>
        <w:t>Exemple :</w:t>
      </w:r>
      <w:r>
        <w:t xml:space="preserve"> pour l’indemnité 201420 - Indemnité pour jour(s) ARTT non pris - catégorie A et assimilés, la population générale ‘’Ouvrier de l’État ‘’est éligible.</w:t>
      </w:r>
    </w:p>
    <w:p>
      <w:pPr>
        <w:pStyle w:val="NormalWeb"/>
        <w:spacing w:before="80" w:beforeAutospacing="0" w:after="80" w:afterAutospacing="0"/>
        <w:ind w:left="360"/>
      </w:pPr>
      <w:r>
        <w:t xml:space="preserve">Parmi cette population générale, la population particulière ODE ‘’Ouvrier de la Défense’’ est exclue du bénéfice de cette indemnité. </w:t>
      </w:r>
    </w:p>
    <w:p>
      <w:pPr>
        <w:rPr>
          <w:rFonts w:ascii="Times New Roman" w:eastAsia="Times New Roman" w:hAnsi="Times New Roman" w:cs="Times New Roman"/>
          <w:sz w:val="24"/>
          <w:szCs w:val="24"/>
          <w:lang w:eastAsia="fr-FR"/>
        </w:rPr>
      </w:pPr>
      <w:r>
        <w:br w:type="page"/>
      </w:r>
    </w:p>
    <w:p>
      <w:pPr>
        <w:ind w:left="8496"/>
        <w:rPr>
          <w:rFonts w:ascii="Times New Roman" w:hAnsi="Times New Roman" w:cs="Times New Roman"/>
          <w:sz w:val="24"/>
          <w:szCs w:val="24"/>
        </w:rPr>
      </w:pPr>
      <w:r>
        <w:rPr>
          <w:noProof/>
          <w:lang w:eastAsia="fr-FR"/>
        </w:rPr>
        <w:lastRenderedPageBreak/>
        <w:drawing>
          <wp:inline distT="0" distB="0" distL="0" distR="0">
            <wp:extent cx="329920" cy="343581"/>
            <wp:effectExtent l="0" t="0" r="0" b="0"/>
            <wp:docPr id="7" name="Imag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r>
        <w:t>P</w:t>
      </w:r>
    </w:p>
    <w:p>
      <w:pPr>
        <w:pStyle w:val="Titre3"/>
        <w:rPr>
          <w:sz w:val="24"/>
          <w:szCs w:val="24"/>
        </w:rPr>
      </w:pPr>
      <w:r>
        <w:rPr>
          <w:rStyle w:val="Rfrencelgre"/>
          <w:sz w:val="24"/>
          <w:szCs w:val="24"/>
        </w:rPr>
        <w:t>P</w:t>
      </w:r>
      <w:r>
        <w:rPr>
          <w:sz w:val="24"/>
          <w:szCs w:val="24"/>
        </w:rPr>
        <w:t>rime</w:t>
      </w:r>
    </w:p>
    <w:p>
      <w:pPr>
        <w:pStyle w:val="NormalWeb"/>
        <w:spacing w:before="80" w:beforeAutospacing="0" w:after="80" w:afterAutospacing="0"/>
      </w:pPr>
      <w:r>
        <w:t xml:space="preserve">Elle est destinée à encourager ou à récompenser : </w:t>
      </w:r>
    </w:p>
    <w:p>
      <w:pPr>
        <w:pStyle w:val="NormalWeb"/>
        <w:numPr>
          <w:ilvl w:val="0"/>
          <w:numId w:val="15"/>
        </w:numPr>
        <w:spacing w:before="80" w:beforeAutospacing="0" w:after="80" w:afterAutospacing="0"/>
      </w:pPr>
      <w:r>
        <w:t xml:space="preserve">un travail (exemple : 200631 Prime de rendement), </w:t>
      </w:r>
    </w:p>
    <w:p>
      <w:pPr>
        <w:pStyle w:val="NormalWeb"/>
        <w:numPr>
          <w:ilvl w:val="0"/>
          <w:numId w:val="15"/>
        </w:numPr>
        <w:spacing w:before="80" w:beforeAutospacing="0" w:after="80" w:afterAutospacing="0"/>
      </w:pPr>
      <w:r>
        <w:t xml:space="preserve">des conditions de travail (exemple : 201543 Prime encadrement éducatif de nuit), </w:t>
      </w:r>
    </w:p>
    <w:p>
      <w:pPr>
        <w:pStyle w:val="NormalWeb"/>
        <w:numPr>
          <w:ilvl w:val="0"/>
          <w:numId w:val="15"/>
        </w:numPr>
        <w:spacing w:before="80" w:beforeAutospacing="0" w:after="80" w:afterAutospacing="0"/>
      </w:pPr>
      <w:r>
        <w:t>une qualification (exemple : 200200 Prime de qualification).</w:t>
      </w:r>
    </w:p>
    <w:p>
      <w:pPr>
        <w:pStyle w:val="NormalWeb"/>
        <w:spacing w:before="80" w:beforeAutospacing="0" w:after="80" w:afterAutospacing="0"/>
        <w:ind w:left="360"/>
      </w:pPr>
    </w:p>
    <w:p>
      <w:pPr>
        <w:pStyle w:val="NormalWeb"/>
        <w:spacing w:before="80" w:beforeAutospacing="0" w:after="80" w:afterAutospacing="0"/>
      </w:pPr>
      <w:r>
        <w:t>Une prime est une somme versée à un agent, mais distincte de son traitement habituel. Elle présente un caractère relativement exceptionnel, même si sa périodicité peut être annuelle voire mensuelle.</w:t>
      </w:r>
    </w:p>
    <w:p>
      <w:pPr>
        <w:pStyle w:val="NormalWeb"/>
        <w:spacing w:before="80" w:beforeAutospacing="0" w:after="80" w:afterAutospacing="0"/>
      </w:pPr>
      <w:r>
        <w:t xml:space="preserve">Elle vient en supplément du traitement habituel et a, en principe, pour objet de récompenser la performance de l’agent (prime au mérite, prime d'assiduité ou de ponctualité) ou pour compenser une difficulté particulière des fonctions qui lui sont dévolues (prime de risque ou prime de sujétions particulières). Elle peut aussi constituer simplement une </w:t>
      </w:r>
      <w:hyperlink r:id="rId30" w:tooltip="Rémunération" w:history="1">
        <w:r>
          <w:t>rémunération</w:t>
        </w:r>
      </w:hyperlink>
      <w:r>
        <w:t xml:space="preserve"> exceptionnelle (prime de fin d’année).</w:t>
      </w:r>
    </w:p>
    <w:p>
      <w:pPr>
        <w:pStyle w:val="NormalWeb"/>
        <w:spacing w:before="80" w:beforeAutospacing="0" w:after="80" w:afterAutospacing="0"/>
      </w:pPr>
    </w:p>
    <w:p>
      <w:pPr>
        <w:pStyle w:val="NormalWeb"/>
        <w:spacing w:before="80" w:beforeAutospacing="0" w:after="80" w:afterAutospacing="0"/>
      </w:pPr>
      <w:r>
        <w:rPr>
          <w:noProof/>
        </w:rPr>
        <w:drawing>
          <wp:anchor distT="0" distB="0" distL="114300" distR="114300" simplePos="0" relativeHeight="251681792" behindDoc="0" locked="0" layoutInCell="1" allowOverlap="1">
            <wp:simplePos x="0" y="0"/>
            <wp:positionH relativeFrom="column">
              <wp:posOffset>-2868</wp:posOffset>
            </wp:positionH>
            <wp:positionV relativeFrom="paragraph">
              <wp:posOffset>-2722</wp:posOffset>
            </wp:positionV>
            <wp:extent cx="343628" cy="341631"/>
            <wp:effectExtent l="0" t="0" r="0" b="127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3628" cy="341631"/>
                    </a:xfrm>
                    <a:prstGeom prst="rect">
                      <a:avLst/>
                    </a:prstGeom>
                  </pic:spPr>
                </pic:pic>
              </a:graphicData>
            </a:graphic>
            <wp14:sizeRelH relativeFrom="page">
              <wp14:pctWidth>0</wp14:pctWidth>
            </wp14:sizeRelH>
            <wp14:sizeRelV relativeFrom="page">
              <wp14:pctHeight>0</wp14:pctHeight>
            </wp14:sizeRelV>
          </wp:anchor>
        </w:drawing>
      </w:r>
      <w:r>
        <w:t>Voir aussi la définition « indemnité ». À noter qu’avec le temps, ces 2 notions bien que distinctes, ont tendance à être utilisées indifféremment.</w:t>
      </w:r>
    </w:p>
    <w:p>
      <w:pPr>
        <w:rPr>
          <w:rFonts w:ascii="Times New Roman" w:hAnsi="Times New Roman" w:cs="Times New Roman"/>
          <w:sz w:val="24"/>
          <w:szCs w:val="24"/>
        </w:rPr>
      </w:pPr>
    </w:p>
    <w:p>
      <w:pPr>
        <w:pStyle w:val="Titre3"/>
        <w:rPr>
          <w:sz w:val="24"/>
          <w:szCs w:val="24"/>
        </w:rPr>
      </w:pPr>
      <w:r>
        <w:rPr>
          <w:rStyle w:val="Rfrencelgre"/>
          <w:sz w:val="24"/>
          <w:szCs w:val="24"/>
        </w:rPr>
        <w:t>P</w:t>
      </w:r>
      <w:r>
        <w:rPr>
          <w:sz w:val="24"/>
          <w:szCs w:val="24"/>
        </w:rPr>
        <w:t>roratisation</w:t>
      </w:r>
    </w:p>
    <w:p>
      <w:pPr>
        <w:jc w:val="both"/>
        <w:rPr>
          <w:rFonts w:ascii="Times New Roman" w:hAnsi="Times New Roman" w:cs="Times New Roman"/>
          <w:color w:val="000000"/>
          <w:sz w:val="24"/>
          <w:szCs w:val="24"/>
        </w:rPr>
      </w:pPr>
      <w:hyperlink r:id="rId32" w:history="1">
        <w:r>
          <w:rPr>
            <w:rFonts w:ascii="Times New Roman" w:hAnsi="Times New Roman" w:cs="Times New Roman"/>
            <w:color w:val="000000"/>
            <w:sz w:val="24"/>
            <w:szCs w:val="24"/>
          </w:rPr>
          <w:t>La</w:t>
        </w:r>
      </w:hyperlink>
      <w:r>
        <w:rPr>
          <w:rFonts w:ascii="Times New Roman" w:hAnsi="Times New Roman" w:cs="Times New Roman"/>
          <w:color w:val="000000"/>
          <w:sz w:val="24"/>
          <w:szCs w:val="24"/>
        </w:rPr>
        <w:t xml:space="preserve"> proratisation de la rémunération </w:t>
      </w:r>
      <w:hyperlink r:id="rId33" w:history="1">
        <w:r>
          <w:rPr>
            <w:rFonts w:ascii="Times New Roman" w:hAnsi="Times New Roman" w:cs="Times New Roman"/>
            <w:color w:val="000000"/>
            <w:sz w:val="24"/>
            <w:szCs w:val="24"/>
          </w:rPr>
          <w:t>correspond</w:t>
        </w:r>
      </w:hyperlink>
      <w:r>
        <w:rPr>
          <w:rFonts w:ascii="Times New Roman" w:hAnsi="Times New Roman" w:cs="Times New Roman"/>
          <w:color w:val="000000"/>
          <w:sz w:val="24"/>
          <w:szCs w:val="24"/>
        </w:rPr>
        <w:t xml:space="preserve"> à l’impact des modalités de service sur celle-ci. Elle consiste à lui appliquer un taux correspondant à </w:t>
      </w:r>
      <w:hyperlink r:id="rId34" w:history="1">
        <w:r>
          <w:rPr>
            <w:rFonts w:ascii="Times New Roman" w:hAnsi="Times New Roman" w:cs="Times New Roman"/>
            <w:color w:val="000000"/>
            <w:sz w:val="24"/>
            <w:szCs w:val="24"/>
          </w:rPr>
          <w:t>un</w:t>
        </w:r>
      </w:hyperlink>
      <w:r>
        <w:rPr>
          <w:rFonts w:ascii="Times New Roman" w:hAnsi="Times New Roman" w:cs="Times New Roman"/>
          <w:color w:val="000000"/>
          <w:sz w:val="24"/>
          <w:szCs w:val="24"/>
        </w:rPr>
        <w:t xml:space="preserve"> </w:t>
      </w:r>
      <w:hyperlink r:id="rId35" w:history="1">
        <w:r>
          <w:rPr>
            <w:rFonts w:ascii="Times New Roman" w:hAnsi="Times New Roman" w:cs="Times New Roman"/>
            <w:color w:val="000000"/>
            <w:sz w:val="24"/>
            <w:szCs w:val="24"/>
          </w:rPr>
          <w:t>rapport</w:t>
        </w:r>
      </w:hyperlink>
      <w:r>
        <w:rPr>
          <w:rFonts w:ascii="Times New Roman" w:hAnsi="Times New Roman" w:cs="Times New Roman"/>
          <w:color w:val="000000"/>
          <w:sz w:val="24"/>
          <w:szCs w:val="24"/>
        </w:rPr>
        <w:t xml:space="preserve"> entre différents critères. </w:t>
      </w:r>
    </w:p>
    <w:p>
      <w:pPr>
        <w:pStyle w:val="Paragraphedelist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Exemple :</w:t>
      </w:r>
    </w:p>
    <w:p>
      <w:pPr>
        <w:jc w:val="both"/>
        <w:rPr>
          <w:rFonts w:ascii="Times New Roman" w:hAnsi="Times New Roman" w:cs="Times New Roman"/>
          <w:color w:val="000000"/>
          <w:sz w:val="24"/>
          <w:szCs w:val="24"/>
        </w:rPr>
      </w:pPr>
      <w:r>
        <w:rPr>
          <w:noProof/>
          <w:lang w:eastAsia="fr-FR"/>
        </w:rPr>
        <w:drawing>
          <wp:anchor distT="0" distB="0" distL="114300" distR="114300" simplePos="0" relativeHeight="251685888" behindDoc="1" locked="0" layoutInCell="1" allowOverlap="1">
            <wp:simplePos x="0" y="0"/>
            <wp:positionH relativeFrom="margin">
              <wp:posOffset>-635</wp:posOffset>
            </wp:positionH>
            <wp:positionV relativeFrom="paragraph">
              <wp:posOffset>666750</wp:posOffset>
            </wp:positionV>
            <wp:extent cx="343535" cy="341630"/>
            <wp:effectExtent l="0" t="0" r="0" b="127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3535" cy="341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 xml:space="preserve">L’agent (titulaires, stagiaires, contractuels de droit public ) travaillant à temps partiel </w:t>
      </w:r>
      <w:hyperlink r:id="rId36" w:history="1">
        <w:r>
          <w:rPr>
            <w:rFonts w:ascii="Times New Roman" w:hAnsi="Times New Roman" w:cs="Times New Roman"/>
            <w:color w:val="000000"/>
            <w:sz w:val="24"/>
            <w:szCs w:val="24"/>
          </w:rPr>
          <w:t>sera</w:t>
        </w:r>
      </w:hyperlink>
      <w:r>
        <w:rPr>
          <w:rFonts w:ascii="Times New Roman" w:hAnsi="Times New Roman" w:cs="Times New Roman"/>
          <w:color w:val="000000"/>
          <w:sz w:val="24"/>
          <w:szCs w:val="24"/>
        </w:rPr>
        <w:t xml:space="preserve"> payé </w:t>
      </w:r>
      <w:hyperlink r:id="rId37" w:history="1">
        <w:r>
          <w:rPr>
            <w:rFonts w:ascii="Times New Roman" w:hAnsi="Times New Roman" w:cs="Times New Roman"/>
            <w:color w:val="000000"/>
            <w:sz w:val="24"/>
            <w:szCs w:val="24"/>
          </w:rPr>
          <w:t>selon</w:t>
        </w:r>
      </w:hyperlink>
      <w:r>
        <w:rPr>
          <w:rFonts w:ascii="Times New Roman" w:hAnsi="Times New Roman" w:cs="Times New Roman"/>
          <w:color w:val="000000"/>
          <w:sz w:val="24"/>
          <w:szCs w:val="24"/>
        </w:rPr>
        <w:t xml:space="preserve"> le taux </w:t>
      </w:r>
      <w:hyperlink r:id="rId38" w:history="1">
        <w:r>
          <w:rPr>
            <w:rFonts w:ascii="Times New Roman" w:hAnsi="Times New Roman" w:cs="Times New Roman"/>
            <w:color w:val="000000"/>
            <w:sz w:val="24"/>
            <w:szCs w:val="24"/>
          </w:rPr>
          <w:t>correspondant</w:t>
        </w:r>
      </w:hyperlink>
      <w:r>
        <w:rPr>
          <w:rFonts w:ascii="Times New Roman" w:hAnsi="Times New Roman" w:cs="Times New Roman"/>
          <w:color w:val="000000"/>
          <w:sz w:val="24"/>
          <w:szCs w:val="24"/>
        </w:rPr>
        <w:t xml:space="preserve"> à sa quotité de travail et </w:t>
      </w:r>
      <w:hyperlink r:id="rId39" w:history="1">
        <w:r>
          <w:rPr>
            <w:rFonts w:ascii="Times New Roman" w:hAnsi="Times New Roman" w:cs="Times New Roman"/>
            <w:color w:val="000000"/>
            <w:sz w:val="24"/>
            <w:szCs w:val="24"/>
          </w:rPr>
          <w:t>son</w:t>
        </w:r>
      </w:hyperlink>
      <w:r>
        <w:rPr>
          <w:rFonts w:ascii="Times New Roman" w:hAnsi="Times New Roman" w:cs="Times New Roman"/>
          <w:color w:val="000000"/>
          <w:sz w:val="24"/>
          <w:szCs w:val="24"/>
        </w:rPr>
        <w:t xml:space="preserve"> traitement </w:t>
      </w:r>
      <w:hyperlink r:id="rId40" w:history="1">
        <w:r>
          <w:rPr>
            <w:rFonts w:ascii="Times New Roman" w:hAnsi="Times New Roman" w:cs="Times New Roman"/>
            <w:color w:val="000000"/>
            <w:sz w:val="24"/>
            <w:szCs w:val="24"/>
          </w:rPr>
          <w:t>mensuel</w:t>
        </w:r>
      </w:hyperlink>
      <w:r>
        <w:rPr>
          <w:rFonts w:ascii="Times New Roman" w:hAnsi="Times New Roman" w:cs="Times New Roman"/>
          <w:color w:val="000000"/>
          <w:sz w:val="24"/>
          <w:szCs w:val="24"/>
        </w:rPr>
        <w:t>, sauf dispositions particulières comme le temps partiel à 80% payé 6/7</w:t>
      </w:r>
      <w:r>
        <w:rPr>
          <w:rFonts w:ascii="Times New Roman" w:hAnsi="Times New Roman" w:cs="Times New Roman"/>
          <w:color w:val="000000"/>
          <w:sz w:val="24"/>
          <w:szCs w:val="24"/>
          <w:vertAlign w:val="superscript"/>
        </w:rPr>
        <w:t>ème</w:t>
      </w:r>
      <w:r>
        <w:rPr>
          <w:rFonts w:ascii="Times New Roman" w:hAnsi="Times New Roman" w:cs="Times New Roman"/>
          <w:color w:val="000000"/>
          <w:sz w:val="24"/>
          <w:szCs w:val="24"/>
        </w:rPr>
        <w:t xml:space="preserve"> et à 90% payé 32/35ème.</w:t>
      </w:r>
    </w:p>
    <w:p>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Voir ‘’Proratisation en cas de Changement en cours de période’’.</w:t>
      </w:r>
    </w:p>
    <w:p>
      <w:pPr>
        <w:ind w:left="708"/>
        <w:jc w:val="both"/>
        <w:rPr>
          <w:rFonts w:ascii="Times New Roman" w:hAnsi="Times New Roman" w:cs="Times New Roman"/>
          <w:color w:val="000000"/>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ind w:left="8496"/>
        <w:rPr>
          <w:rFonts w:ascii="Times New Roman" w:hAnsi="Times New Roman" w:cs="Times New Roman"/>
          <w:sz w:val="24"/>
          <w:szCs w:val="24"/>
        </w:rPr>
      </w:pPr>
      <w:r>
        <w:rPr>
          <w:noProof/>
          <w:lang w:eastAsia="fr-FR"/>
        </w:rPr>
        <w:lastRenderedPageBreak/>
        <w:drawing>
          <wp:inline distT="0" distB="0" distL="0" distR="0">
            <wp:extent cx="329920" cy="343581"/>
            <wp:effectExtent l="0" t="0" r="0" b="0"/>
            <wp:docPr id="33" name="Imag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r>
        <w:t>P</w:t>
      </w:r>
    </w:p>
    <w:p/>
    <w:p>
      <w:pPr>
        <w:pStyle w:val="Titre3"/>
        <w:rPr>
          <w:sz w:val="24"/>
          <w:szCs w:val="24"/>
        </w:rPr>
      </w:pPr>
      <w:r>
        <w:rPr>
          <w:rStyle w:val="Rfrencelgre"/>
          <w:sz w:val="24"/>
          <w:szCs w:val="24"/>
        </w:rPr>
        <w:t>P</w:t>
      </w:r>
      <w:r>
        <w:rPr>
          <w:sz w:val="24"/>
          <w:szCs w:val="24"/>
        </w:rPr>
        <w:t>roratisation en cas de Changement de situation en cours de période (CSCP)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Oui</w:t>
      </w:r>
      <w:r>
        <w:rPr>
          <w:rFonts w:ascii="Times New Roman" w:hAnsi="Times New Roman" w:cs="Times New Roman"/>
          <w:color w:val="000000"/>
          <w:sz w:val="24"/>
          <w:szCs w:val="24"/>
        </w:rPr>
        <w:t> : en cas de changement d’échelon, d’indice, de fonction, d’affectation… en cours de mois, le montant de l’indemnité sera calculé au prorata de chaque période.</w:t>
      </w:r>
    </w:p>
    <w:p>
      <w:pPr>
        <w:pStyle w:val="Paragraphedeliste"/>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Exemples : </w:t>
      </w:r>
    </w:p>
    <w:p>
      <w:pPr>
        <w:jc w:val="both"/>
        <w:rPr>
          <w:rFonts w:ascii="Times New Roman" w:hAnsi="Times New Roman" w:cs="Times New Roman"/>
          <w:color w:val="000000"/>
          <w:sz w:val="24"/>
          <w:szCs w:val="24"/>
        </w:rPr>
      </w:pPr>
      <w:r>
        <w:rPr>
          <w:rFonts w:ascii="Times New Roman" w:hAnsi="Times New Roman" w:cs="Times New Roman"/>
          <w:sz w:val="24"/>
          <w:szCs w:val="24"/>
        </w:rPr>
        <w:t xml:space="preserve">- traitement brut : l’agent </w:t>
      </w:r>
      <w:hyperlink r:id="rId41" w:history="1">
        <w:r>
          <w:rPr>
            <w:rFonts w:ascii="Times New Roman" w:hAnsi="Times New Roman" w:cs="Times New Roman"/>
            <w:sz w:val="24"/>
            <w:szCs w:val="24"/>
          </w:rPr>
          <w:t>qui</w:t>
        </w:r>
      </w:hyperlink>
      <w:r>
        <w:rPr>
          <w:rFonts w:ascii="Times New Roman" w:hAnsi="Times New Roman" w:cs="Times New Roman"/>
          <w:sz w:val="24"/>
          <w:szCs w:val="24"/>
        </w:rPr>
        <w:t xml:space="preserve"> cesse ses fonctions </w:t>
      </w:r>
      <w:hyperlink r:id="rId42" w:history="1">
        <w:r>
          <w:rPr>
            <w:rFonts w:ascii="Times New Roman" w:hAnsi="Times New Roman" w:cs="Times New Roman"/>
            <w:sz w:val="24"/>
            <w:szCs w:val="24"/>
          </w:rPr>
          <w:t>en</w:t>
        </w:r>
      </w:hyperlink>
      <w:r>
        <w:rPr>
          <w:rFonts w:ascii="Times New Roman" w:hAnsi="Times New Roman" w:cs="Times New Roman"/>
          <w:sz w:val="24"/>
          <w:szCs w:val="24"/>
        </w:rPr>
        <w:t xml:space="preserve"> cours de </w:t>
      </w:r>
      <w:hyperlink r:id="rId43" w:history="1">
        <w:r>
          <w:rPr>
            <w:rFonts w:ascii="Times New Roman" w:hAnsi="Times New Roman" w:cs="Times New Roman"/>
            <w:sz w:val="24"/>
            <w:szCs w:val="24"/>
          </w:rPr>
          <w:t>mois</w:t>
        </w:r>
      </w:hyperlink>
      <w:r>
        <w:rPr>
          <w:rFonts w:ascii="Times New Roman" w:hAnsi="Times New Roman" w:cs="Times New Roman"/>
          <w:sz w:val="24"/>
          <w:szCs w:val="24"/>
        </w:rPr>
        <w:t xml:space="preserve"> </w:t>
      </w:r>
      <w:hyperlink r:id="rId44" w:history="1">
        <w:r>
          <w:rPr>
            <w:rFonts w:ascii="Times New Roman" w:hAnsi="Times New Roman" w:cs="Times New Roman"/>
            <w:color w:val="000000"/>
            <w:sz w:val="24"/>
            <w:szCs w:val="24"/>
          </w:rPr>
          <w:t>sera</w:t>
        </w:r>
      </w:hyperlink>
      <w:r>
        <w:rPr>
          <w:rFonts w:ascii="Times New Roman" w:hAnsi="Times New Roman" w:cs="Times New Roman"/>
          <w:color w:val="000000"/>
          <w:sz w:val="24"/>
          <w:szCs w:val="24"/>
        </w:rPr>
        <w:t xml:space="preserve"> payé sur la base de son salaire mensuel au prorata du nombre de jours travaillés selon la règle du trentième.</w:t>
      </w:r>
    </w:p>
    <w:p>
      <w:pPr>
        <w:jc w:val="both"/>
        <w:rPr>
          <w:rFonts w:ascii="Times New Roman" w:hAnsi="Times New Roman" w:cs="Times New Roman"/>
          <w:sz w:val="24"/>
          <w:szCs w:val="24"/>
        </w:rPr>
      </w:pPr>
      <w:r>
        <w:rPr>
          <w:rFonts w:ascii="Times New Roman" w:hAnsi="Times New Roman" w:cs="Times New Roman"/>
          <w:sz w:val="24"/>
          <w:szCs w:val="24"/>
        </w:rPr>
        <w:t xml:space="preserve">- indemnités à versement non mensuel (trimestriel ou semestriel) calculées </w:t>
      </w:r>
      <w:r>
        <w:rPr>
          <w:rFonts w:ascii="Times New Roman" w:hAnsi="Times New Roman" w:cs="Times New Roman"/>
          <w:color w:val="000000"/>
          <w:sz w:val="24"/>
          <w:szCs w:val="24"/>
        </w:rPr>
        <w:t xml:space="preserve">au prorata de chaque période </w:t>
      </w:r>
      <w:r>
        <w:rPr>
          <w:rFonts w:ascii="Times New Roman" w:hAnsi="Times New Roman" w:cs="Times New Roman"/>
          <w:sz w:val="24"/>
          <w:szCs w:val="24"/>
        </w:rPr>
        <w:t xml:space="preserve">: 200451 Indemnité de sujétions d'exercice, 201955 Attribution d'officier police judiciaire.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Non</w:t>
      </w:r>
      <w:r>
        <w:rPr>
          <w:rFonts w:ascii="Times New Roman" w:hAnsi="Times New Roman" w:cs="Times New Roman"/>
          <w:color w:val="000000"/>
          <w:sz w:val="24"/>
          <w:szCs w:val="24"/>
        </w:rPr>
        <w:t> : l’indemnité est versée sans proratisation pour tout mois commencé.</w:t>
      </w:r>
    </w:p>
    <w:p>
      <w:pPr>
        <w:pStyle w:val="Paragraphedelist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Exemple : indemnités 200033 et 200039 Remboursement du trajet domicile - travail.</w:t>
      </w:r>
    </w:p>
    <w:p>
      <w:pPr>
        <w:jc w:val="both"/>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pPr>
        <w:ind w:left="8496"/>
        <w:rPr>
          <w:rFonts w:ascii="Times New Roman" w:hAnsi="Times New Roman" w:cs="Times New Roman"/>
          <w:sz w:val="24"/>
          <w:szCs w:val="24"/>
        </w:rPr>
      </w:pPr>
      <w:r>
        <w:rPr>
          <w:noProof/>
          <w:lang w:eastAsia="fr-FR"/>
        </w:rPr>
        <w:lastRenderedPageBreak/>
        <w:drawing>
          <wp:inline distT="0" distB="0" distL="0" distR="0">
            <wp:extent cx="329920" cy="343581"/>
            <wp:effectExtent l="0" t="0" r="0" b="0"/>
            <wp:docPr id="35" name="Imag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9" w:name="_R"/>
      <w:bookmarkEnd w:id="9"/>
      <w:r>
        <w:t>R</w:t>
      </w:r>
    </w:p>
    <w:p>
      <w:pPr>
        <w:jc w:val="both"/>
        <w:rPr>
          <w:rFonts w:ascii="Times New Roman" w:hAnsi="Times New Roman" w:cs="Times New Roman"/>
          <w:color w:val="000000"/>
          <w:sz w:val="24"/>
          <w:szCs w:val="24"/>
        </w:rPr>
      </w:pPr>
    </w:p>
    <w:p>
      <w:pPr>
        <w:pStyle w:val="Titre3"/>
        <w:rPr>
          <w:sz w:val="24"/>
          <w:szCs w:val="24"/>
        </w:rPr>
      </w:pPr>
      <w:r>
        <w:rPr>
          <w:rStyle w:val="Rfrencelgre"/>
          <w:sz w:val="24"/>
          <w:szCs w:val="24"/>
        </w:rPr>
        <w:t>R</w:t>
      </w:r>
      <w:r>
        <w:rPr>
          <w:sz w:val="24"/>
          <w:szCs w:val="24"/>
        </w:rPr>
        <w:t xml:space="preserve">étroactivité : </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Acte, décision produisant un effet en paie antérieur à sa mise en application</w:t>
      </w:r>
    </w:p>
    <w:p>
      <w:pPr>
        <w:pStyle w:val="Paragraphedelist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Oui</w:t>
      </w:r>
      <w:r>
        <w:rPr>
          <w:rFonts w:ascii="Times New Roman" w:hAnsi="Times New Roman" w:cs="Times New Roman"/>
          <w:color w:val="000000"/>
          <w:sz w:val="24"/>
          <w:szCs w:val="24"/>
        </w:rPr>
        <w:t> : si l’indicateur est à ‘’Oui’’, il signifie que les droits (fait générateur) produisent un effet en paye antérieur à sa mise en application</w:t>
      </w:r>
    </w:p>
    <w:p>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Si une indemnité n’a pas été payée à la date d’effet, il est ainsi possible de verser sur la paye du mois courant, les sommes dues au titre des mois antérieurs, dans la limite des règles de prescription.</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Il est de même possible de régulariser sur la paye du mois courant une indemnité payée à tort un ou plusieurs mois auparavant et ce dans les limites des règles de prescription.</w:t>
      </w:r>
    </w:p>
    <w:p>
      <w:pPr>
        <w:pStyle w:val="Paragraphedelist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Non</w:t>
      </w:r>
      <w:r>
        <w:rPr>
          <w:rFonts w:ascii="Times New Roman" w:hAnsi="Times New Roman" w:cs="Times New Roman"/>
          <w:color w:val="000000"/>
          <w:sz w:val="24"/>
          <w:szCs w:val="24"/>
        </w:rPr>
        <w:t>: les cas de non-rétroactivité concernent les retenues et les oppositions, pour lesquelles il n’y a pas de rattrapage ou de re-calcul sur les paies précédentes,  par exemple les rachats d’années d’études (codes BJ 655140 Rachat années d'études - Pension civile 655141, 200136 Avantage en nature logement).</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En effet, l’application PAY, via la chaîne de traitement des services non faits, ne prend pas en charge les retenues sur les indemnités dont la périodicité de paiement n’est pas mensuelle, même si ces indemnités sont bien éligibles à une retenue. Dans ce cas, il revient au gestionnaire de notifier le précompte par un mouvement de type 20 pour chaque indemnité concernée et en précisant la nature et la période de l’opération dans le</w:t>
      </w:r>
      <w:r>
        <w:rPr>
          <w:rFonts w:ascii="Times New Roman" w:hAnsi="Times New Roman" w:cs="Times New Roman"/>
          <w:color w:val="FF0000"/>
        </w:rPr>
        <w:t xml:space="preserve"> </w:t>
      </w:r>
      <w:r>
        <w:rPr>
          <w:rFonts w:ascii="Times New Roman" w:hAnsi="Times New Roman" w:cs="Times New Roman"/>
          <w:color w:val="000000"/>
          <w:sz w:val="24"/>
          <w:szCs w:val="24"/>
        </w:rPr>
        <w:t>libellé complémentaire (exemple : ‘’Trop perçu du 01/02/2020 au 31/03/2020’’).</w:t>
      </w:r>
    </w:p>
    <w:p>
      <w:pPr>
        <w:jc w:val="both"/>
        <w:rPr>
          <w:rFonts w:ascii="Times New Roman" w:hAnsi="Times New Roman" w:cs="Times New Roman"/>
          <w:color w:val="000000"/>
          <w:sz w:val="24"/>
          <w:szCs w:val="24"/>
        </w:rPr>
      </w:pPr>
    </w:p>
    <w:p>
      <w:pPr>
        <w:ind w:left="708"/>
        <w:jc w:val="both"/>
        <w:rPr>
          <w:rFonts w:ascii="Times New Roman" w:hAnsi="Times New Roman" w:cs="Times New Roman"/>
          <w:color w:val="000000"/>
          <w:sz w:val="24"/>
          <w:szCs w:val="24"/>
        </w:rPr>
      </w:pPr>
    </w:p>
    <w:p>
      <w:pPr>
        <w:ind w:left="7788" w:firstLine="708"/>
        <w:rPr>
          <w:rStyle w:val="Rfrencelgre"/>
          <w:caps/>
          <w:color w:val="1F4D78" w:themeColor="accent1" w:themeShade="7F"/>
          <w:spacing w:val="15"/>
        </w:rPr>
      </w:pPr>
      <w:r>
        <w:br w:type="page"/>
      </w:r>
      <w:r>
        <w:rPr>
          <w:rStyle w:val="Rfrencelgre"/>
          <w:caps/>
          <w:noProof/>
          <w:color w:val="1F4D78" w:themeColor="accent1" w:themeShade="7F"/>
          <w:spacing w:val="15"/>
          <w:lang w:eastAsia="fr-FR"/>
        </w:rPr>
        <w:lastRenderedPageBreak/>
        <w:drawing>
          <wp:inline distT="0" distB="0" distL="0" distR="0">
            <wp:extent cx="329920" cy="343581"/>
            <wp:effectExtent l="0" t="0" r="0" b="0"/>
            <wp:docPr id="25" name="Image 2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10" w:name="_S"/>
      <w:bookmarkEnd w:id="10"/>
      <w:r>
        <w:t>S</w:t>
      </w:r>
    </w:p>
    <w:p>
      <w:pPr>
        <w:pStyle w:val="Titre3"/>
        <w:rPr>
          <w:rStyle w:val="Rfrencelgre"/>
        </w:rPr>
      </w:pPr>
    </w:p>
    <w:p>
      <w:pPr>
        <w:pStyle w:val="Titre3"/>
        <w:rPr>
          <w:sz w:val="24"/>
          <w:szCs w:val="24"/>
        </w:rPr>
      </w:pPr>
      <w:r>
        <w:rPr>
          <w:rStyle w:val="Rfrencelgre"/>
          <w:sz w:val="24"/>
          <w:szCs w:val="24"/>
        </w:rPr>
        <w:t>S</w:t>
      </w:r>
      <w:r>
        <w:rPr>
          <w:sz w:val="24"/>
          <w:szCs w:val="24"/>
        </w:rPr>
        <w:t>egmentation</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segmentation </w:t>
      </w:r>
      <w:hyperlink r:id="rId45" w:history="1">
        <w:r>
          <w:rPr>
            <w:rFonts w:ascii="Times New Roman" w:hAnsi="Times New Roman" w:cs="Times New Roman"/>
            <w:color w:val="000000"/>
            <w:sz w:val="24"/>
            <w:szCs w:val="24"/>
          </w:rPr>
          <w:t>correspond</w:t>
        </w:r>
      </w:hyperlink>
      <w:r>
        <w:rPr>
          <w:rFonts w:ascii="Times New Roman" w:hAnsi="Times New Roman" w:cs="Times New Roman"/>
          <w:color w:val="000000"/>
          <w:sz w:val="24"/>
          <w:szCs w:val="24"/>
        </w:rPr>
        <w:t xml:space="preserve"> à l’impact des changements de situation en cours de période (= mois de paie) : entrées/sorties, changement dans un critère d'éligibilité, changement de modalité de service ou de position en cours de mois.</w:t>
      </w:r>
    </w:p>
    <w:p>
      <w:pPr>
        <w:pStyle w:val="Commentaire"/>
        <w:jc w:val="both"/>
        <w:rPr>
          <w:rFonts w:ascii="Times New Roman" w:hAnsi="Times New Roman" w:cs="Times New Roman"/>
          <w:color w:val="000000"/>
          <w:sz w:val="24"/>
          <w:szCs w:val="24"/>
        </w:rPr>
      </w:pPr>
      <w:r>
        <w:rPr>
          <w:rFonts w:ascii="Times New Roman" w:hAnsi="Times New Roman" w:cs="Times New Roman"/>
          <w:color w:val="000000"/>
          <w:sz w:val="24"/>
          <w:szCs w:val="24"/>
        </w:rPr>
        <w:t>Elle se traduit par le découpage du mois de paie concerné en périodes pour tenir compte des changements de situation et calculer la rémunération en conséquence.</w:t>
      </w:r>
    </w:p>
    <w:p>
      <w:pPr>
        <w:pStyle w:val="Commentair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Exemple pour un agent qui passe au 4ème échelon le 10/01/2020 et à temps partiel 50% le 20/01/2020 : </w:t>
      </w:r>
    </w:p>
    <w:p>
      <w:pPr>
        <w:pStyle w:val="Commentaire"/>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Le mois de paye est découpé (segmenté)  en 3 périodes : </w:t>
      </w:r>
    </w:p>
    <w:p>
      <w:pPr>
        <w:pStyle w:val="Commentaire"/>
        <w:numPr>
          <w:ilvl w:val="0"/>
          <w:numId w:val="18"/>
        </w:numPr>
        <w:jc w:val="both"/>
        <w:rPr>
          <w:rFonts w:ascii="Times New Roman" w:hAnsi="Times New Roman" w:cs="Times New Roman"/>
          <w:color w:val="000000"/>
          <w:sz w:val="24"/>
          <w:szCs w:val="24"/>
        </w:rPr>
      </w:pPr>
      <w:r>
        <w:rPr>
          <w:rFonts w:ascii="Times New Roman" w:hAnsi="Times New Roman" w:cs="Times New Roman"/>
          <w:color w:val="000000"/>
          <w:sz w:val="24"/>
          <w:szCs w:val="24"/>
        </w:rPr>
        <w:t>du 01/01/2020 au 09/01/2020 : rémunération au 3</w:t>
      </w:r>
      <w:r>
        <w:rPr>
          <w:rFonts w:ascii="Times New Roman" w:hAnsi="Times New Roman" w:cs="Times New Roman"/>
          <w:color w:val="000000"/>
          <w:sz w:val="24"/>
          <w:szCs w:val="24"/>
          <w:vertAlign w:val="superscript"/>
        </w:rPr>
        <w:t>ème</w:t>
      </w:r>
      <w:r>
        <w:rPr>
          <w:rFonts w:ascii="Times New Roman" w:hAnsi="Times New Roman" w:cs="Times New Roman"/>
          <w:color w:val="000000"/>
          <w:sz w:val="24"/>
          <w:szCs w:val="24"/>
        </w:rPr>
        <w:t xml:space="preserve"> échelon pour 9 jours soit 9/30èmes, </w:t>
      </w:r>
    </w:p>
    <w:p>
      <w:pPr>
        <w:pStyle w:val="Commentaire"/>
        <w:numPr>
          <w:ilvl w:val="0"/>
          <w:numId w:val="18"/>
        </w:numPr>
        <w:jc w:val="both"/>
        <w:rPr>
          <w:rFonts w:ascii="Times New Roman" w:hAnsi="Times New Roman" w:cs="Times New Roman"/>
          <w:color w:val="000000"/>
          <w:sz w:val="24"/>
          <w:szCs w:val="24"/>
        </w:rPr>
      </w:pPr>
      <w:r>
        <w:rPr>
          <w:rFonts w:ascii="Times New Roman" w:hAnsi="Times New Roman" w:cs="Times New Roman"/>
          <w:color w:val="000000"/>
          <w:sz w:val="24"/>
          <w:szCs w:val="24"/>
        </w:rPr>
        <w:t>du 10/01/2020 au 19/01/2020 : rémunération au 4</w:t>
      </w:r>
      <w:r>
        <w:rPr>
          <w:rFonts w:ascii="Times New Roman" w:hAnsi="Times New Roman" w:cs="Times New Roman"/>
          <w:color w:val="000000"/>
          <w:sz w:val="24"/>
          <w:szCs w:val="24"/>
          <w:vertAlign w:val="superscript"/>
        </w:rPr>
        <w:t>ème</w:t>
      </w:r>
      <w:r>
        <w:rPr>
          <w:rFonts w:ascii="Times New Roman" w:hAnsi="Times New Roman" w:cs="Times New Roman"/>
          <w:color w:val="000000"/>
          <w:sz w:val="24"/>
          <w:szCs w:val="24"/>
        </w:rPr>
        <w:t xml:space="preserve"> échelon au prorata du nombre de jours soit 10/30èmes.</w:t>
      </w:r>
    </w:p>
    <w:p>
      <w:pPr>
        <w:pStyle w:val="Commentaire"/>
        <w:numPr>
          <w:ilvl w:val="0"/>
          <w:numId w:val="18"/>
        </w:numPr>
        <w:jc w:val="both"/>
        <w:rPr>
          <w:rFonts w:ascii="Times New Roman" w:hAnsi="Times New Roman" w:cs="Times New Roman"/>
          <w:color w:val="000000"/>
          <w:sz w:val="24"/>
          <w:szCs w:val="24"/>
        </w:rPr>
      </w:pPr>
      <w:r>
        <w:rPr>
          <w:noProof/>
          <w:lang w:eastAsia="fr-FR"/>
        </w:rPr>
        <w:drawing>
          <wp:anchor distT="0" distB="0" distL="114300" distR="114300" simplePos="0" relativeHeight="251687936" behindDoc="0" locked="0" layoutInCell="1" allowOverlap="1">
            <wp:simplePos x="0" y="0"/>
            <wp:positionH relativeFrom="column">
              <wp:posOffset>-92075</wp:posOffset>
            </wp:positionH>
            <wp:positionV relativeFrom="paragraph">
              <wp:posOffset>361315</wp:posOffset>
            </wp:positionV>
            <wp:extent cx="343535" cy="341630"/>
            <wp:effectExtent l="0" t="0" r="0" b="127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3535" cy="341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du 20/01/2020 au 31/01/2020 : rémunération au 4</w:t>
      </w:r>
      <w:r>
        <w:rPr>
          <w:rFonts w:ascii="Times New Roman" w:hAnsi="Times New Roman" w:cs="Times New Roman"/>
          <w:color w:val="000000"/>
          <w:sz w:val="24"/>
          <w:szCs w:val="24"/>
          <w:vertAlign w:val="superscript"/>
        </w:rPr>
        <w:t>ème</w:t>
      </w:r>
      <w:r>
        <w:rPr>
          <w:rFonts w:ascii="Times New Roman" w:hAnsi="Times New Roman" w:cs="Times New Roman"/>
          <w:color w:val="000000"/>
          <w:sz w:val="24"/>
          <w:szCs w:val="24"/>
        </w:rPr>
        <w:t xml:space="preserve"> échelon et à temps partiel à 50% soit 11/30èmes  à 50%.</w:t>
      </w:r>
    </w:p>
    <w:p>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Voir ‘’Proratisation en cas de Changement en cours de période’’.</w:t>
      </w:r>
    </w:p>
    <w:p>
      <w:pPr>
        <w:pStyle w:val="Titre3"/>
        <w:rPr>
          <w:rStyle w:val="Rfrencelgre"/>
          <w:b w:val="0"/>
          <w:bCs w:val="0"/>
          <w:color w:val="1F4D78" w:themeColor="accent1" w:themeShade="7F"/>
        </w:rPr>
      </w:pPr>
    </w:p>
    <w:p>
      <w:pPr>
        <w:pStyle w:val="Titre3"/>
        <w:rPr>
          <w:sz w:val="24"/>
          <w:szCs w:val="24"/>
        </w:rPr>
      </w:pPr>
      <w:r>
        <w:rPr>
          <w:rStyle w:val="Rfrencelgre"/>
          <w:sz w:val="24"/>
          <w:szCs w:val="24"/>
        </w:rPr>
        <w:t>S</w:t>
      </w:r>
      <w:r>
        <w:rPr>
          <w:sz w:val="24"/>
          <w:szCs w:val="24"/>
        </w:rPr>
        <w:t>tagiaire</w:t>
      </w:r>
    </w:p>
    <w:p>
      <w:pPr>
        <w:pStyle w:val="NormalWeb"/>
        <w:spacing w:before="80" w:beforeAutospacing="0" w:after="80" w:afterAutospacing="0"/>
      </w:pPr>
      <w:r>
        <w:t>Un fonctionnaire stagiaire est un agent qui a été nommé, après réussite à un concours ou une procédure de recrutement prévue par une disposition législative, dans un emploi permanent de l’État ou d’un établissement public dépendant de l’Etat. Il y exerce effectivement les fonctions afférentes et a vocation à être titularisé dans le grade correspondant.</w:t>
      </w:r>
    </w:p>
    <w:p>
      <w:pPr>
        <w:pStyle w:val="NormalWeb"/>
        <w:spacing w:before="80" w:beforeAutospacing="0" w:after="80" w:afterAutospacing="0"/>
      </w:pPr>
      <w:r>
        <w:t>Le stagiaire (code Population P0008) désigne l’agent nommé dans un corps avant sa titularisation et le fonctionnaire détaché dans un corps pour la durée du stage avant titularisation. Lorsqu’il était précédemment fonctionnaire, le fonctionnaire stagiaire est détaché de son corps ou cadre d’emplois d’origine. Un stagiaire (titulaire dans un autre corps) aura donc le statut de stagiaire dans sa carrière d’accueil où il sera dans une position de détachement.</w:t>
      </w:r>
    </w:p>
    <w:p>
      <w:pPr>
        <w:pStyle w:val="NormalWeb"/>
        <w:spacing w:before="80" w:beforeAutospacing="0" w:after="80" w:afterAutospacing="0"/>
      </w:pPr>
      <w:r>
        <w:t>Les stagiaires sont régis par le décret  n°94-874 du 7 octobre 1994 fixant les dispositions communes applicables aux stagiaires de l'État et de ses établissements public.</w:t>
      </w:r>
    </w:p>
    <w:p>
      <w:pPr>
        <w:pStyle w:val="NormalWeb"/>
        <w:spacing w:before="80" w:beforeAutospacing="0" w:after="80" w:afterAutospacing="0"/>
      </w:pPr>
    </w:p>
    <w:p>
      <w:pPr>
        <w:pStyle w:val="NormalWeb"/>
        <w:spacing w:before="80" w:beforeAutospacing="0" w:after="80" w:afterAutospacing="0"/>
      </w:pPr>
      <w:r>
        <w:rPr>
          <w:noProof/>
        </w:rPr>
        <w:drawing>
          <wp:anchor distT="0" distB="0" distL="114300" distR="114300" simplePos="0" relativeHeight="251669504" behindDoc="0" locked="0" layoutInCell="1" allowOverlap="1">
            <wp:simplePos x="0" y="0"/>
            <wp:positionH relativeFrom="column">
              <wp:posOffset>-2868</wp:posOffset>
            </wp:positionH>
            <wp:positionV relativeFrom="paragraph">
              <wp:posOffset>918</wp:posOffset>
            </wp:positionV>
            <wp:extent cx="264059" cy="262524"/>
            <wp:effectExtent l="0" t="0" r="3175" b="444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59" cy="262524"/>
                    </a:xfrm>
                    <a:prstGeom prst="rect">
                      <a:avLst/>
                    </a:prstGeom>
                  </pic:spPr>
                </pic:pic>
              </a:graphicData>
            </a:graphic>
            <wp14:sizeRelH relativeFrom="page">
              <wp14:pctWidth>0</wp14:pctWidth>
            </wp14:sizeRelH>
            <wp14:sizeRelV relativeFrom="page">
              <wp14:pctHeight>0</wp14:pctHeight>
            </wp14:sizeRelV>
          </wp:anchor>
        </w:drawing>
      </w:r>
      <w:r>
        <w:t xml:space="preserve"> Voir aussi la définition «Elève ». </w:t>
      </w:r>
    </w:p>
    <w:p>
      <w:pPr>
        <w:rPr>
          <w:rFonts w:ascii="Times New Roman" w:eastAsia="Times New Roman" w:hAnsi="Times New Roman" w:cs="Times New Roman"/>
          <w:sz w:val="24"/>
          <w:szCs w:val="24"/>
          <w:lang w:eastAsia="fr-FR"/>
        </w:rPr>
      </w:pPr>
      <w:r>
        <w:br w:type="page"/>
      </w:r>
    </w:p>
    <w:p>
      <w:pPr>
        <w:ind w:left="7788" w:firstLine="708"/>
        <w:rPr>
          <w:rStyle w:val="Rfrencelgre"/>
          <w:caps/>
          <w:color w:val="1F4D78" w:themeColor="accent1" w:themeShade="7F"/>
          <w:spacing w:val="15"/>
        </w:rPr>
      </w:pPr>
      <w:r>
        <w:rPr>
          <w:rStyle w:val="Rfrencelgre"/>
          <w:caps/>
          <w:noProof/>
          <w:color w:val="1F4D78" w:themeColor="accent1" w:themeShade="7F"/>
          <w:spacing w:val="15"/>
          <w:lang w:eastAsia="fr-FR"/>
        </w:rPr>
        <w:lastRenderedPageBreak/>
        <w:drawing>
          <wp:inline distT="0" distB="0" distL="0" distR="0">
            <wp:extent cx="329920" cy="343581"/>
            <wp:effectExtent l="0" t="0" r="0" b="0"/>
            <wp:docPr id="36" name="Image 3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our .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920" cy="343581"/>
                    </a:xfrm>
                    <a:prstGeom prst="rect">
                      <a:avLst/>
                    </a:prstGeom>
                  </pic:spPr>
                </pic:pic>
              </a:graphicData>
            </a:graphic>
          </wp:inline>
        </w:drawing>
      </w:r>
    </w:p>
    <w:p>
      <w:pPr>
        <w:pStyle w:val="Titre1"/>
        <w:jc w:val="center"/>
      </w:pPr>
      <w:bookmarkStart w:id="11" w:name="_V"/>
      <w:bookmarkEnd w:id="11"/>
      <w:r>
        <w:t>V</w:t>
      </w:r>
    </w:p>
    <w:p>
      <w:pPr>
        <w:pStyle w:val="NormalWeb"/>
        <w:spacing w:before="80" w:beforeAutospacing="0" w:after="80" w:afterAutospacing="0"/>
      </w:pPr>
    </w:p>
    <w:p>
      <w:pPr>
        <w:pStyle w:val="Titre3"/>
        <w:rPr>
          <w:sz w:val="24"/>
          <w:szCs w:val="24"/>
        </w:rPr>
      </w:pPr>
      <w:r>
        <w:rPr>
          <w:rStyle w:val="Rfrencelgre"/>
          <w:sz w:val="24"/>
          <w:szCs w:val="24"/>
        </w:rPr>
        <w:t>V</w:t>
      </w:r>
      <w:r>
        <w:rPr>
          <w:sz w:val="24"/>
          <w:szCs w:val="24"/>
        </w:rPr>
        <w:t>ersement anticipé</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En cas de départ ou de cessation de fonction, certaines indemnités à versement non mensuel peuvent être payées avant la date de paiement prévue dans l’application PAY.</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effet, en cas de cessation de paiement à une date antérieure (exemple : 31 mai) à la date de paiement de l’indemnité (exemple : juin pour le versement trimestriel), un versement anticipé (sur la paye de mai au lieu de juin) des indemnités dues pour avril et mai est nécessaire.   </w:t>
      </w:r>
    </w:p>
    <w:p>
      <w:pPr>
        <w:pStyle w:val="Paragraphedeliste"/>
        <w:numPr>
          <w:ilvl w:val="0"/>
          <w:numId w:val="14"/>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Exemples : 200462 Indemnité de suivi et d'orientation des élèves (part fixe) dont le versement est trimestriel pour le ministère de la Transition Ecologique (MTE), 200451 indemnité de sujétion. </w:t>
      </w:r>
    </w:p>
    <w:p>
      <w:pPr>
        <w:pStyle w:val="NormalWeb"/>
        <w:spacing w:before="80" w:beforeAutospacing="0" w:after="80" w:afterAutospacing="0"/>
      </w:pPr>
    </w:p>
    <w:sectPr>
      <w:footerReference w:type="default" r:id="rId46"/>
      <w:pgSz w:w="11906" w:h="16838"/>
      <w:pgMar w:top="1417" w:right="1417" w:bottom="1417" w:left="1417" w:header="708" w:footer="708" w:gutter="0"/>
      <w:pgBorders w:offsetFrom="page">
        <w:top w:val="single" w:sz="4" w:space="24" w:color="1F3864" w:themeColor="accent5" w:themeShade="80"/>
        <w:left w:val="single" w:sz="4" w:space="24" w:color="1F3864" w:themeColor="accent5" w:themeShade="80"/>
        <w:bottom w:val="single" w:sz="4" w:space="24" w:color="1F3864" w:themeColor="accent5" w:themeShade="80"/>
        <w:right w:val="single" w:sz="4" w:space="24" w:color="1F3864"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rPr>
        <w:color w:val="002060"/>
      </w:rPr>
    </w:pPr>
    <w:r>
      <w:rPr>
        <w:color w:val="002060"/>
      </w:rPr>
      <w:t>CISIRH – BSRMRH /Glossaire RDP v2 (mai 2021)</w:t>
    </w:r>
    <w:r>
      <w:rPr>
        <w:color w:val="002060"/>
      </w:rPr>
      <w:tab/>
    </w:r>
  </w:p>
  <w:p>
    <w:pPr>
      <w:pStyle w:val="Pieddepage"/>
      <w:rPr>
        <w:color w:val="0020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mso87EE"/>
      </v:shape>
    </w:pict>
  </w:numPicBullet>
  <w:abstractNum w:abstractNumId="0" w15:restartNumberingAfterBreak="0">
    <w:nsid w:val="1482775B"/>
    <w:multiLevelType w:val="multilevel"/>
    <w:tmpl w:val="29C867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6C0A31"/>
    <w:multiLevelType w:val="hybridMultilevel"/>
    <w:tmpl w:val="B614ABB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C65933"/>
    <w:multiLevelType w:val="hybridMultilevel"/>
    <w:tmpl w:val="854AF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1B447C"/>
    <w:multiLevelType w:val="hybridMultilevel"/>
    <w:tmpl w:val="344C9F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447366"/>
    <w:multiLevelType w:val="hybridMultilevel"/>
    <w:tmpl w:val="C83AEA1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5" w15:restartNumberingAfterBreak="0">
    <w:nsid w:val="4801074D"/>
    <w:multiLevelType w:val="hybridMultilevel"/>
    <w:tmpl w:val="6F62A6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7B461E"/>
    <w:multiLevelType w:val="hybridMultilevel"/>
    <w:tmpl w:val="B164E460"/>
    <w:lvl w:ilvl="0" w:tplc="8BAA960C">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15013C3"/>
    <w:multiLevelType w:val="hybridMultilevel"/>
    <w:tmpl w:val="AE1AA4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C15C58"/>
    <w:multiLevelType w:val="hybridMultilevel"/>
    <w:tmpl w:val="E2D6D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3A79A9"/>
    <w:multiLevelType w:val="hybridMultilevel"/>
    <w:tmpl w:val="273205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EE4433"/>
    <w:multiLevelType w:val="hybridMultilevel"/>
    <w:tmpl w:val="B34CF1E2"/>
    <w:lvl w:ilvl="0" w:tplc="8B5A85F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3"/>
  </w:num>
  <w:num w:numId="13">
    <w:abstractNumId w:val="4"/>
  </w:num>
  <w:num w:numId="14">
    <w:abstractNumId w:val="1"/>
  </w:num>
  <w:num w:numId="15">
    <w:abstractNumId w:val="6"/>
  </w:num>
  <w:num w:numId="16">
    <w:abstractNumId w:val="8"/>
  </w:num>
  <w:num w:numId="17">
    <w:abstractNumId w:val="2"/>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80D32-CCE4-4849-A7BA-35398A6C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Pr>
      <w:caps/>
      <w:spacing w:val="15"/>
      <w:shd w:val="clear" w:color="auto" w:fill="DEEAF6" w:themeFill="accent1" w:themeFillTint="33"/>
    </w:rPr>
  </w:style>
  <w:style w:type="character" w:customStyle="1" w:styleId="Titre3Car">
    <w:name w:val="Titre 3 Car"/>
    <w:basedOn w:val="Policepardfaut"/>
    <w:link w:val="Titre3"/>
    <w:uiPriority w:val="9"/>
    <w:rPr>
      <w:caps/>
      <w:color w:val="1F4D78" w:themeColor="accent1" w:themeShade="7F"/>
      <w:spacing w:val="15"/>
    </w:rPr>
  </w:style>
  <w:style w:type="character" w:customStyle="1" w:styleId="Titre4Car">
    <w:name w:val="Titre 4 Car"/>
    <w:basedOn w:val="Policepardfaut"/>
    <w:link w:val="Titre4"/>
    <w:uiPriority w:val="9"/>
    <w:semiHidden/>
    <w:rPr>
      <w:caps/>
      <w:color w:val="2E74B5" w:themeColor="accent1" w:themeShade="BF"/>
      <w:spacing w:val="10"/>
    </w:rPr>
  </w:style>
  <w:style w:type="character" w:customStyle="1" w:styleId="Titre5Car">
    <w:name w:val="Titre 5 Car"/>
    <w:basedOn w:val="Policepardfaut"/>
    <w:link w:val="Titre5"/>
    <w:uiPriority w:val="9"/>
    <w:semiHidden/>
    <w:rPr>
      <w:caps/>
      <w:color w:val="2E74B5" w:themeColor="accent1" w:themeShade="BF"/>
      <w:spacing w:val="10"/>
    </w:rPr>
  </w:style>
  <w:style w:type="character" w:customStyle="1" w:styleId="Titre6Car">
    <w:name w:val="Titre 6 Car"/>
    <w:basedOn w:val="Policepardfaut"/>
    <w:link w:val="Titre6"/>
    <w:uiPriority w:val="9"/>
    <w:semiHidden/>
    <w:rPr>
      <w:caps/>
      <w:color w:val="2E74B5" w:themeColor="accent1" w:themeShade="BF"/>
      <w:spacing w:val="10"/>
    </w:rPr>
  </w:style>
  <w:style w:type="character" w:customStyle="1" w:styleId="Titre7Car">
    <w:name w:val="Titre 7 Car"/>
    <w:basedOn w:val="Policepardfaut"/>
    <w:link w:val="Titre7"/>
    <w:uiPriority w:val="9"/>
    <w:semiHidden/>
    <w:rPr>
      <w:caps/>
      <w:color w:val="2E74B5" w:themeColor="accent1" w:themeShade="BF"/>
      <w:spacing w:val="10"/>
    </w:rPr>
  </w:style>
  <w:style w:type="character" w:customStyle="1" w:styleId="Titre8Car">
    <w:name w:val="Titre 8 Car"/>
    <w:basedOn w:val="Policepardfaut"/>
    <w:link w:val="Titre8"/>
    <w:uiPriority w:val="9"/>
    <w:semiHidden/>
    <w:rPr>
      <w:caps/>
      <w:spacing w:val="10"/>
      <w:sz w:val="18"/>
      <w:szCs w:val="18"/>
    </w:rPr>
  </w:style>
  <w:style w:type="character" w:customStyle="1" w:styleId="Titre9Car">
    <w:name w:val="Titre 9 Car"/>
    <w:basedOn w:val="Policepardfaut"/>
    <w:link w:val="Titre9"/>
    <w:uiPriority w:val="9"/>
    <w:semiHidden/>
    <w:rPr>
      <w:i/>
      <w:iCs/>
      <w:caps/>
      <w:spacing w:val="10"/>
      <w:sz w:val="18"/>
      <w:szCs w:val="18"/>
    </w:rPr>
  </w:style>
  <w:style w:type="paragraph" w:styleId="Lgende">
    <w:name w:val="caption"/>
    <w:basedOn w:val="Normal"/>
    <w:next w:val="Normal"/>
    <w:uiPriority w:val="35"/>
    <w:semiHidden/>
    <w:unhideWhenUsed/>
    <w:qFormat/>
    <w:rPr>
      <w:b/>
      <w:bCs/>
      <w:color w:val="2E74B5" w:themeColor="accent1" w:themeShade="BF"/>
      <w:sz w:val="16"/>
      <w:szCs w:val="16"/>
    </w:rPr>
  </w:style>
  <w:style w:type="paragraph" w:styleId="Titre">
    <w:name w:val="Title"/>
    <w:basedOn w:val="Normal"/>
    <w:next w:val="Normal"/>
    <w:link w:val="TitreCar"/>
    <w:uiPriority w:val="10"/>
    <w:qFormat/>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Pr>
      <w:caps/>
      <w:color w:val="595959" w:themeColor="text1" w:themeTint="A6"/>
      <w:spacing w:val="10"/>
      <w:sz w:val="21"/>
      <w:szCs w:val="21"/>
    </w:rPr>
  </w:style>
  <w:style w:type="character" w:styleId="lev">
    <w:name w:val="Strong"/>
    <w:uiPriority w:val="22"/>
    <w:qFormat/>
    <w:rPr>
      <w:b/>
      <w:bCs/>
    </w:rPr>
  </w:style>
  <w:style w:type="character" w:styleId="Accentuation">
    <w:name w:val="Emphasis"/>
    <w:uiPriority w:val="20"/>
    <w:qFormat/>
    <w:rPr>
      <w:caps/>
      <w:color w:val="1F4D78" w:themeColor="accent1" w:themeShade="7F"/>
      <w:spacing w:val="5"/>
    </w:rPr>
  </w:style>
  <w:style w:type="paragraph" w:styleId="Sansinterligne">
    <w:name w:val="No Spacing"/>
    <w:uiPriority w:val="1"/>
    <w:qFormat/>
    <w:pPr>
      <w:spacing w:after="0" w:line="240" w:lineRule="auto"/>
    </w:pPr>
  </w:style>
  <w:style w:type="paragraph" w:styleId="Citation">
    <w:name w:val="Quote"/>
    <w:basedOn w:val="Normal"/>
    <w:next w:val="Normal"/>
    <w:link w:val="CitationCar"/>
    <w:uiPriority w:val="29"/>
    <w:qFormat/>
    <w:rPr>
      <w:i/>
      <w:iCs/>
      <w:sz w:val="24"/>
      <w:szCs w:val="24"/>
    </w:rPr>
  </w:style>
  <w:style w:type="character" w:customStyle="1" w:styleId="CitationCar">
    <w:name w:val="Citation Car"/>
    <w:basedOn w:val="Policepardfaut"/>
    <w:link w:val="Citation"/>
    <w:uiPriority w:val="29"/>
    <w:rPr>
      <w:i/>
      <w:iCs/>
      <w:sz w:val="24"/>
      <w:szCs w:val="24"/>
    </w:rPr>
  </w:style>
  <w:style w:type="paragraph" w:styleId="Citationintense">
    <w:name w:val="Intense Quote"/>
    <w:basedOn w:val="Normal"/>
    <w:next w:val="Normal"/>
    <w:link w:val="CitationintenseCar"/>
    <w:uiPriority w:val="30"/>
    <w:qFormat/>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Pr>
      <w:color w:val="5B9BD5" w:themeColor="accent1"/>
      <w:sz w:val="24"/>
      <w:szCs w:val="24"/>
    </w:rPr>
  </w:style>
  <w:style w:type="character" w:styleId="Accentuationlgre">
    <w:name w:val="Subtle Emphasis"/>
    <w:uiPriority w:val="19"/>
    <w:qFormat/>
    <w:rPr>
      <w:i/>
      <w:iCs/>
      <w:color w:val="1F4D78" w:themeColor="accent1" w:themeShade="7F"/>
    </w:rPr>
  </w:style>
  <w:style w:type="character" w:styleId="Accentuationintense">
    <w:name w:val="Intense Emphasis"/>
    <w:uiPriority w:val="21"/>
    <w:qFormat/>
    <w:rPr>
      <w:b/>
      <w:bCs/>
      <w:caps/>
      <w:color w:val="1F4D78" w:themeColor="accent1" w:themeShade="7F"/>
      <w:spacing w:val="10"/>
    </w:rPr>
  </w:style>
  <w:style w:type="character" w:styleId="Rfrencelgre">
    <w:name w:val="Subtle Reference"/>
    <w:uiPriority w:val="31"/>
    <w:qFormat/>
    <w:rPr>
      <w:b/>
      <w:bCs/>
      <w:color w:val="5B9BD5" w:themeColor="accent1"/>
    </w:rPr>
  </w:style>
  <w:style w:type="character" w:styleId="Rfrenceintense">
    <w:name w:val="Intense Reference"/>
    <w:uiPriority w:val="32"/>
    <w:qFormat/>
    <w:rPr>
      <w:b/>
      <w:bCs/>
      <w:i/>
      <w:iCs/>
      <w:caps/>
      <w:color w:val="5B9BD5" w:themeColor="accent1"/>
    </w:rPr>
  </w:style>
  <w:style w:type="character" w:styleId="Titredulivre">
    <w:name w:val="Book Title"/>
    <w:uiPriority w:val="33"/>
    <w:qFormat/>
    <w:rPr>
      <w:b/>
      <w:bCs/>
      <w:i/>
      <w:iCs/>
      <w:spacing w:val="0"/>
    </w:rPr>
  </w:style>
  <w:style w:type="paragraph" w:styleId="En-ttedetabledesmatires">
    <w:name w:val="TOC Heading"/>
    <w:basedOn w:val="Titre1"/>
    <w:next w:val="Normal"/>
    <w:uiPriority w:val="39"/>
    <w:semiHidden/>
    <w:unhideWhenUsed/>
    <w:qFormat/>
    <w:pPr>
      <w:outlineLvl w:val="9"/>
    </w:pPr>
  </w:style>
  <w:style w:type="paragraph" w:styleId="NormalWeb">
    <w:name w:val="Normal (Web)"/>
    <w:basedOn w:val="Normal"/>
    <w:uiPriority w:val="99"/>
    <w:unhideWhenUsed/>
    <w:pPr>
      <w:spacing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paragraph" w:styleId="En-tte">
    <w:name w:val="header"/>
    <w:basedOn w:val="Normal"/>
    <w:link w:val="En-tteCar"/>
    <w:uiPriority w:val="99"/>
    <w:unhideWhenUsed/>
    <w:pPr>
      <w:tabs>
        <w:tab w:val="center" w:pos="4536"/>
        <w:tab w:val="right" w:pos="9072"/>
      </w:tabs>
      <w:spacing w:before="0"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style>
  <w:style w:type="paragraph" w:styleId="Corpsdetexte">
    <w:name w:val="Body Text"/>
    <w:basedOn w:val="Normal"/>
    <w:link w:val="CorpsdetexteCar"/>
    <w:pPr>
      <w:suppressAutoHyphens/>
      <w:spacing w:before="0" w:after="120" w:line="240" w:lineRule="auto"/>
    </w:pPr>
    <w:rPr>
      <w:rFonts w:ascii="Times New Roman" w:eastAsia="Times New Roman" w:hAnsi="Times New Roman" w:cs="Times New Roman"/>
      <w:lang w:eastAsia="ar-SA"/>
    </w:rPr>
  </w:style>
  <w:style w:type="character" w:customStyle="1" w:styleId="CorpsdetexteCar">
    <w:name w:val="Corps de texte Car"/>
    <w:basedOn w:val="Policepardfaut"/>
    <w:link w:val="Corpsdetexte"/>
    <w:rPr>
      <w:rFonts w:ascii="Times New Roman" w:eastAsia="Times New Roman" w:hAnsi="Times New Roman" w:cs="Times New Roman"/>
      <w:lang w:eastAsia="ar-SA"/>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pPr>
      <w:spacing w:before="0" w:after="160" w:line="240" w:lineRule="auto"/>
    </w:pPr>
    <w:rPr>
      <w:rFonts w:eastAsiaTheme="minorHAnsi"/>
    </w:rPr>
  </w:style>
  <w:style w:type="character" w:customStyle="1" w:styleId="CommentaireCar">
    <w:name w:val="Commentaire Car"/>
    <w:basedOn w:val="Policepardfaut"/>
    <w:link w:val="Commentaire"/>
    <w:uiPriority w:val="99"/>
    <w:rPr>
      <w:rFonts w:eastAsiaTheme="minorHAnsi"/>
    </w:rPr>
  </w:style>
  <w:style w:type="paragraph" w:styleId="Textedebulles">
    <w:name w:val="Balloon Text"/>
    <w:basedOn w:val="Normal"/>
    <w:link w:val="TextedebullesCar"/>
    <w:uiPriority w:val="99"/>
    <w:semiHidden/>
    <w:unhideWhenUsed/>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Paragraphedeliste">
    <w:name w:val="List Paragraph"/>
    <w:basedOn w:val="Normal"/>
    <w:uiPriority w:val="34"/>
    <w:qFormat/>
    <w:pPr>
      <w:ind w:left="720"/>
      <w:contextualSpacing/>
    </w:pPr>
  </w:style>
  <w:style w:type="paragraph" w:styleId="Objetducommentaire">
    <w:name w:val="annotation subject"/>
    <w:basedOn w:val="Commentaire"/>
    <w:next w:val="Commentaire"/>
    <w:link w:val="ObjetducommentaireCar"/>
    <w:uiPriority w:val="99"/>
    <w:semiHidden/>
    <w:unhideWhenUsed/>
    <w:pPr>
      <w:spacing w:before="100" w:after="200"/>
    </w:pPr>
    <w:rPr>
      <w:rFonts w:eastAsiaTheme="minorEastAsia"/>
      <w:b/>
      <w:bCs/>
    </w:rPr>
  </w:style>
  <w:style w:type="character" w:customStyle="1" w:styleId="ObjetducommentaireCar">
    <w:name w:val="Objet du commentaire Car"/>
    <w:basedOn w:val="CommentaireCar"/>
    <w:link w:val="Objetducommentaire"/>
    <w:uiPriority w:val="99"/>
    <w:semiHidden/>
    <w:rPr>
      <w:rFonts w:eastAsia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linternaute.fr/dictionnaire/fr/definition/correspondre/" TargetMode="External"/><Relationship Id="rId26" Type="http://schemas.openxmlformats.org/officeDocument/2006/relationships/image" Target="media/image17.png"/><Relationship Id="rId39" Type="http://schemas.openxmlformats.org/officeDocument/2006/relationships/hyperlink" Target="https://www.linternaute.fr/dictionnaire/fr/definition/son/" TargetMode="External"/><Relationship Id="rId21" Type="http://schemas.openxmlformats.org/officeDocument/2006/relationships/image" Target="media/image12.png"/><Relationship Id="rId34" Type="http://schemas.openxmlformats.org/officeDocument/2006/relationships/hyperlink" Target="https://www.linternaute.fr/dictionnaire/fr/definition/un/" TargetMode="External"/><Relationship Id="rId42" Type="http://schemas.openxmlformats.org/officeDocument/2006/relationships/hyperlink" Target="https://www.linternaute.fr/dictionnaire/fr/definition/au/"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Glossaire"/><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s://www.linternaute.fr/dictionnaire/fr/definition/la-1/" TargetMode="External"/><Relationship Id="rId37" Type="http://schemas.openxmlformats.org/officeDocument/2006/relationships/hyperlink" Target="https://www.linternaute.fr/dictionnaire/fr/definition/selon/" TargetMode="External"/><Relationship Id="rId40" Type="http://schemas.openxmlformats.org/officeDocument/2006/relationships/hyperlink" Target="https://www.linternaute.fr/dictionnaire/fr/definition/mensuel/" TargetMode="External"/><Relationship Id="rId45" Type="http://schemas.openxmlformats.org/officeDocument/2006/relationships/hyperlink" Target="https://www.linternaute.fr/dictionnaire/fr/definition/correspondre/"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linternaute.fr/dictionnaire/fr/definition/sera/" TargetMode="External"/><Relationship Id="rId10" Type="http://schemas.openxmlformats.org/officeDocument/2006/relationships/image" Target="media/image4.png"/><Relationship Id="rId19" Type="http://schemas.openxmlformats.org/officeDocument/2006/relationships/hyperlink" Target="https://www.jobintree.com/dictionnaire/definition-chomage-245.html" TargetMode="External"/><Relationship Id="rId31" Type="http://schemas.openxmlformats.org/officeDocument/2006/relationships/image" Target="media/image21.png"/><Relationship Id="rId44" Type="http://schemas.openxmlformats.org/officeDocument/2006/relationships/hyperlink" Target="https://www.linternaute.fr/dictionnaire/fr/definition/ser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r.wikipedia.org/wiki/R%C3%A9mun%C3%A9ration" TargetMode="External"/><Relationship Id="rId35" Type="http://schemas.openxmlformats.org/officeDocument/2006/relationships/hyperlink" Target="https://www.linternaute.fr/dictionnaire/fr/definition/rapport/" TargetMode="External"/><Relationship Id="rId43" Type="http://schemas.openxmlformats.org/officeDocument/2006/relationships/hyperlink" Target="https://www.linternaute.fr/dictionnaire/fr/definition/mois/"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linternaute.fr/dictionnaire/fr/definition/correspondre/" TargetMode="External"/><Relationship Id="rId38" Type="http://schemas.openxmlformats.org/officeDocument/2006/relationships/hyperlink" Target="https://www.linternaute.fr/dictionnaire/fr/definition/correspondant/"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www.linternaute.fr/dictionnaire/fr/definition/qu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2009-E65E-430F-B4D2-2D66EA19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3529</Words>
  <Characters>19412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MALHAIRE Virginie</dc:creator>
  <cp:keywords/>
  <dc:description/>
  <cp:lastModifiedBy>KARANCI Derya</cp:lastModifiedBy>
  <cp:revision>2</cp:revision>
  <dcterms:created xsi:type="dcterms:W3CDTF">2023-06-30T15:46:00Z</dcterms:created>
  <dcterms:modified xsi:type="dcterms:W3CDTF">2023-06-30T15:46:00Z</dcterms:modified>
</cp:coreProperties>
</file>