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rPr>
          <w:noProof/>
        </w:rPr>
      </w:pPr>
      <w:r>
        <w:rPr>
          <w:noProof/>
          <w:lang w:eastAsia="fr-FR"/>
        </w:rPr>
        <w:drawing>
          <wp:inline distT="0" distB="0" distL="0" distR="0">
            <wp:extent cx="6049010" cy="1266484"/>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6131386" cy="1283731"/>
                    </a:xfrm>
                    <a:prstGeom prst="rect">
                      <a:avLst/>
                    </a:prstGeom>
                    <a:noFill/>
                    <a:ln>
                      <a:noFill/>
                    </a:ln>
                  </pic:spPr>
                </pic:pic>
              </a:graphicData>
            </a:graphic>
          </wp:inline>
        </w:drawing>
      </w:r>
      <w:bookmarkStart w:id="0" w:name="_Hlk217378530"/>
    </w:p>
    <w:p>
      <w:pPr>
        <w:rPr>
          <w:noProof/>
        </w:rPr>
      </w:pPr>
    </w:p>
    <w:p>
      <w:pPr>
        <w:rPr>
          <w:noProof/>
        </w:rPr>
      </w:pPr>
    </w:p>
    <w:p>
      <w:pPr>
        <w:rPr>
          <w:noProof/>
        </w:rPr>
      </w:pPr>
    </w:p>
    <w:p>
      <w:pPr>
        <w:rPr>
          <w:noProof/>
        </w:rPr>
      </w:pPr>
    </w:p>
    <w:p>
      <w:pPr>
        <w:pStyle w:val="Sous-titre"/>
        <w:rPr>
          <w:szCs w:val="24"/>
        </w:rPr>
      </w:pPr>
      <w:r>
        <w:rPr>
          <w:noProof/>
        </w:rPr>
        <mc:AlternateContent>
          <mc:Choice Requires="wps">
            <w:drawing>
              <wp:anchor distT="0" distB="0" distL="114300" distR="114300" simplePos="0" relativeHeight="251954176" behindDoc="0" locked="0" layoutInCell="1" allowOverlap="1">
                <wp:simplePos x="0" y="0"/>
                <wp:positionH relativeFrom="page">
                  <wp:posOffset>4833960</wp:posOffset>
                </wp:positionH>
                <wp:positionV relativeFrom="paragraph">
                  <wp:posOffset>6654091</wp:posOffset>
                </wp:positionV>
                <wp:extent cx="1343771" cy="349858"/>
                <wp:effectExtent l="0" t="0" r="0" b="0"/>
                <wp:wrapNone/>
                <wp:docPr id="195" name="Zone de texte 195"/>
                <wp:cNvGraphicFramePr/>
                <a:graphic xmlns:a="http://schemas.openxmlformats.org/drawingml/2006/main">
                  <a:graphicData uri="http://schemas.microsoft.com/office/word/2010/wordprocessingShape">
                    <wps:wsp>
                      <wps:cNvSpPr txBox="1"/>
                      <wps:spPr>
                        <a:xfrm>
                          <a:off x="0" y="0"/>
                          <a:ext cx="1343771" cy="349858"/>
                        </a:xfrm>
                        <a:prstGeom prst="rect">
                          <a:avLst/>
                        </a:prstGeom>
                        <a:noFill/>
                        <a:ln w="6350">
                          <a:noFill/>
                        </a:ln>
                      </wps:spPr>
                      <wps:txbx>
                        <w:txbxContent>
                          <w:p>
                            <w:pPr>
                              <w:jc w:val="center"/>
                              <w:rPr>
                                <w:rFonts w:ascii="Marianne ExtraBold" w:hAnsi="Marianne ExtraBold"/>
                                <w:color w:val="FFFFFF" w:themeColor="background1"/>
                                <w:sz w:val="28"/>
                                <w:szCs w:val="32"/>
                              </w:rPr>
                            </w:pPr>
                            <w:r>
                              <w:rPr>
                                <w:rFonts w:ascii="Marianne ExtraBold" w:hAnsi="Marianne ExtraBold"/>
                                <w:color w:val="FFFFFF" w:themeColor="background1"/>
                                <w:sz w:val="28"/>
                                <w:szCs w:val="32"/>
                              </w:rPr>
                              <w:t>Février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95" o:spid="_x0000_s1026" type="#_x0000_t202" style="position:absolute;left:0;text-align:left;margin-left:380.65pt;margin-top:523.95pt;width:105.8pt;height:27.55pt;z-index:251954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" filled="f" stroked="f" strokeweight=".5pt">
                <v:textbox>
                  <w:txbxContent>
                    <w:p>
                      <w:pPr>
                        <w:jc w:val="center"/>
                        <w:rPr>
                          <w:rFonts w:ascii="Marianne ExtraBold" w:hAnsi="Marianne ExtraBold"/>
                          <w:color w:val="FFFFFF" w:themeColor="background1"/>
                          <w:sz w:val="28"/>
                          <w:szCs w:val="32"/>
                        </w:rPr>
                      </w:pPr>
                      <w:r>
                        <w:rPr>
                          <w:rFonts w:ascii="Marianne ExtraBold" w:hAnsi="Marianne ExtraBold"/>
                          <w:color w:val="FFFFFF" w:themeColor="background1"/>
                          <w:sz w:val="28"/>
                          <w:szCs w:val="32"/>
                        </w:rPr>
                        <w:t>Février 2026</w:t>
                      </w:r>
                    </w:p>
                  </w:txbxContent>
                </v:textbox>
                <w10:wrap anchorx="page"/>
              </v:shape>
            </w:pict>
          </mc:Fallback>
        </mc:AlternateContent>
      </w:r>
      <w:r>
        <w:rPr>
          <w:noProof/>
          <w:szCs w:val="24"/>
        </w:rPr>
        <w:drawing>
          <wp:anchor distT="0" distB="0" distL="114300" distR="114300" simplePos="0" relativeHeight="252204032" behindDoc="1" locked="0" layoutInCell="1" allowOverlap="1">
            <wp:simplePos x="0" y="0"/>
            <wp:positionH relativeFrom="page">
              <wp:align>right</wp:align>
            </wp:positionH>
            <wp:positionV relativeFrom="paragraph">
              <wp:posOffset>2296632</wp:posOffset>
            </wp:positionV>
            <wp:extent cx="7544892" cy="5197192"/>
            <wp:effectExtent l="0" t="0" r="0" b="381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544892" cy="519719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0" locked="0" layoutInCell="1" allowOverlap="1">
                <wp:simplePos x="0" y="0"/>
                <wp:positionH relativeFrom="column">
                  <wp:posOffset>182880</wp:posOffset>
                </wp:positionH>
                <wp:positionV relativeFrom="paragraph">
                  <wp:posOffset>2744470</wp:posOffset>
                </wp:positionV>
                <wp:extent cx="5649595" cy="419100"/>
                <wp:effectExtent l="0" t="0" r="8255" b="0"/>
                <wp:wrapNone/>
                <wp:docPr id="16" name="Zone de texte 16"/>
                <wp:cNvGraphicFramePr/>
                <a:graphic xmlns:a="http://schemas.openxmlformats.org/drawingml/2006/main">
                  <a:graphicData uri="http://schemas.microsoft.com/office/word/2010/wordprocessingShape">
                    <wps:wsp>
                      <wps:cNvSpPr txBox="1"/>
                      <wps:spPr>
                        <a:xfrm>
                          <a:off x="0" y="0"/>
                          <a:ext cx="5649595" cy="419100"/>
                        </a:xfrm>
                        <a:prstGeom prst="rect">
                          <a:avLst/>
                        </a:prstGeom>
                        <a:solidFill>
                          <a:schemeClr val="lt1"/>
                        </a:solidFill>
                        <a:ln w="6350">
                          <a:noFill/>
                        </a:ln>
                      </wps:spPr>
                      <wps:txbx>
                        <w:txbxContent>
                          <w:p>
                            <w:pPr>
                              <w:jc w:val="center"/>
                              <w:rPr>
                                <w:rFonts w:ascii="Marianne ExtraBold" w:hAnsi="Marianne ExtraBold"/>
                                <w:sz w:val="40"/>
                                <w:szCs w:val="40"/>
                              </w:rPr>
                            </w:pPr>
                            <w:r>
                              <w:rPr>
                                <w:rFonts w:ascii="Marianne ExtraBold" w:hAnsi="Marianne ExtraBold"/>
                                <w:sz w:val="40"/>
                                <w:szCs w:val="40"/>
                              </w:rPr>
                              <w:t>Domaine référentiel de paye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6" o:spid="_x0000_s1027" type="#_x0000_t202" style="position:absolute;left:0;text-align:left;margin-left:14.4pt;margin-top:216.1pt;width:444.85pt;height:3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" fillcolor="white [3201]" stroked="f" strokeweight=".5pt">
                <v:textbox>
                  <w:txbxContent>
                    <w:p>
                      <w:pPr>
                        <w:jc w:val="center"/>
                        <w:rPr>
                          <w:rFonts w:ascii="Marianne ExtraBold" w:hAnsi="Marianne ExtraBold"/>
                          <w:sz w:val="40"/>
                          <w:szCs w:val="40"/>
                        </w:rPr>
                      </w:pPr>
                      <w:r>
                        <w:rPr>
                          <w:rFonts w:ascii="Marianne ExtraBold" w:hAnsi="Marianne ExtraBold"/>
                          <w:sz w:val="40"/>
                          <w:szCs w:val="40"/>
                        </w:rPr>
                        <w:t>Domaine référentiel de paye</w:t>
                      </w:r>
                    </w:p>
                  </w:txbxContent>
                </v:textbox>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139700</wp:posOffset>
                </wp:positionH>
                <wp:positionV relativeFrom="paragraph">
                  <wp:posOffset>365125</wp:posOffset>
                </wp:positionV>
                <wp:extent cx="5745480" cy="2049780"/>
                <wp:effectExtent l="0" t="0" r="7620" b="7620"/>
                <wp:wrapNone/>
                <wp:docPr id="14" name="Zone de texte 14" descr="Guide du supplément familial de traitement">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txBox="1"/>
                      <wps:spPr>
                        <a:xfrm>
                          <a:off x="0" y="0"/>
                          <a:ext cx="5745480" cy="2049780"/>
                        </a:xfrm>
                        <a:prstGeom prst="rect">
                          <a:avLst/>
                        </a:prstGeom>
                        <a:solidFill>
                          <a:srgbClr val="91AE4F"/>
                        </a:solidFill>
                        <a:ln w="6350">
                          <a:noFill/>
                        </a:ln>
                      </wps:spPr>
                      <wps:txbx>
                        <w:txbxContent>
                          <w:p>
                            <w:pPr>
                              <w:jc w:val="center"/>
                              <w:rPr>
                                <w:rFonts w:ascii="Marianne ExtraBold" w:hAnsi="Marianne ExtraBold"/>
                                <w:color w:val="FFFFFF" w:themeColor="background1"/>
                                <w:sz w:val="72"/>
                                <w:szCs w:val="72"/>
                              </w:rPr>
                            </w:pPr>
                            <w:r>
                              <w:rPr>
                                <w:rFonts w:ascii="Marianne ExtraBold" w:hAnsi="Marianne ExtraBold"/>
                                <w:color w:val="FFFFFF" w:themeColor="background1"/>
                                <w:sz w:val="68"/>
                                <w:szCs w:val="68"/>
                              </w:rPr>
                              <w:t xml:space="preserve">Guide de la rémunération principale de la Fonction Publique d’Etat - FPE </w:t>
                            </w:r>
                          </w:p>
                          <w:p/>
                          <w:p/>
                          <w:p/>
                          <w:p/>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4" o:spid="_x0000_s1028" type="#_x0000_t202" alt="Guide du supplément familial de traitement" style="position:absolute;left:0;text-align:left;margin-left:11pt;margin-top:28.75pt;width:452.4pt;height:161.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" fillcolor="#91ae4f" stroked="f" strokeweight=".5pt">
                <v:textbox>
                  <w:txbxContent>
                    <w:p>
                      <w:pPr>
                        <w:jc w:val="center"/>
                        <w:rPr>
                          <w:rFonts w:ascii="Marianne ExtraBold" w:hAnsi="Marianne ExtraBold"/>
                          <w:color w:val="FFFFFF" w:themeColor="background1"/>
                          <w:sz w:val="72"/>
                          <w:szCs w:val="72"/>
                        </w:rPr>
                      </w:pPr>
                      <w:r>
                        <w:rPr>
                          <w:rFonts w:ascii="Marianne ExtraBold" w:hAnsi="Marianne ExtraBold"/>
                          <w:color w:val="FFFFFF" w:themeColor="background1"/>
                          <w:sz w:val="68"/>
                          <w:szCs w:val="68"/>
                        </w:rPr>
                        <w:t xml:space="preserve">Guide de la rémunération principale de la Fonction Publique d’Etat - FPE </w:t>
                      </w:r>
                    </w:p>
                    <w:p/>
                    <w:p/>
                    <w:p/>
                    <w:p/>
                    <w:p/>
                  </w:txbxContent>
                </v:textbox>
              </v:shape>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1057910</wp:posOffset>
                </wp:positionH>
                <wp:positionV relativeFrom="paragraph">
                  <wp:posOffset>2719596</wp:posOffset>
                </wp:positionV>
                <wp:extent cx="3860800" cy="44450"/>
                <wp:effectExtent l="0" t="19050" r="44450" b="50800"/>
                <wp:wrapNone/>
                <wp:docPr id="17" name="Connecteur droit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3860800" cy="44450"/>
                        </a:xfrm>
                        <a:prstGeom prst="line">
                          <a:avLst/>
                        </a:prstGeom>
                        <a:ln w="57150">
                          <a:solidFill>
                            <a:srgbClr val="91AE4F"/>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necteur droit 17" o:spid="_x0000_s1026" alt="&quot;&quot;"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3pt,214.15pt" to="387.3pt,2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" strokecolor="#91ae4f" strokeweight="4.5pt">
                <v:stroke joinstyle="miter"/>
              </v:line>
            </w:pict>
          </mc:Fallback>
        </mc:AlternateContent>
      </w:r>
      <w:r>
        <w:br w:type="page"/>
      </w:r>
    </w:p>
    <w:p>
      <w:pPr>
        <w:pStyle w:val="Sous-titre"/>
        <w:rPr>
          <w:szCs w:val="24"/>
        </w:rPr>
      </w:pPr>
    </w:p>
    <w:p>
      <w:pPr>
        <w:pStyle w:val="Sous-titre"/>
        <w:rPr>
          <w:szCs w:val="24"/>
        </w:rPr>
      </w:pPr>
    </w:p>
    <w:p>
      <w:pPr>
        <w:pStyle w:val="Sous-titre"/>
        <w:rPr>
          <w:szCs w:val="24"/>
        </w:rPr>
      </w:pPr>
      <w:r>
        <w:rPr>
          <w:szCs w:val="24"/>
        </w:rPr>
        <w:t>Suivi des modifications</w:t>
      </w: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7"/>
        <w:gridCol w:w="2284"/>
        <w:gridCol w:w="1275"/>
        <w:gridCol w:w="993"/>
        <w:gridCol w:w="4536"/>
      </w:tblGrid>
      <w:tr>
        <w:trPr>
          <w:cantSplit/>
          <w:trHeight w:val="242"/>
          <w:tblHeader/>
        </w:trPr>
        <w:tc>
          <w:tcPr>
            <w:tcW w:w="977" w:type="dxa"/>
            <w:shd w:val="clear" w:color="auto" w:fill="91AE4F"/>
            <w:vAlign w:val="center"/>
          </w:tcPr>
          <w:p>
            <w:pPr>
              <w:pStyle w:val="En-tte"/>
              <w:jc w:val="center"/>
              <w:rPr>
                <w:b/>
                <w:sz w:val="24"/>
                <w:szCs w:val="24"/>
              </w:rPr>
            </w:pPr>
            <w:r>
              <w:rPr>
                <w:b/>
                <w:sz w:val="24"/>
                <w:szCs w:val="24"/>
              </w:rPr>
              <w:t>Version</w:t>
            </w:r>
          </w:p>
        </w:tc>
        <w:tc>
          <w:tcPr>
            <w:tcW w:w="2284" w:type="dxa"/>
            <w:shd w:val="clear" w:color="auto" w:fill="91AE4F"/>
            <w:vAlign w:val="center"/>
          </w:tcPr>
          <w:p>
            <w:pPr>
              <w:pStyle w:val="En-tte"/>
              <w:jc w:val="center"/>
              <w:rPr>
                <w:b/>
                <w:sz w:val="24"/>
                <w:szCs w:val="24"/>
              </w:rPr>
            </w:pPr>
            <w:r>
              <w:rPr>
                <w:b/>
                <w:sz w:val="24"/>
                <w:szCs w:val="24"/>
              </w:rPr>
              <w:t>Mois de diffusion sur le Portail BARRI</w:t>
            </w:r>
          </w:p>
        </w:tc>
        <w:tc>
          <w:tcPr>
            <w:tcW w:w="1275" w:type="dxa"/>
            <w:shd w:val="clear" w:color="auto" w:fill="91AE4F"/>
            <w:vAlign w:val="center"/>
          </w:tcPr>
          <w:p>
            <w:pPr>
              <w:pStyle w:val="En-tte"/>
              <w:jc w:val="center"/>
              <w:rPr>
                <w:b/>
                <w:sz w:val="24"/>
                <w:szCs w:val="24"/>
              </w:rPr>
            </w:pPr>
            <w:r>
              <w:rPr>
                <w:b/>
                <w:sz w:val="24"/>
                <w:szCs w:val="24"/>
              </w:rPr>
              <w:t>Emetteur</w:t>
            </w:r>
          </w:p>
        </w:tc>
        <w:tc>
          <w:tcPr>
            <w:tcW w:w="993" w:type="dxa"/>
            <w:shd w:val="clear" w:color="auto" w:fill="91AE4F"/>
            <w:vAlign w:val="center"/>
          </w:tcPr>
          <w:p>
            <w:pPr>
              <w:pStyle w:val="En-tte"/>
              <w:jc w:val="center"/>
              <w:rPr>
                <w:b/>
                <w:sz w:val="24"/>
                <w:szCs w:val="24"/>
              </w:rPr>
            </w:pPr>
            <w:r>
              <w:rPr>
                <w:b/>
                <w:sz w:val="24"/>
                <w:szCs w:val="24"/>
              </w:rPr>
              <w:t>Entité</w:t>
            </w:r>
          </w:p>
        </w:tc>
        <w:tc>
          <w:tcPr>
            <w:tcW w:w="4536" w:type="dxa"/>
            <w:shd w:val="clear" w:color="auto" w:fill="91AE4F"/>
            <w:vAlign w:val="center"/>
          </w:tcPr>
          <w:p>
            <w:pPr>
              <w:pStyle w:val="En-tte"/>
              <w:jc w:val="center"/>
              <w:rPr>
                <w:b/>
                <w:sz w:val="24"/>
                <w:szCs w:val="24"/>
              </w:rPr>
            </w:pPr>
            <w:r>
              <w:rPr>
                <w:b/>
                <w:sz w:val="24"/>
                <w:szCs w:val="24"/>
              </w:rPr>
              <w:t>Suivi des modifications</w:t>
            </w:r>
          </w:p>
        </w:tc>
      </w:tr>
      <w:tr>
        <w:trPr>
          <w:trHeight w:val="429"/>
        </w:trPr>
        <w:tc>
          <w:tcPr>
            <w:tcW w:w="977" w:type="dxa"/>
            <w:shd w:val="clear" w:color="auto" w:fill="auto"/>
            <w:vAlign w:val="center"/>
          </w:tcPr>
          <w:p>
            <w:pPr>
              <w:spacing w:after="0"/>
              <w:jc w:val="center"/>
              <w:rPr>
                <w:sz w:val="24"/>
                <w:szCs w:val="24"/>
              </w:rPr>
            </w:pPr>
            <w:r>
              <w:rPr>
                <w:sz w:val="24"/>
                <w:szCs w:val="24"/>
              </w:rPr>
              <w:t>V1</w:t>
            </w:r>
          </w:p>
        </w:tc>
        <w:tc>
          <w:tcPr>
            <w:tcW w:w="2284" w:type="dxa"/>
            <w:shd w:val="clear" w:color="auto" w:fill="auto"/>
            <w:vAlign w:val="center"/>
          </w:tcPr>
          <w:p>
            <w:pPr>
              <w:spacing w:after="0"/>
              <w:jc w:val="center"/>
              <w:rPr>
                <w:sz w:val="24"/>
                <w:szCs w:val="24"/>
              </w:rPr>
            </w:pPr>
            <w:r>
              <w:rPr>
                <w:sz w:val="24"/>
                <w:szCs w:val="24"/>
              </w:rPr>
              <w:t>Septembre 2025</w:t>
            </w:r>
          </w:p>
        </w:tc>
        <w:tc>
          <w:tcPr>
            <w:tcW w:w="1275" w:type="dxa"/>
            <w:shd w:val="clear" w:color="auto" w:fill="auto"/>
            <w:vAlign w:val="center"/>
          </w:tcPr>
          <w:p>
            <w:pPr>
              <w:spacing w:after="0"/>
              <w:jc w:val="center"/>
              <w:rPr>
                <w:sz w:val="24"/>
                <w:szCs w:val="24"/>
              </w:rPr>
            </w:pPr>
            <w:r>
              <w:rPr>
                <w:sz w:val="24"/>
                <w:szCs w:val="24"/>
              </w:rPr>
              <w:t>CISIRH</w:t>
            </w:r>
          </w:p>
        </w:tc>
        <w:tc>
          <w:tcPr>
            <w:tcW w:w="993" w:type="dxa"/>
            <w:vAlign w:val="center"/>
          </w:tcPr>
          <w:p>
            <w:pPr>
              <w:spacing w:after="0"/>
              <w:jc w:val="center"/>
              <w:rPr>
                <w:sz w:val="24"/>
                <w:szCs w:val="24"/>
              </w:rPr>
            </w:pPr>
            <w:r>
              <w:rPr>
                <w:sz w:val="24"/>
                <w:szCs w:val="24"/>
              </w:rPr>
              <w:t>BARRI</w:t>
            </w:r>
          </w:p>
        </w:tc>
        <w:tc>
          <w:tcPr>
            <w:tcW w:w="4536" w:type="dxa"/>
            <w:shd w:val="clear" w:color="auto" w:fill="auto"/>
            <w:vAlign w:val="center"/>
          </w:tcPr>
          <w:p>
            <w:pPr>
              <w:spacing w:after="0"/>
              <w:rPr>
                <w:sz w:val="24"/>
                <w:szCs w:val="24"/>
              </w:rPr>
            </w:pPr>
            <w:r>
              <w:rPr>
                <w:sz w:val="24"/>
                <w:szCs w:val="24"/>
              </w:rPr>
              <w:t>Description du chapitre</w:t>
            </w:r>
          </w:p>
          <w:p>
            <w:pPr>
              <w:spacing w:after="0"/>
              <w:rPr>
                <w:b/>
                <w:bCs/>
                <w:sz w:val="24"/>
                <w:szCs w:val="24"/>
              </w:rPr>
            </w:pPr>
            <w:r>
              <w:rPr>
                <w:b/>
                <w:bCs/>
                <w:sz w:val="24"/>
                <w:szCs w:val="24"/>
              </w:rPr>
              <w:t xml:space="preserve">« TRAITEMENT DES FONCTIONNAIRES » </w:t>
            </w:r>
          </w:p>
        </w:tc>
      </w:tr>
      <w:tr>
        <w:trPr>
          <w:trHeight w:val="429"/>
        </w:trPr>
        <w:tc>
          <w:tcPr>
            <w:tcW w:w="977" w:type="dxa"/>
            <w:shd w:val="clear" w:color="auto" w:fill="auto"/>
            <w:vAlign w:val="center"/>
          </w:tcPr>
          <w:p>
            <w:pPr>
              <w:spacing w:after="0"/>
              <w:jc w:val="center"/>
              <w:rPr>
                <w:sz w:val="24"/>
                <w:szCs w:val="24"/>
              </w:rPr>
            </w:pPr>
            <w:r>
              <w:rPr>
                <w:sz w:val="24"/>
                <w:szCs w:val="24"/>
              </w:rPr>
              <w:t>V2</w:t>
            </w:r>
          </w:p>
        </w:tc>
        <w:tc>
          <w:tcPr>
            <w:tcW w:w="2284" w:type="dxa"/>
            <w:shd w:val="clear" w:color="auto" w:fill="auto"/>
            <w:vAlign w:val="center"/>
          </w:tcPr>
          <w:p>
            <w:pPr>
              <w:spacing w:after="0"/>
              <w:jc w:val="center"/>
              <w:rPr>
                <w:sz w:val="24"/>
                <w:szCs w:val="24"/>
              </w:rPr>
            </w:pPr>
            <w:r>
              <w:rPr>
                <w:sz w:val="24"/>
                <w:szCs w:val="24"/>
              </w:rPr>
              <w:t>Mars 2026</w:t>
            </w:r>
          </w:p>
        </w:tc>
        <w:tc>
          <w:tcPr>
            <w:tcW w:w="1275" w:type="dxa"/>
            <w:shd w:val="clear" w:color="auto" w:fill="auto"/>
            <w:vAlign w:val="center"/>
          </w:tcPr>
          <w:p>
            <w:pPr>
              <w:spacing w:after="0"/>
              <w:jc w:val="center"/>
              <w:rPr>
                <w:sz w:val="24"/>
                <w:szCs w:val="24"/>
              </w:rPr>
            </w:pPr>
            <w:r>
              <w:rPr>
                <w:sz w:val="24"/>
                <w:szCs w:val="24"/>
              </w:rPr>
              <w:t>CISIRH</w:t>
            </w:r>
          </w:p>
        </w:tc>
        <w:tc>
          <w:tcPr>
            <w:tcW w:w="993" w:type="dxa"/>
            <w:vAlign w:val="center"/>
          </w:tcPr>
          <w:p>
            <w:pPr>
              <w:spacing w:after="0"/>
              <w:jc w:val="center"/>
              <w:rPr>
                <w:sz w:val="24"/>
                <w:szCs w:val="24"/>
              </w:rPr>
            </w:pPr>
            <w:r>
              <w:rPr>
                <w:sz w:val="24"/>
                <w:szCs w:val="24"/>
              </w:rPr>
              <w:t>BARRI</w:t>
            </w:r>
          </w:p>
        </w:tc>
        <w:tc>
          <w:tcPr>
            <w:tcW w:w="4536" w:type="dxa"/>
            <w:shd w:val="clear" w:color="auto" w:fill="auto"/>
            <w:vAlign w:val="center"/>
          </w:tcPr>
          <w:p>
            <w:pPr>
              <w:spacing w:after="0"/>
              <w:rPr>
                <w:sz w:val="24"/>
                <w:szCs w:val="24"/>
              </w:rPr>
            </w:pPr>
            <w:r>
              <w:rPr>
                <w:sz w:val="24"/>
                <w:szCs w:val="24"/>
              </w:rPr>
              <w:t>Description du chapitre</w:t>
            </w:r>
          </w:p>
          <w:p>
            <w:pPr>
              <w:spacing w:after="0"/>
              <w:rPr>
                <w:b/>
                <w:bCs/>
                <w:sz w:val="24"/>
                <w:szCs w:val="24"/>
              </w:rPr>
            </w:pPr>
            <w:r>
              <w:rPr>
                <w:b/>
                <w:bCs/>
                <w:sz w:val="24"/>
                <w:szCs w:val="24"/>
              </w:rPr>
              <w:t>« SALAIRE DES CONTRACTUELS DE DROIT PUBLIC »</w:t>
            </w:r>
          </w:p>
        </w:tc>
      </w:tr>
    </w:tbl>
    <w:p/>
    <w:p/>
    <w:p/>
    <w:p/>
    <w:p/>
    <w:p>
      <w:r>
        <w:br w:type="page"/>
      </w:r>
    </w:p>
    <w:p>
      <w:pPr>
        <w:rPr>
          <w:rFonts w:ascii="Marianne ExtraBold" w:hAnsi="Marianne ExtraBold"/>
          <w:color w:val="91AE4F"/>
          <w:sz w:val="72"/>
          <w:szCs w:val="96"/>
        </w:rPr>
      </w:pPr>
      <w:bookmarkStart w:id="1" w:name="_Hlk217378646"/>
      <w:bookmarkEnd w:id="0"/>
      <w:r>
        <w:rPr>
          <w:rFonts w:ascii="Marianne ExtraBold" w:hAnsi="Marianne ExtraBold"/>
          <w:color w:val="91AE4F"/>
          <w:sz w:val="72"/>
          <w:szCs w:val="96"/>
        </w:rPr>
        <w:lastRenderedPageBreak/>
        <w:t>Sommaire</w:t>
      </w:r>
      <w:r>
        <w:rPr>
          <w:noProof/>
        </w:rPr>
        <w:t xml:space="preserve"> </w:t>
      </w:r>
    </w:p>
    <w:sdt>
      <w:sdtPr>
        <w:rPr>
          <w:rFonts w:ascii="Marianne" w:eastAsiaTheme="minorHAnsi" w:hAnsi="Marianne" w:cstheme="minorBidi"/>
          <w:b/>
          <w:bCs/>
          <w:noProof/>
          <w:color w:val="auto"/>
          <w:sz w:val="20"/>
          <w:szCs w:val="22"/>
          <w:lang w:eastAsia="en-US"/>
        </w:rPr>
        <w:id w:val="176005863"/>
        <w:docPartObj>
          <w:docPartGallery w:val="Table of Contents"/>
          <w:docPartUnique/>
        </w:docPartObj>
      </w:sdtPr>
      <w:sdtEndPr>
        <w:rPr>
          <w:rFonts w:eastAsiaTheme="majorEastAsia" w:cstheme="majorBidi"/>
        </w:rPr>
      </w:sdtEndPr>
      <w:sdtContent>
        <w:p>
          <w:pPr>
            <w:pStyle w:val="En-ttedetabledesmatires"/>
            <w:rPr>
              <w:sz w:val="24"/>
              <w:szCs w:val="24"/>
            </w:rPr>
          </w:pPr>
        </w:p>
        <w:p>
          <w:pPr>
            <w:pStyle w:val="TM1"/>
            <w:rPr>
              <w:rFonts w:asciiTheme="minorHAnsi" w:eastAsiaTheme="minorEastAsia" w:hAnsiTheme="minorHAnsi" w:cstheme="minorBidi"/>
              <w:b w:val="0"/>
              <w:bCs w:val="0"/>
              <w:sz w:val="22"/>
              <w:lang w:eastAsia="fr-FR"/>
            </w:rPr>
          </w:pPr>
          <w:r>
            <w:rPr>
              <w:sz w:val="24"/>
              <w:szCs w:val="24"/>
            </w:rPr>
            <w:fldChar w:fldCharType="begin"/>
          </w:r>
          <w:r>
            <w:rPr>
              <w:sz w:val="24"/>
              <w:szCs w:val="24"/>
            </w:rPr>
            <w:instrText xml:space="preserve"> TOC \o "1-3" \h \z \u </w:instrText>
          </w:r>
          <w:r>
            <w:rPr>
              <w:sz w:val="24"/>
              <w:szCs w:val="24"/>
            </w:rPr>
            <w:fldChar w:fldCharType="separate"/>
          </w:r>
          <w:hyperlink w:anchor="_Toc225170921" w:history="1">
            <w:r>
              <w:rPr>
                <w:rStyle w:val="Lienhypertexte"/>
              </w:rPr>
              <w:t>Présentation générale</w:t>
            </w:r>
            <w:r>
              <w:rPr>
                <w:webHidden/>
              </w:rPr>
              <w:tab/>
            </w:r>
            <w:r>
              <w:rPr>
                <w:webHidden/>
              </w:rPr>
              <w:fldChar w:fldCharType="begin"/>
            </w:r>
            <w:r>
              <w:rPr>
                <w:webHidden/>
              </w:rPr>
              <w:instrText xml:space="preserve"> PAGEREF _Toc225170921 \h </w:instrText>
            </w:r>
            <w:r>
              <w:rPr>
                <w:webHidden/>
              </w:rPr>
            </w:r>
            <w:r>
              <w:rPr>
                <w:webHidden/>
              </w:rPr>
              <w:fldChar w:fldCharType="separate"/>
            </w:r>
            <w:r>
              <w:rPr>
                <w:webHidden/>
              </w:rPr>
              <w:t>5</w:t>
            </w:r>
            <w:r>
              <w:rPr>
                <w:webHidden/>
              </w:rPr>
              <w:fldChar w:fldCharType="end"/>
            </w:r>
          </w:hyperlink>
        </w:p>
        <w:p>
          <w:pPr>
            <w:pStyle w:val="TM1"/>
            <w:tabs>
              <w:tab w:val="left" w:pos="400"/>
            </w:tabs>
            <w:rPr>
              <w:rFonts w:asciiTheme="minorHAnsi" w:eastAsiaTheme="minorEastAsia" w:hAnsiTheme="minorHAnsi" w:cstheme="minorBidi"/>
              <w:b w:val="0"/>
              <w:bCs w:val="0"/>
              <w:sz w:val="22"/>
              <w:lang w:eastAsia="fr-FR"/>
            </w:rPr>
          </w:pPr>
          <w:hyperlink w:anchor="_Toc225170922" w:history="1">
            <w:r>
              <w:rPr>
                <w:rStyle w:val="Lienhypertexte"/>
                <w:rFonts w:ascii="Wingdings" w:hAnsi="Wingdings"/>
              </w:rPr>
              <w:t></w:t>
            </w:r>
            <w:r>
              <w:rPr>
                <w:rFonts w:asciiTheme="minorHAnsi" w:eastAsiaTheme="minorEastAsia" w:hAnsiTheme="minorHAnsi" w:cstheme="minorBidi"/>
                <w:b w:val="0"/>
                <w:bCs w:val="0"/>
                <w:sz w:val="22"/>
                <w:lang w:eastAsia="fr-FR"/>
              </w:rPr>
              <w:tab/>
            </w:r>
            <w:r>
              <w:rPr>
                <w:rStyle w:val="Lienhypertexte"/>
              </w:rPr>
              <w:t>DISPOSITIFS COMMUNS</w:t>
            </w:r>
            <w:r>
              <w:rPr>
                <w:webHidden/>
              </w:rPr>
              <w:tab/>
            </w:r>
            <w:r>
              <w:rPr>
                <w:webHidden/>
              </w:rPr>
              <w:fldChar w:fldCharType="begin"/>
            </w:r>
            <w:r>
              <w:rPr>
                <w:webHidden/>
              </w:rPr>
              <w:instrText xml:space="preserve"> PAGEREF _Toc225170922 \h </w:instrText>
            </w:r>
            <w:r>
              <w:rPr>
                <w:webHidden/>
              </w:rPr>
            </w:r>
            <w:r>
              <w:rPr>
                <w:webHidden/>
              </w:rPr>
              <w:fldChar w:fldCharType="separate"/>
            </w:r>
            <w:r>
              <w:rPr>
                <w:webHidden/>
              </w:rPr>
              <w:t>6</w:t>
            </w:r>
            <w:r>
              <w:rPr>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23" w:history="1">
            <w:r>
              <w:rPr>
                <w:rStyle w:val="Lienhypertexte"/>
                <w:noProof/>
              </w:rPr>
              <w:t>Le droit à rémunération</w:t>
            </w:r>
            <w:r>
              <w:rPr>
                <w:noProof/>
                <w:webHidden/>
              </w:rPr>
              <w:tab/>
            </w:r>
            <w:r>
              <w:rPr>
                <w:noProof/>
                <w:webHidden/>
              </w:rPr>
              <w:fldChar w:fldCharType="begin"/>
            </w:r>
            <w:r>
              <w:rPr>
                <w:noProof/>
                <w:webHidden/>
              </w:rPr>
              <w:instrText xml:space="preserve"> PAGEREF _Toc225170923 \h </w:instrText>
            </w:r>
            <w:r>
              <w:rPr>
                <w:noProof/>
                <w:webHidden/>
              </w:rPr>
            </w:r>
            <w:r>
              <w:rPr>
                <w:noProof/>
                <w:webHidden/>
              </w:rPr>
              <w:fldChar w:fldCharType="separate"/>
            </w:r>
            <w:r>
              <w:rPr>
                <w:noProof/>
                <w:webHidden/>
              </w:rPr>
              <w:t>7</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24" w:history="1">
            <w:r>
              <w:rPr>
                <w:rStyle w:val="Lienhypertexte"/>
                <w:noProof/>
              </w:rPr>
              <w:t>Le versement par trentième indivisible</w:t>
            </w:r>
            <w:r>
              <w:rPr>
                <w:noProof/>
                <w:webHidden/>
              </w:rPr>
              <w:tab/>
            </w:r>
            <w:r>
              <w:rPr>
                <w:noProof/>
                <w:webHidden/>
              </w:rPr>
              <w:fldChar w:fldCharType="begin"/>
            </w:r>
            <w:r>
              <w:rPr>
                <w:noProof/>
                <w:webHidden/>
              </w:rPr>
              <w:instrText xml:space="preserve"> PAGEREF _Toc225170924 \h </w:instrText>
            </w:r>
            <w:r>
              <w:rPr>
                <w:noProof/>
                <w:webHidden/>
              </w:rPr>
            </w:r>
            <w:r>
              <w:rPr>
                <w:noProof/>
                <w:webHidden/>
              </w:rPr>
              <w:fldChar w:fldCharType="separate"/>
            </w:r>
            <w:r>
              <w:rPr>
                <w:noProof/>
                <w:webHidden/>
              </w:rPr>
              <w:t>8</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25" w:history="1">
            <w:r>
              <w:rPr>
                <w:rStyle w:val="Lienhypertexte"/>
                <w:noProof/>
              </w:rPr>
              <w:t>La quotité de service</w:t>
            </w:r>
            <w:r>
              <w:rPr>
                <w:noProof/>
                <w:webHidden/>
              </w:rPr>
              <w:tab/>
            </w:r>
            <w:r>
              <w:rPr>
                <w:noProof/>
                <w:webHidden/>
              </w:rPr>
              <w:fldChar w:fldCharType="begin"/>
            </w:r>
            <w:r>
              <w:rPr>
                <w:noProof/>
                <w:webHidden/>
              </w:rPr>
              <w:instrText xml:space="preserve"> PAGEREF _Toc225170925 \h </w:instrText>
            </w:r>
            <w:r>
              <w:rPr>
                <w:noProof/>
                <w:webHidden/>
              </w:rPr>
            </w:r>
            <w:r>
              <w:rPr>
                <w:noProof/>
                <w:webHidden/>
              </w:rPr>
              <w:fldChar w:fldCharType="separate"/>
            </w:r>
            <w:r>
              <w:rPr>
                <w:noProof/>
                <w:webHidden/>
              </w:rPr>
              <w:t>9</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26" w:history="1">
            <w:r>
              <w:rPr>
                <w:rStyle w:val="Lienhypertexte"/>
                <w:noProof/>
              </w:rPr>
              <w:t xml:space="preserve">La </w:t>
            </w:r>
            <w:r>
              <w:rPr>
                <w:rStyle w:val="Lienhypertexte"/>
                <w:bCs/>
                <w:noProof/>
              </w:rPr>
              <w:t>position statutaire</w:t>
            </w:r>
            <w:r>
              <w:rPr>
                <w:noProof/>
                <w:webHidden/>
              </w:rPr>
              <w:tab/>
            </w:r>
            <w:r>
              <w:rPr>
                <w:noProof/>
                <w:webHidden/>
              </w:rPr>
              <w:fldChar w:fldCharType="begin"/>
            </w:r>
            <w:r>
              <w:rPr>
                <w:noProof/>
                <w:webHidden/>
              </w:rPr>
              <w:instrText xml:space="preserve"> PAGEREF _Toc225170926 \h </w:instrText>
            </w:r>
            <w:r>
              <w:rPr>
                <w:noProof/>
                <w:webHidden/>
              </w:rPr>
            </w:r>
            <w:r>
              <w:rPr>
                <w:noProof/>
                <w:webHidden/>
              </w:rPr>
              <w:fldChar w:fldCharType="separate"/>
            </w:r>
            <w:r>
              <w:rPr>
                <w:noProof/>
                <w:webHidden/>
              </w:rPr>
              <w:t>11</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27" w:history="1">
            <w:r>
              <w:rPr>
                <w:rStyle w:val="Lienhypertexte"/>
                <w:noProof/>
              </w:rPr>
              <w:t>Les codes populations</w:t>
            </w:r>
            <w:r>
              <w:rPr>
                <w:noProof/>
                <w:webHidden/>
              </w:rPr>
              <w:tab/>
            </w:r>
            <w:r>
              <w:rPr>
                <w:noProof/>
                <w:webHidden/>
              </w:rPr>
              <w:fldChar w:fldCharType="begin"/>
            </w:r>
            <w:r>
              <w:rPr>
                <w:noProof/>
                <w:webHidden/>
              </w:rPr>
              <w:instrText xml:space="preserve"> PAGEREF _Toc225170927 \h </w:instrText>
            </w:r>
            <w:r>
              <w:rPr>
                <w:noProof/>
                <w:webHidden/>
              </w:rPr>
            </w:r>
            <w:r>
              <w:rPr>
                <w:noProof/>
                <w:webHidden/>
              </w:rPr>
              <w:fldChar w:fldCharType="separate"/>
            </w:r>
            <w:r>
              <w:rPr>
                <w:noProof/>
                <w:webHidden/>
              </w:rPr>
              <w:t>11</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28" w:history="1">
            <w:r>
              <w:rPr>
                <w:rStyle w:val="Lienhypertexte"/>
                <w:noProof/>
              </w:rPr>
              <w:t>L’application PAYSAGE</w:t>
            </w:r>
            <w:r>
              <w:rPr>
                <w:noProof/>
                <w:webHidden/>
              </w:rPr>
              <w:tab/>
            </w:r>
            <w:r>
              <w:rPr>
                <w:noProof/>
                <w:webHidden/>
              </w:rPr>
              <w:fldChar w:fldCharType="begin"/>
            </w:r>
            <w:r>
              <w:rPr>
                <w:noProof/>
                <w:webHidden/>
              </w:rPr>
              <w:instrText xml:space="preserve"> PAGEREF _Toc225170928 \h </w:instrText>
            </w:r>
            <w:r>
              <w:rPr>
                <w:noProof/>
                <w:webHidden/>
              </w:rPr>
            </w:r>
            <w:r>
              <w:rPr>
                <w:noProof/>
                <w:webHidden/>
              </w:rPr>
              <w:fldChar w:fldCharType="separate"/>
            </w:r>
            <w:r>
              <w:rPr>
                <w:noProof/>
                <w:webHidden/>
              </w:rPr>
              <w:t>12</w:t>
            </w:r>
            <w:r>
              <w:rPr>
                <w:noProof/>
                <w:webHidden/>
              </w:rPr>
              <w:fldChar w:fldCharType="end"/>
            </w:r>
          </w:hyperlink>
        </w:p>
        <w:p>
          <w:pPr>
            <w:pStyle w:val="TM1"/>
            <w:rPr>
              <w:rFonts w:asciiTheme="minorHAnsi" w:eastAsiaTheme="minorEastAsia" w:hAnsiTheme="minorHAnsi" w:cstheme="minorBidi"/>
              <w:b w:val="0"/>
              <w:bCs w:val="0"/>
              <w:sz w:val="22"/>
              <w:lang w:eastAsia="fr-FR"/>
            </w:rPr>
          </w:pPr>
          <w:hyperlink w:anchor="_Toc225170929" w:history="1">
            <w:r>
              <w:rPr>
                <w:rStyle w:val="Lienhypertexte"/>
              </w:rPr>
              <w:t>1. TRAITEMENT DES FONCTIONNAIRES</w:t>
            </w:r>
            <w:r>
              <w:rPr>
                <w:webHidden/>
              </w:rPr>
              <w:tab/>
            </w:r>
            <w:r>
              <w:rPr>
                <w:webHidden/>
              </w:rPr>
              <w:fldChar w:fldCharType="begin"/>
            </w:r>
            <w:r>
              <w:rPr>
                <w:webHidden/>
              </w:rPr>
              <w:instrText xml:space="preserve"> PAGEREF _Toc225170929 \h </w:instrText>
            </w:r>
            <w:r>
              <w:rPr>
                <w:webHidden/>
              </w:rPr>
            </w:r>
            <w:r>
              <w:rPr>
                <w:webHidden/>
              </w:rPr>
              <w:fldChar w:fldCharType="separate"/>
            </w:r>
            <w:r>
              <w:rPr>
                <w:webHidden/>
              </w:rPr>
              <w:t>15</w:t>
            </w:r>
            <w:r>
              <w:rPr>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30" w:history="1">
            <w:r>
              <w:rPr>
                <w:rStyle w:val="Lienhypertexte"/>
                <w:noProof/>
              </w:rPr>
              <w:t>1.1. Titulaires – Stagiaires – Magistrats – Auditeurs</w:t>
            </w:r>
            <w:r>
              <w:rPr>
                <w:noProof/>
                <w:webHidden/>
              </w:rPr>
              <w:tab/>
            </w:r>
            <w:r>
              <w:rPr>
                <w:noProof/>
                <w:webHidden/>
              </w:rPr>
              <w:fldChar w:fldCharType="begin"/>
            </w:r>
            <w:r>
              <w:rPr>
                <w:noProof/>
                <w:webHidden/>
              </w:rPr>
              <w:instrText xml:space="preserve"> PAGEREF _Toc225170930 \h </w:instrText>
            </w:r>
            <w:r>
              <w:rPr>
                <w:noProof/>
                <w:webHidden/>
              </w:rPr>
            </w:r>
            <w:r>
              <w:rPr>
                <w:noProof/>
                <w:webHidden/>
              </w:rPr>
              <w:fldChar w:fldCharType="separate"/>
            </w:r>
            <w:r>
              <w:rPr>
                <w:noProof/>
                <w:webHidden/>
              </w:rPr>
              <w:t>16</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25170931" w:history="1">
            <w:r>
              <w:rPr>
                <w:rStyle w:val="Lienhypertexte"/>
                <w:rFonts w:eastAsiaTheme="majorEastAsia" w:cstheme="majorBidi"/>
                <w:bCs/>
                <w:noProof/>
              </w:rPr>
              <w:t>1.1.1. Bases juridiques</w:t>
            </w:r>
            <w:r>
              <w:rPr>
                <w:noProof/>
                <w:webHidden/>
              </w:rPr>
              <w:tab/>
            </w:r>
            <w:r>
              <w:rPr>
                <w:noProof/>
                <w:webHidden/>
              </w:rPr>
              <w:fldChar w:fldCharType="begin"/>
            </w:r>
            <w:r>
              <w:rPr>
                <w:noProof/>
                <w:webHidden/>
              </w:rPr>
              <w:instrText xml:space="preserve"> PAGEREF _Toc225170931 \h </w:instrText>
            </w:r>
            <w:r>
              <w:rPr>
                <w:noProof/>
                <w:webHidden/>
              </w:rPr>
            </w:r>
            <w:r>
              <w:rPr>
                <w:noProof/>
                <w:webHidden/>
              </w:rPr>
              <w:fldChar w:fldCharType="separate"/>
            </w:r>
            <w:r>
              <w:rPr>
                <w:noProof/>
                <w:webHidden/>
              </w:rPr>
              <w:t>16</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25170932" w:history="1">
            <w:r>
              <w:rPr>
                <w:rStyle w:val="Lienhypertexte"/>
                <w:rFonts w:eastAsiaTheme="majorEastAsia" w:cstheme="majorBidi"/>
                <w:bCs/>
                <w:noProof/>
              </w:rPr>
              <w:t>1.1.2. Détermination du Traitement indiciaire</w:t>
            </w:r>
            <w:r>
              <w:rPr>
                <w:noProof/>
                <w:webHidden/>
              </w:rPr>
              <w:tab/>
            </w:r>
            <w:r>
              <w:rPr>
                <w:noProof/>
                <w:webHidden/>
              </w:rPr>
              <w:fldChar w:fldCharType="begin"/>
            </w:r>
            <w:r>
              <w:rPr>
                <w:noProof/>
                <w:webHidden/>
              </w:rPr>
              <w:instrText xml:space="preserve"> PAGEREF _Toc225170932 \h </w:instrText>
            </w:r>
            <w:r>
              <w:rPr>
                <w:noProof/>
                <w:webHidden/>
              </w:rPr>
            </w:r>
            <w:r>
              <w:rPr>
                <w:noProof/>
                <w:webHidden/>
              </w:rPr>
              <w:fldChar w:fldCharType="separate"/>
            </w:r>
            <w:r>
              <w:rPr>
                <w:noProof/>
                <w:webHidden/>
              </w:rPr>
              <w:t>18</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33" w:history="1">
            <w:r>
              <w:rPr>
                <w:rStyle w:val="Lienhypertexte"/>
                <w:noProof/>
              </w:rPr>
              <w:t>1.2. Populations particulières</w:t>
            </w:r>
            <w:r>
              <w:rPr>
                <w:noProof/>
                <w:webHidden/>
              </w:rPr>
              <w:tab/>
            </w:r>
            <w:r>
              <w:rPr>
                <w:noProof/>
                <w:webHidden/>
              </w:rPr>
              <w:fldChar w:fldCharType="begin"/>
            </w:r>
            <w:r>
              <w:rPr>
                <w:noProof/>
                <w:webHidden/>
              </w:rPr>
              <w:instrText xml:space="preserve"> PAGEREF _Toc225170933 \h </w:instrText>
            </w:r>
            <w:r>
              <w:rPr>
                <w:noProof/>
                <w:webHidden/>
              </w:rPr>
            </w:r>
            <w:r>
              <w:rPr>
                <w:noProof/>
                <w:webHidden/>
              </w:rPr>
              <w:fldChar w:fldCharType="separate"/>
            </w:r>
            <w:r>
              <w:rPr>
                <w:noProof/>
                <w:webHidden/>
              </w:rPr>
              <w:t>22</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25170934" w:history="1">
            <w:r>
              <w:rPr>
                <w:rStyle w:val="Lienhypertexte"/>
                <w:rFonts w:eastAsiaTheme="majorEastAsia" w:cstheme="majorBidi"/>
                <w:bCs/>
                <w:noProof/>
              </w:rPr>
              <w:t>1.2.1. Elèves</w:t>
            </w:r>
            <w:r>
              <w:rPr>
                <w:noProof/>
                <w:webHidden/>
              </w:rPr>
              <w:tab/>
            </w:r>
            <w:r>
              <w:rPr>
                <w:noProof/>
                <w:webHidden/>
              </w:rPr>
              <w:fldChar w:fldCharType="begin"/>
            </w:r>
            <w:r>
              <w:rPr>
                <w:noProof/>
                <w:webHidden/>
              </w:rPr>
              <w:instrText xml:space="preserve"> PAGEREF _Toc225170934 \h </w:instrText>
            </w:r>
            <w:r>
              <w:rPr>
                <w:noProof/>
                <w:webHidden/>
              </w:rPr>
            </w:r>
            <w:r>
              <w:rPr>
                <w:noProof/>
                <w:webHidden/>
              </w:rPr>
              <w:fldChar w:fldCharType="separate"/>
            </w:r>
            <w:r>
              <w:rPr>
                <w:noProof/>
                <w:webHidden/>
              </w:rPr>
              <w:t>22</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25170935" w:history="1">
            <w:r>
              <w:rPr>
                <w:rStyle w:val="Lienhypertexte"/>
                <w:rFonts w:eastAsiaTheme="majorEastAsia" w:cstheme="majorBidi"/>
                <w:bCs/>
                <w:noProof/>
              </w:rPr>
              <w:t>1.2.2. Personnels du culte</w:t>
            </w:r>
            <w:r>
              <w:rPr>
                <w:noProof/>
                <w:webHidden/>
              </w:rPr>
              <w:tab/>
            </w:r>
            <w:r>
              <w:rPr>
                <w:noProof/>
                <w:webHidden/>
              </w:rPr>
              <w:fldChar w:fldCharType="begin"/>
            </w:r>
            <w:r>
              <w:rPr>
                <w:noProof/>
                <w:webHidden/>
              </w:rPr>
              <w:instrText xml:space="preserve"> PAGEREF _Toc225170935 \h </w:instrText>
            </w:r>
            <w:r>
              <w:rPr>
                <w:noProof/>
                <w:webHidden/>
              </w:rPr>
            </w:r>
            <w:r>
              <w:rPr>
                <w:noProof/>
                <w:webHidden/>
              </w:rPr>
              <w:fldChar w:fldCharType="separate"/>
            </w:r>
            <w:r>
              <w:rPr>
                <w:noProof/>
                <w:webHidden/>
              </w:rPr>
              <w:t>24</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36" w:history="1">
            <w:r>
              <w:rPr>
                <w:rStyle w:val="Lienhypertexte"/>
                <w:noProof/>
              </w:rPr>
              <w:t>1.3. Emoluments assimilés au traitement indiciaire</w:t>
            </w:r>
            <w:r>
              <w:rPr>
                <w:noProof/>
                <w:webHidden/>
              </w:rPr>
              <w:tab/>
            </w:r>
            <w:r>
              <w:rPr>
                <w:noProof/>
                <w:webHidden/>
              </w:rPr>
              <w:fldChar w:fldCharType="begin"/>
            </w:r>
            <w:r>
              <w:rPr>
                <w:noProof/>
                <w:webHidden/>
              </w:rPr>
              <w:instrText xml:space="preserve"> PAGEREF _Toc225170936 \h </w:instrText>
            </w:r>
            <w:r>
              <w:rPr>
                <w:noProof/>
                <w:webHidden/>
              </w:rPr>
            </w:r>
            <w:r>
              <w:rPr>
                <w:noProof/>
                <w:webHidden/>
              </w:rPr>
              <w:fldChar w:fldCharType="separate"/>
            </w:r>
            <w:r>
              <w:rPr>
                <w:noProof/>
                <w:webHidden/>
              </w:rPr>
              <w:t>26</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25170937" w:history="1">
            <w:r>
              <w:rPr>
                <w:rStyle w:val="Lienhypertexte"/>
                <w:rFonts w:eastAsiaTheme="majorEastAsia" w:cstheme="majorBidi"/>
                <w:bCs/>
                <w:noProof/>
              </w:rPr>
              <w:t>1.3.1. Nouvelle Bonification Indiciaire - NBI</w:t>
            </w:r>
            <w:r>
              <w:rPr>
                <w:noProof/>
                <w:webHidden/>
              </w:rPr>
              <w:tab/>
            </w:r>
            <w:r>
              <w:rPr>
                <w:noProof/>
                <w:webHidden/>
              </w:rPr>
              <w:fldChar w:fldCharType="begin"/>
            </w:r>
            <w:r>
              <w:rPr>
                <w:noProof/>
                <w:webHidden/>
              </w:rPr>
              <w:instrText xml:space="preserve"> PAGEREF _Toc225170937 \h </w:instrText>
            </w:r>
            <w:r>
              <w:rPr>
                <w:noProof/>
                <w:webHidden/>
              </w:rPr>
            </w:r>
            <w:r>
              <w:rPr>
                <w:noProof/>
                <w:webHidden/>
              </w:rPr>
              <w:fldChar w:fldCharType="separate"/>
            </w:r>
            <w:r>
              <w:rPr>
                <w:noProof/>
                <w:webHidden/>
              </w:rPr>
              <w:t>27</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25170938" w:history="1">
            <w:r>
              <w:rPr>
                <w:rStyle w:val="Lienhypertexte"/>
                <w:rFonts w:eastAsiaTheme="majorEastAsia" w:cstheme="majorBidi"/>
                <w:bCs/>
                <w:noProof/>
              </w:rPr>
              <w:t>1.3.2. Indemnité de résidence - IR</w:t>
            </w:r>
            <w:r>
              <w:rPr>
                <w:noProof/>
                <w:webHidden/>
              </w:rPr>
              <w:tab/>
            </w:r>
            <w:r>
              <w:rPr>
                <w:noProof/>
                <w:webHidden/>
              </w:rPr>
              <w:fldChar w:fldCharType="begin"/>
            </w:r>
            <w:r>
              <w:rPr>
                <w:noProof/>
                <w:webHidden/>
              </w:rPr>
              <w:instrText xml:space="preserve"> PAGEREF _Toc225170938 \h </w:instrText>
            </w:r>
            <w:r>
              <w:rPr>
                <w:noProof/>
                <w:webHidden/>
              </w:rPr>
            </w:r>
            <w:r>
              <w:rPr>
                <w:noProof/>
                <w:webHidden/>
              </w:rPr>
              <w:fldChar w:fldCharType="separate"/>
            </w:r>
            <w:r>
              <w:rPr>
                <w:noProof/>
                <w:webHidden/>
              </w:rPr>
              <w:t>32</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25170939" w:history="1">
            <w:r>
              <w:rPr>
                <w:rStyle w:val="Lienhypertexte"/>
                <w:rFonts w:eastAsiaTheme="majorEastAsia" w:cstheme="majorBidi"/>
                <w:bCs/>
                <w:noProof/>
              </w:rPr>
              <w:t>1.3.3. Majorations de traitement</w:t>
            </w:r>
            <w:r>
              <w:rPr>
                <w:noProof/>
                <w:webHidden/>
              </w:rPr>
              <w:tab/>
            </w:r>
            <w:r>
              <w:rPr>
                <w:noProof/>
                <w:webHidden/>
              </w:rPr>
              <w:fldChar w:fldCharType="begin"/>
            </w:r>
            <w:r>
              <w:rPr>
                <w:noProof/>
                <w:webHidden/>
              </w:rPr>
              <w:instrText xml:space="preserve"> PAGEREF _Toc225170939 \h </w:instrText>
            </w:r>
            <w:r>
              <w:rPr>
                <w:noProof/>
                <w:webHidden/>
              </w:rPr>
            </w:r>
            <w:r>
              <w:rPr>
                <w:noProof/>
                <w:webHidden/>
              </w:rPr>
              <w:fldChar w:fldCharType="separate"/>
            </w:r>
            <w:r>
              <w:rPr>
                <w:noProof/>
                <w:webHidden/>
              </w:rPr>
              <w:t>34</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25170940" w:history="1">
            <w:r>
              <w:rPr>
                <w:rStyle w:val="Lienhypertexte"/>
                <w:rFonts w:eastAsiaTheme="majorEastAsia" w:cstheme="majorBidi"/>
                <w:bCs/>
                <w:noProof/>
              </w:rPr>
              <w:t>1.3.4. Indemnité différentielle au SMIC</w:t>
            </w:r>
            <w:r>
              <w:rPr>
                <w:noProof/>
                <w:webHidden/>
              </w:rPr>
              <w:tab/>
            </w:r>
            <w:r>
              <w:rPr>
                <w:noProof/>
                <w:webHidden/>
              </w:rPr>
              <w:fldChar w:fldCharType="begin"/>
            </w:r>
            <w:r>
              <w:rPr>
                <w:noProof/>
                <w:webHidden/>
              </w:rPr>
              <w:instrText xml:space="preserve"> PAGEREF _Toc225170940 \h </w:instrText>
            </w:r>
            <w:r>
              <w:rPr>
                <w:noProof/>
                <w:webHidden/>
              </w:rPr>
            </w:r>
            <w:r>
              <w:rPr>
                <w:noProof/>
                <w:webHidden/>
              </w:rPr>
              <w:fldChar w:fldCharType="separate"/>
            </w:r>
            <w:r>
              <w:rPr>
                <w:noProof/>
                <w:webHidden/>
              </w:rPr>
              <w:t>36</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25170941" w:history="1">
            <w:r>
              <w:rPr>
                <w:rStyle w:val="Lienhypertexte"/>
                <w:bCs/>
                <w:noProof/>
              </w:rPr>
              <w:t>1.3.5. Complément indemnité de résidence (pour étranger)</w:t>
            </w:r>
            <w:r>
              <w:rPr>
                <w:noProof/>
                <w:webHidden/>
              </w:rPr>
              <w:tab/>
            </w:r>
            <w:r>
              <w:rPr>
                <w:noProof/>
                <w:webHidden/>
              </w:rPr>
              <w:fldChar w:fldCharType="begin"/>
            </w:r>
            <w:r>
              <w:rPr>
                <w:noProof/>
                <w:webHidden/>
              </w:rPr>
              <w:instrText xml:space="preserve"> PAGEREF _Toc225170941 \h </w:instrText>
            </w:r>
            <w:r>
              <w:rPr>
                <w:noProof/>
                <w:webHidden/>
              </w:rPr>
            </w:r>
            <w:r>
              <w:rPr>
                <w:noProof/>
                <w:webHidden/>
              </w:rPr>
              <w:fldChar w:fldCharType="separate"/>
            </w:r>
            <w:r>
              <w:rPr>
                <w:noProof/>
                <w:webHidden/>
              </w:rPr>
              <w:t>37</w:t>
            </w:r>
            <w:r>
              <w:rPr>
                <w:noProof/>
                <w:webHidden/>
              </w:rPr>
              <w:fldChar w:fldCharType="end"/>
            </w:r>
          </w:hyperlink>
        </w:p>
        <w:p>
          <w:pPr>
            <w:pStyle w:val="TM1"/>
            <w:rPr>
              <w:rFonts w:asciiTheme="minorHAnsi" w:eastAsiaTheme="minorEastAsia" w:hAnsiTheme="minorHAnsi" w:cstheme="minorBidi"/>
              <w:b w:val="0"/>
              <w:bCs w:val="0"/>
              <w:sz w:val="22"/>
              <w:lang w:eastAsia="fr-FR"/>
            </w:rPr>
          </w:pPr>
          <w:hyperlink w:anchor="_Toc225170942" w:history="1">
            <w:r>
              <w:rPr>
                <w:rStyle w:val="Lienhypertexte"/>
              </w:rPr>
              <w:t>2. SALAIRE DES CONTRACTUELS DE DROIT PUBLIC</w:t>
            </w:r>
            <w:r>
              <w:rPr>
                <w:webHidden/>
              </w:rPr>
              <w:tab/>
            </w:r>
            <w:r>
              <w:rPr>
                <w:webHidden/>
              </w:rPr>
              <w:fldChar w:fldCharType="begin"/>
            </w:r>
            <w:r>
              <w:rPr>
                <w:webHidden/>
              </w:rPr>
              <w:instrText xml:space="preserve"> PAGEREF _Toc225170942 \h </w:instrText>
            </w:r>
            <w:r>
              <w:rPr>
                <w:webHidden/>
              </w:rPr>
            </w:r>
            <w:r>
              <w:rPr>
                <w:webHidden/>
              </w:rPr>
              <w:fldChar w:fldCharType="separate"/>
            </w:r>
            <w:r>
              <w:rPr>
                <w:webHidden/>
              </w:rPr>
              <w:t>38</w:t>
            </w:r>
            <w:r>
              <w:rPr>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43" w:history="1">
            <w:r>
              <w:rPr>
                <w:rStyle w:val="Lienhypertexte"/>
                <w:noProof/>
              </w:rPr>
              <w:t>2.1. Contractuels de droit public</w:t>
            </w:r>
            <w:r>
              <w:rPr>
                <w:noProof/>
                <w:webHidden/>
              </w:rPr>
              <w:tab/>
            </w:r>
            <w:r>
              <w:rPr>
                <w:noProof/>
                <w:webHidden/>
              </w:rPr>
              <w:fldChar w:fldCharType="begin"/>
            </w:r>
            <w:r>
              <w:rPr>
                <w:noProof/>
                <w:webHidden/>
              </w:rPr>
              <w:instrText xml:space="preserve"> PAGEREF _Toc225170943 \h </w:instrText>
            </w:r>
            <w:r>
              <w:rPr>
                <w:noProof/>
                <w:webHidden/>
              </w:rPr>
            </w:r>
            <w:r>
              <w:rPr>
                <w:noProof/>
                <w:webHidden/>
              </w:rPr>
              <w:fldChar w:fldCharType="separate"/>
            </w:r>
            <w:r>
              <w:rPr>
                <w:noProof/>
                <w:webHidden/>
              </w:rPr>
              <w:t>39</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25170944" w:history="1">
            <w:r>
              <w:rPr>
                <w:rStyle w:val="Lienhypertexte"/>
                <w:bCs/>
                <w:noProof/>
              </w:rPr>
              <w:t>2.1.1. Bases juridiques</w:t>
            </w:r>
            <w:r>
              <w:rPr>
                <w:noProof/>
                <w:webHidden/>
              </w:rPr>
              <w:tab/>
            </w:r>
            <w:r>
              <w:rPr>
                <w:noProof/>
                <w:webHidden/>
              </w:rPr>
              <w:fldChar w:fldCharType="begin"/>
            </w:r>
            <w:r>
              <w:rPr>
                <w:noProof/>
                <w:webHidden/>
              </w:rPr>
              <w:instrText xml:space="preserve"> PAGEREF _Toc225170944 \h </w:instrText>
            </w:r>
            <w:r>
              <w:rPr>
                <w:noProof/>
                <w:webHidden/>
              </w:rPr>
            </w:r>
            <w:r>
              <w:rPr>
                <w:noProof/>
                <w:webHidden/>
              </w:rPr>
              <w:fldChar w:fldCharType="separate"/>
            </w:r>
            <w:r>
              <w:rPr>
                <w:noProof/>
                <w:webHidden/>
              </w:rPr>
              <w:t>39</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25170945" w:history="1">
            <w:r>
              <w:rPr>
                <w:rStyle w:val="Lienhypertexte"/>
                <w:bCs/>
                <w:noProof/>
              </w:rPr>
              <w:t>2.1.2. Détermination du Salaire</w:t>
            </w:r>
            <w:r>
              <w:rPr>
                <w:noProof/>
                <w:webHidden/>
              </w:rPr>
              <w:tab/>
            </w:r>
            <w:r>
              <w:rPr>
                <w:noProof/>
                <w:webHidden/>
              </w:rPr>
              <w:fldChar w:fldCharType="begin"/>
            </w:r>
            <w:r>
              <w:rPr>
                <w:noProof/>
                <w:webHidden/>
              </w:rPr>
              <w:instrText xml:space="preserve"> PAGEREF _Toc225170945 \h </w:instrText>
            </w:r>
            <w:r>
              <w:rPr>
                <w:noProof/>
                <w:webHidden/>
              </w:rPr>
            </w:r>
            <w:r>
              <w:rPr>
                <w:noProof/>
                <w:webHidden/>
              </w:rPr>
              <w:fldChar w:fldCharType="separate"/>
            </w:r>
            <w:r>
              <w:rPr>
                <w:noProof/>
                <w:webHidden/>
              </w:rPr>
              <w:t>40</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46" w:history="1">
            <w:r>
              <w:rPr>
                <w:rStyle w:val="Lienhypertexte"/>
                <w:noProof/>
              </w:rPr>
              <w:t>2.2. Populations particulières</w:t>
            </w:r>
            <w:r>
              <w:rPr>
                <w:noProof/>
                <w:webHidden/>
              </w:rPr>
              <w:tab/>
            </w:r>
            <w:r>
              <w:rPr>
                <w:noProof/>
                <w:webHidden/>
              </w:rPr>
              <w:fldChar w:fldCharType="begin"/>
            </w:r>
            <w:r>
              <w:rPr>
                <w:noProof/>
                <w:webHidden/>
              </w:rPr>
              <w:instrText xml:space="preserve"> PAGEREF _Toc225170946 \h </w:instrText>
            </w:r>
            <w:r>
              <w:rPr>
                <w:noProof/>
                <w:webHidden/>
              </w:rPr>
            </w:r>
            <w:r>
              <w:rPr>
                <w:noProof/>
                <w:webHidden/>
              </w:rPr>
              <w:fldChar w:fldCharType="separate"/>
            </w:r>
            <w:r>
              <w:rPr>
                <w:noProof/>
                <w:webHidden/>
              </w:rPr>
              <w:t>43</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25170947" w:history="1">
            <w:r>
              <w:rPr>
                <w:rStyle w:val="Lienhypertexte"/>
                <w:bCs/>
                <w:noProof/>
              </w:rPr>
              <w:t>2.2.1. Contractuels de droit privé : Apprentis</w:t>
            </w:r>
            <w:r>
              <w:rPr>
                <w:noProof/>
                <w:webHidden/>
              </w:rPr>
              <w:tab/>
            </w:r>
            <w:r>
              <w:rPr>
                <w:noProof/>
                <w:webHidden/>
              </w:rPr>
              <w:fldChar w:fldCharType="begin"/>
            </w:r>
            <w:r>
              <w:rPr>
                <w:noProof/>
                <w:webHidden/>
              </w:rPr>
              <w:instrText xml:space="preserve"> PAGEREF _Toc225170947 \h </w:instrText>
            </w:r>
            <w:r>
              <w:rPr>
                <w:noProof/>
                <w:webHidden/>
              </w:rPr>
            </w:r>
            <w:r>
              <w:rPr>
                <w:noProof/>
                <w:webHidden/>
              </w:rPr>
              <w:fldChar w:fldCharType="separate"/>
            </w:r>
            <w:r>
              <w:rPr>
                <w:noProof/>
                <w:webHidden/>
              </w:rPr>
              <w:t>43</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25170948" w:history="1">
            <w:r>
              <w:rPr>
                <w:rStyle w:val="Lienhypertexte"/>
                <w:bCs/>
                <w:noProof/>
              </w:rPr>
              <w:t>2.2.2. Contractuels de droit public : Pacte</w:t>
            </w:r>
            <w:r>
              <w:rPr>
                <w:noProof/>
                <w:webHidden/>
              </w:rPr>
              <w:tab/>
            </w:r>
            <w:r>
              <w:rPr>
                <w:noProof/>
                <w:webHidden/>
              </w:rPr>
              <w:fldChar w:fldCharType="begin"/>
            </w:r>
            <w:r>
              <w:rPr>
                <w:noProof/>
                <w:webHidden/>
              </w:rPr>
              <w:instrText xml:space="preserve"> PAGEREF _Toc225170948 \h </w:instrText>
            </w:r>
            <w:r>
              <w:rPr>
                <w:noProof/>
                <w:webHidden/>
              </w:rPr>
            </w:r>
            <w:r>
              <w:rPr>
                <w:noProof/>
                <w:webHidden/>
              </w:rPr>
              <w:fldChar w:fldCharType="separate"/>
            </w:r>
            <w:r>
              <w:rPr>
                <w:noProof/>
                <w:webHidden/>
              </w:rPr>
              <w:t>45</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25170949" w:history="1">
            <w:r>
              <w:rPr>
                <w:rStyle w:val="Lienhypertexte"/>
                <w:bCs/>
                <w:noProof/>
              </w:rPr>
              <w:t>2.2.3. Contractuels de droit public : Membres du gouvernement</w:t>
            </w:r>
            <w:r>
              <w:rPr>
                <w:noProof/>
                <w:webHidden/>
              </w:rPr>
              <w:tab/>
            </w:r>
            <w:r>
              <w:rPr>
                <w:noProof/>
                <w:webHidden/>
              </w:rPr>
              <w:fldChar w:fldCharType="begin"/>
            </w:r>
            <w:r>
              <w:rPr>
                <w:noProof/>
                <w:webHidden/>
              </w:rPr>
              <w:instrText xml:space="preserve"> PAGEREF _Toc225170949 \h </w:instrText>
            </w:r>
            <w:r>
              <w:rPr>
                <w:noProof/>
                <w:webHidden/>
              </w:rPr>
            </w:r>
            <w:r>
              <w:rPr>
                <w:noProof/>
                <w:webHidden/>
              </w:rPr>
              <w:fldChar w:fldCharType="separate"/>
            </w:r>
            <w:r>
              <w:rPr>
                <w:noProof/>
                <w:webHidden/>
              </w:rPr>
              <w:t>47</w:t>
            </w:r>
            <w:r>
              <w:rPr>
                <w:noProof/>
                <w:webHidden/>
              </w:rPr>
              <w:fldChar w:fldCharType="end"/>
            </w:r>
          </w:hyperlink>
        </w:p>
        <w:p>
          <w:pPr>
            <w:pStyle w:val="TM1"/>
            <w:rPr>
              <w:rFonts w:asciiTheme="minorHAnsi" w:eastAsiaTheme="minorEastAsia" w:hAnsiTheme="minorHAnsi" w:cstheme="minorBidi"/>
              <w:b w:val="0"/>
              <w:bCs w:val="0"/>
              <w:sz w:val="22"/>
              <w:lang w:eastAsia="fr-FR"/>
            </w:rPr>
          </w:pPr>
          <w:hyperlink w:anchor="_Toc225170950" w:history="1">
            <w:r>
              <w:rPr>
                <w:rStyle w:val="Lienhypertexte"/>
              </w:rPr>
              <w:t>3. SOLDE DES MILITAIRES  - CHAPITRE EN COURS DE REDACTION</w:t>
            </w:r>
            <w:r>
              <w:rPr>
                <w:webHidden/>
              </w:rPr>
              <w:tab/>
            </w:r>
            <w:r>
              <w:rPr>
                <w:webHidden/>
              </w:rPr>
              <w:fldChar w:fldCharType="begin"/>
            </w:r>
            <w:r>
              <w:rPr>
                <w:webHidden/>
              </w:rPr>
              <w:instrText xml:space="preserve"> PAGEREF _Toc225170950 \h </w:instrText>
            </w:r>
            <w:r>
              <w:rPr>
                <w:webHidden/>
              </w:rPr>
            </w:r>
            <w:r>
              <w:rPr>
                <w:webHidden/>
              </w:rPr>
              <w:fldChar w:fldCharType="separate"/>
            </w:r>
            <w:r>
              <w:rPr>
                <w:webHidden/>
              </w:rPr>
              <w:t>49</w:t>
            </w:r>
            <w:r>
              <w:rPr>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51" w:history="1">
            <w:r>
              <w:rPr>
                <w:rStyle w:val="Lienhypertexte"/>
                <w:noProof/>
              </w:rPr>
              <w:t>3.1. Solde de base</w:t>
            </w:r>
            <w:r>
              <w:rPr>
                <w:noProof/>
                <w:webHidden/>
              </w:rPr>
              <w:tab/>
            </w:r>
            <w:r>
              <w:rPr>
                <w:noProof/>
                <w:webHidden/>
              </w:rPr>
              <w:fldChar w:fldCharType="begin"/>
            </w:r>
            <w:r>
              <w:rPr>
                <w:noProof/>
                <w:webHidden/>
              </w:rPr>
              <w:instrText xml:space="preserve"> PAGEREF _Toc225170951 \h </w:instrText>
            </w:r>
            <w:r>
              <w:rPr>
                <w:noProof/>
                <w:webHidden/>
              </w:rPr>
            </w:r>
            <w:r>
              <w:rPr>
                <w:noProof/>
                <w:webHidden/>
              </w:rPr>
              <w:fldChar w:fldCharType="separate"/>
            </w:r>
            <w:r>
              <w:rPr>
                <w:noProof/>
                <w:webHidden/>
              </w:rPr>
              <w:t>50</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52" w:history="1">
            <w:r>
              <w:rPr>
                <w:rStyle w:val="Lienhypertexte"/>
                <w:noProof/>
              </w:rPr>
              <w:t>3.2. Emoluments assimilés au traitement indiciaire</w:t>
            </w:r>
            <w:r>
              <w:rPr>
                <w:noProof/>
                <w:webHidden/>
              </w:rPr>
              <w:tab/>
            </w:r>
            <w:r>
              <w:rPr>
                <w:noProof/>
                <w:webHidden/>
              </w:rPr>
              <w:fldChar w:fldCharType="begin"/>
            </w:r>
            <w:r>
              <w:rPr>
                <w:noProof/>
                <w:webHidden/>
              </w:rPr>
              <w:instrText xml:space="preserve"> PAGEREF _Toc225170952 \h </w:instrText>
            </w:r>
            <w:r>
              <w:rPr>
                <w:noProof/>
                <w:webHidden/>
              </w:rPr>
            </w:r>
            <w:r>
              <w:rPr>
                <w:noProof/>
                <w:webHidden/>
              </w:rPr>
              <w:fldChar w:fldCharType="separate"/>
            </w:r>
            <w:r>
              <w:rPr>
                <w:noProof/>
                <w:webHidden/>
              </w:rPr>
              <w:t>50</w:t>
            </w:r>
            <w:r>
              <w:rPr>
                <w:noProof/>
                <w:webHidden/>
              </w:rPr>
              <w:fldChar w:fldCharType="end"/>
            </w:r>
          </w:hyperlink>
        </w:p>
        <w:p>
          <w:pPr>
            <w:pStyle w:val="TM3"/>
            <w:tabs>
              <w:tab w:val="right" w:leader="dot" w:pos="9628"/>
            </w:tabs>
            <w:rPr>
              <w:rFonts w:asciiTheme="minorHAnsi" w:eastAsiaTheme="minorEastAsia" w:hAnsiTheme="minorHAnsi"/>
              <w:noProof/>
              <w:sz w:val="22"/>
              <w:lang w:eastAsia="fr-FR"/>
            </w:rPr>
          </w:pPr>
          <w:hyperlink w:anchor="_Toc225170953" w:history="1">
            <w:r>
              <w:rPr>
                <w:rStyle w:val="Lienhypertexte"/>
                <w:rFonts w:eastAsiaTheme="majorEastAsia" w:cstheme="majorBidi"/>
                <w:bCs/>
                <w:noProof/>
              </w:rPr>
              <w:t>3.2.1. Le complément de traitement indiciaire</w:t>
            </w:r>
            <w:r>
              <w:rPr>
                <w:noProof/>
                <w:webHidden/>
              </w:rPr>
              <w:tab/>
            </w:r>
            <w:r>
              <w:rPr>
                <w:noProof/>
                <w:webHidden/>
              </w:rPr>
              <w:fldChar w:fldCharType="begin"/>
            </w:r>
            <w:r>
              <w:rPr>
                <w:noProof/>
                <w:webHidden/>
              </w:rPr>
              <w:instrText xml:space="preserve"> PAGEREF _Toc225170953 \h </w:instrText>
            </w:r>
            <w:r>
              <w:rPr>
                <w:noProof/>
                <w:webHidden/>
              </w:rPr>
            </w:r>
            <w:r>
              <w:rPr>
                <w:noProof/>
                <w:webHidden/>
              </w:rPr>
              <w:fldChar w:fldCharType="separate"/>
            </w:r>
            <w:r>
              <w:rPr>
                <w:noProof/>
                <w:webHidden/>
              </w:rPr>
              <w:t>50</w:t>
            </w:r>
            <w:r>
              <w:rPr>
                <w:noProof/>
                <w:webHidden/>
              </w:rPr>
              <w:fldChar w:fldCharType="end"/>
            </w:r>
          </w:hyperlink>
        </w:p>
        <w:p>
          <w:pPr>
            <w:pStyle w:val="TM1"/>
            <w:rPr>
              <w:rFonts w:asciiTheme="minorHAnsi" w:eastAsiaTheme="minorEastAsia" w:hAnsiTheme="minorHAnsi" w:cstheme="minorBidi"/>
              <w:b w:val="0"/>
              <w:bCs w:val="0"/>
              <w:sz w:val="22"/>
              <w:lang w:eastAsia="fr-FR"/>
            </w:rPr>
          </w:pPr>
          <w:hyperlink w:anchor="_Toc225170954" w:history="1">
            <w:r>
              <w:rPr>
                <w:rStyle w:val="Lienhypertexte"/>
              </w:rPr>
              <w:t>4. SALAIRE DES OUVRIERS  - CHAPITRE EN COURS DE REDACTION</w:t>
            </w:r>
            <w:r>
              <w:rPr>
                <w:webHidden/>
              </w:rPr>
              <w:tab/>
            </w:r>
            <w:r>
              <w:rPr>
                <w:webHidden/>
              </w:rPr>
              <w:fldChar w:fldCharType="begin"/>
            </w:r>
            <w:r>
              <w:rPr>
                <w:webHidden/>
              </w:rPr>
              <w:instrText xml:space="preserve"> PAGEREF _Toc225170954 \h </w:instrText>
            </w:r>
            <w:r>
              <w:rPr>
                <w:webHidden/>
              </w:rPr>
            </w:r>
            <w:r>
              <w:rPr>
                <w:webHidden/>
              </w:rPr>
              <w:fldChar w:fldCharType="separate"/>
            </w:r>
            <w:r>
              <w:rPr>
                <w:webHidden/>
              </w:rPr>
              <w:t>51</w:t>
            </w:r>
            <w:r>
              <w:rPr>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55" w:history="1">
            <w:r>
              <w:rPr>
                <w:rStyle w:val="Lienhypertexte"/>
                <w:noProof/>
              </w:rPr>
              <w:t>4.1. Ouvriers du MINARM</w:t>
            </w:r>
            <w:r>
              <w:rPr>
                <w:noProof/>
                <w:webHidden/>
              </w:rPr>
              <w:tab/>
            </w:r>
            <w:r>
              <w:rPr>
                <w:noProof/>
                <w:webHidden/>
              </w:rPr>
              <w:fldChar w:fldCharType="begin"/>
            </w:r>
            <w:r>
              <w:rPr>
                <w:noProof/>
                <w:webHidden/>
              </w:rPr>
              <w:instrText xml:space="preserve"> PAGEREF _Toc225170955 \h </w:instrText>
            </w:r>
            <w:r>
              <w:rPr>
                <w:noProof/>
                <w:webHidden/>
              </w:rPr>
            </w:r>
            <w:r>
              <w:rPr>
                <w:noProof/>
                <w:webHidden/>
              </w:rPr>
              <w:fldChar w:fldCharType="separate"/>
            </w:r>
            <w:r>
              <w:rPr>
                <w:noProof/>
                <w:webHidden/>
              </w:rPr>
              <w:t>52</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56" w:history="1">
            <w:r>
              <w:rPr>
                <w:rStyle w:val="Lienhypertexte"/>
                <w:noProof/>
              </w:rPr>
              <w:t>4.2. Ouvriers du MTE</w:t>
            </w:r>
            <w:r>
              <w:rPr>
                <w:noProof/>
                <w:webHidden/>
              </w:rPr>
              <w:tab/>
            </w:r>
            <w:r>
              <w:rPr>
                <w:noProof/>
                <w:webHidden/>
              </w:rPr>
              <w:fldChar w:fldCharType="begin"/>
            </w:r>
            <w:r>
              <w:rPr>
                <w:noProof/>
                <w:webHidden/>
              </w:rPr>
              <w:instrText xml:space="preserve"> PAGEREF _Toc225170956 \h </w:instrText>
            </w:r>
            <w:r>
              <w:rPr>
                <w:noProof/>
                <w:webHidden/>
              </w:rPr>
            </w:r>
            <w:r>
              <w:rPr>
                <w:noProof/>
                <w:webHidden/>
              </w:rPr>
              <w:fldChar w:fldCharType="separate"/>
            </w:r>
            <w:r>
              <w:rPr>
                <w:noProof/>
                <w:webHidden/>
              </w:rPr>
              <w:t>52</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57" w:history="1">
            <w:r>
              <w:rPr>
                <w:rStyle w:val="Lienhypertexte"/>
                <w:noProof/>
              </w:rPr>
              <w:t>4.3. Ouvriers du cadastre</w:t>
            </w:r>
            <w:r>
              <w:rPr>
                <w:noProof/>
                <w:webHidden/>
              </w:rPr>
              <w:tab/>
            </w:r>
            <w:r>
              <w:rPr>
                <w:noProof/>
                <w:webHidden/>
              </w:rPr>
              <w:fldChar w:fldCharType="begin"/>
            </w:r>
            <w:r>
              <w:rPr>
                <w:noProof/>
                <w:webHidden/>
              </w:rPr>
              <w:instrText xml:space="preserve"> PAGEREF _Toc225170957 \h </w:instrText>
            </w:r>
            <w:r>
              <w:rPr>
                <w:noProof/>
                <w:webHidden/>
              </w:rPr>
            </w:r>
            <w:r>
              <w:rPr>
                <w:noProof/>
                <w:webHidden/>
              </w:rPr>
              <w:fldChar w:fldCharType="separate"/>
            </w:r>
            <w:r>
              <w:rPr>
                <w:noProof/>
                <w:webHidden/>
              </w:rPr>
              <w:t>52</w:t>
            </w:r>
            <w:r>
              <w:rPr>
                <w:noProof/>
                <w:webHidden/>
              </w:rPr>
              <w:fldChar w:fldCharType="end"/>
            </w:r>
          </w:hyperlink>
        </w:p>
        <w:p>
          <w:pPr>
            <w:pStyle w:val="TM1"/>
            <w:tabs>
              <w:tab w:val="left" w:pos="400"/>
            </w:tabs>
            <w:rPr>
              <w:rFonts w:asciiTheme="minorHAnsi" w:eastAsiaTheme="minorEastAsia" w:hAnsiTheme="minorHAnsi" w:cstheme="minorBidi"/>
              <w:b w:val="0"/>
              <w:bCs w:val="0"/>
              <w:sz w:val="22"/>
              <w:lang w:eastAsia="fr-FR"/>
            </w:rPr>
          </w:pPr>
          <w:hyperlink r:id="rId11" w:anchor="_Toc225170958" w:history="1">
            <w:r>
              <w:rPr>
                <w:rStyle w:val="Lienhypertexte"/>
                <w:rFonts w:ascii="Wingdings" w:hAnsi="Wingdings"/>
              </w:rPr>
              <w:t></w:t>
            </w:r>
            <w:r>
              <w:rPr>
                <w:rFonts w:asciiTheme="minorHAnsi" w:eastAsiaTheme="minorEastAsia" w:hAnsiTheme="minorHAnsi" w:cstheme="minorBidi"/>
                <w:b w:val="0"/>
                <w:bCs w:val="0"/>
                <w:sz w:val="22"/>
                <w:lang w:eastAsia="fr-FR"/>
              </w:rPr>
              <w:tab/>
            </w:r>
            <w:r>
              <w:rPr>
                <w:rStyle w:val="Lienhypertexte"/>
              </w:rPr>
              <w:t>POUR ALLER PLUS LOIN</w:t>
            </w:r>
            <w:r>
              <w:rPr>
                <w:webHidden/>
              </w:rPr>
              <w:tab/>
            </w:r>
            <w:r>
              <w:rPr>
                <w:webHidden/>
              </w:rPr>
              <w:fldChar w:fldCharType="begin"/>
            </w:r>
            <w:r>
              <w:rPr>
                <w:webHidden/>
              </w:rPr>
              <w:instrText xml:space="preserve"> PAGEREF _Toc225170958 \h </w:instrText>
            </w:r>
            <w:r>
              <w:rPr>
                <w:webHidden/>
              </w:rPr>
            </w:r>
            <w:r>
              <w:rPr>
                <w:webHidden/>
              </w:rPr>
              <w:fldChar w:fldCharType="separate"/>
            </w:r>
            <w:r>
              <w:rPr>
                <w:webHidden/>
              </w:rPr>
              <w:t>53</w:t>
            </w:r>
            <w:r>
              <w:rPr>
                <w:webHidden/>
              </w:rPr>
              <w:fldChar w:fldCharType="end"/>
            </w:r>
          </w:hyperlink>
        </w:p>
        <w:p>
          <w:pPr>
            <w:pStyle w:val="TM1"/>
            <w:rPr>
              <w:rFonts w:asciiTheme="minorHAnsi" w:eastAsiaTheme="minorEastAsia" w:hAnsiTheme="minorHAnsi" w:cstheme="minorBidi"/>
              <w:b w:val="0"/>
              <w:bCs w:val="0"/>
              <w:sz w:val="22"/>
              <w:lang w:eastAsia="fr-FR"/>
            </w:rPr>
          </w:pPr>
          <w:hyperlink w:anchor="_Toc225170959" w:history="1">
            <w:r>
              <w:rPr>
                <w:webHidden/>
              </w:rPr>
              <w:tab/>
            </w:r>
            <w:r>
              <w:rPr>
                <w:webHidden/>
              </w:rPr>
              <w:fldChar w:fldCharType="begin"/>
            </w:r>
            <w:r>
              <w:rPr>
                <w:webHidden/>
              </w:rPr>
              <w:instrText xml:space="preserve"> PAGEREF _Toc225170959 \h </w:instrText>
            </w:r>
            <w:r>
              <w:rPr>
                <w:webHidden/>
              </w:rPr>
            </w:r>
            <w:r>
              <w:rPr>
                <w:webHidden/>
              </w:rPr>
              <w:fldChar w:fldCharType="separate"/>
            </w:r>
            <w:r>
              <w:rPr>
                <w:webHidden/>
              </w:rPr>
              <w:t>53</w:t>
            </w:r>
            <w:r>
              <w:rPr>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60" w:history="1">
            <w:r>
              <w:rPr>
                <w:rStyle w:val="Lienhypertexte"/>
                <w:b/>
                <w:bCs/>
                <w:noProof/>
              </w:rPr>
              <w:t>Les guides thématiques sont disponibles sur le portail BARRI</w:t>
            </w:r>
            <w:r>
              <w:rPr>
                <w:noProof/>
                <w:webHidden/>
              </w:rPr>
              <w:tab/>
            </w:r>
            <w:r>
              <w:rPr>
                <w:noProof/>
                <w:webHidden/>
              </w:rPr>
              <w:fldChar w:fldCharType="begin"/>
            </w:r>
            <w:r>
              <w:rPr>
                <w:noProof/>
                <w:webHidden/>
              </w:rPr>
              <w:instrText xml:space="preserve"> PAGEREF _Toc225170960 \h </w:instrText>
            </w:r>
            <w:r>
              <w:rPr>
                <w:noProof/>
                <w:webHidden/>
              </w:rPr>
            </w:r>
            <w:r>
              <w:rPr>
                <w:noProof/>
                <w:webHidden/>
              </w:rPr>
              <w:fldChar w:fldCharType="separate"/>
            </w:r>
            <w:r>
              <w:rPr>
                <w:noProof/>
                <w:webHidden/>
              </w:rPr>
              <w:t>54</w:t>
            </w:r>
            <w:r>
              <w:rPr>
                <w:noProof/>
                <w:webHidden/>
              </w:rPr>
              <w:fldChar w:fldCharType="end"/>
            </w:r>
          </w:hyperlink>
        </w:p>
        <w:p>
          <w:pPr>
            <w:pStyle w:val="TM2"/>
            <w:tabs>
              <w:tab w:val="right" w:leader="dot" w:pos="9628"/>
            </w:tabs>
            <w:rPr>
              <w:rFonts w:asciiTheme="minorHAnsi" w:eastAsiaTheme="minorEastAsia" w:hAnsiTheme="minorHAnsi"/>
              <w:noProof/>
              <w:sz w:val="22"/>
              <w:lang w:eastAsia="fr-FR"/>
            </w:rPr>
          </w:pPr>
          <w:hyperlink w:anchor="_Toc225170961" w:history="1">
            <w:r>
              <w:rPr>
                <w:rStyle w:val="Lienhypertexte"/>
                <w:noProof/>
              </w:rPr>
              <w:t>1. Guides</w:t>
            </w:r>
            <w:r>
              <w:rPr>
                <w:noProof/>
                <w:webHidden/>
              </w:rPr>
              <w:tab/>
            </w:r>
            <w:r>
              <w:rPr>
                <w:noProof/>
                <w:webHidden/>
              </w:rPr>
              <w:fldChar w:fldCharType="begin"/>
            </w:r>
            <w:r>
              <w:rPr>
                <w:noProof/>
                <w:webHidden/>
              </w:rPr>
              <w:instrText xml:space="preserve"> PAGEREF _Toc225170961 \h </w:instrText>
            </w:r>
            <w:r>
              <w:rPr>
                <w:noProof/>
                <w:webHidden/>
              </w:rPr>
            </w:r>
            <w:r>
              <w:rPr>
                <w:noProof/>
                <w:webHidden/>
              </w:rPr>
              <w:fldChar w:fldCharType="separate"/>
            </w:r>
            <w:r>
              <w:rPr>
                <w:noProof/>
                <w:webHidden/>
              </w:rPr>
              <w:t>54</w:t>
            </w:r>
            <w:r>
              <w:rPr>
                <w:noProof/>
                <w:webHidden/>
              </w:rPr>
              <w:fldChar w:fldCharType="end"/>
            </w:r>
          </w:hyperlink>
        </w:p>
        <w:p>
          <w:pPr>
            <w:pStyle w:val="TM1"/>
            <w:tabs>
              <w:tab w:val="left" w:pos="400"/>
            </w:tabs>
          </w:pPr>
          <w:r>
            <w:rPr>
              <w:b w:val="0"/>
              <w:bCs w:val="0"/>
              <w:sz w:val="24"/>
              <w:szCs w:val="24"/>
            </w:rPr>
            <w:fldChar w:fldCharType="end"/>
          </w:r>
        </w:p>
      </w:sdtContent>
    </w:sdt>
    <w:bookmarkEnd w:id="1" w:displacedByCustomXml="prev"/>
    <w:p>
      <w:pPr>
        <w:pStyle w:val="Style1"/>
        <w:rPr>
          <w:color w:val="5770BE"/>
          <w:szCs w:val="84"/>
        </w:rPr>
      </w:pPr>
      <w:bookmarkStart w:id="2" w:name="_Hlk217378619"/>
    </w:p>
    <w:p>
      <w:pPr>
        <w:pStyle w:val="Style1"/>
        <w:rPr>
          <w:color w:val="5770BE"/>
          <w:szCs w:val="84"/>
        </w:rPr>
      </w:pPr>
      <w:r>
        <w:rPr>
          <w:color w:val="5770BE"/>
          <w:szCs w:val="84"/>
        </w:rPr>
        <w:br w:type="page"/>
      </w:r>
    </w:p>
    <w:p>
      <w:pPr>
        <w:pStyle w:val="Style1"/>
        <w:rPr>
          <w:color w:val="5770BE"/>
          <w:szCs w:val="84"/>
        </w:rPr>
      </w:pPr>
      <w:bookmarkStart w:id="3" w:name="_Toc225170921"/>
      <w:r>
        <w:rPr>
          <w:color w:val="5770BE"/>
          <w:szCs w:val="84"/>
        </w:rPr>
        <w:lastRenderedPageBreak/>
        <w:t>Présentation générale</w:t>
      </w:r>
      <w:bookmarkEnd w:id="3"/>
    </w:p>
    <w:p>
      <w:pPr>
        <w:tabs>
          <w:tab w:val="left" w:pos="3402"/>
        </w:tabs>
        <w:jc w:val="both"/>
        <w:rPr>
          <w:color w:val="5770BE"/>
        </w:rPr>
      </w:pPr>
      <w:r>
        <w:rPr>
          <w:color w:val="5770BE"/>
        </w:rPr>
        <w:tab/>
      </w:r>
    </w:p>
    <w:p>
      <w:pPr>
        <w:tabs>
          <w:tab w:val="left" w:pos="3402"/>
        </w:tabs>
        <w:jc w:val="center"/>
        <w:rPr>
          <w:color w:val="5770BE"/>
        </w:rPr>
      </w:pPr>
      <w:r>
        <w:rPr>
          <w:color w:val="5770BE"/>
        </w:rPr>
        <w:t>*******************************</w:t>
      </w:r>
    </w:p>
    <w:bookmarkEnd w:id="2"/>
    <w:p>
      <w:pPr>
        <w:jc w:val="both"/>
        <w:rPr>
          <w:color w:val="5770BE"/>
        </w:rPr>
      </w:pPr>
    </w:p>
    <w:p>
      <w:pPr>
        <w:jc w:val="both"/>
        <w:rPr>
          <w:color w:val="5770BE"/>
        </w:rPr>
      </w:pPr>
      <w:r>
        <w:rPr>
          <w:color w:val="5770BE"/>
        </w:rPr>
        <w:t xml:space="preserve">Ce guide a pour objectif de présenter les fondements juridiques et les modalités de calcul de la rémunération principale des différentes catégories d’agents publics de la fonction publique d’État (FPE), en s’appuyant sur la réglementation en vigueur. </w:t>
      </w:r>
    </w:p>
    <w:p>
      <w:pPr>
        <w:jc w:val="both"/>
        <w:rPr>
          <w:color w:val="5770BE"/>
        </w:rPr>
      </w:pPr>
      <w:r>
        <w:rPr>
          <w:color w:val="5770BE"/>
        </w:rPr>
        <w:t>Chaque population est étudiée dans un chapitre dédié qui précise les bases juridiques qui lui sont appliquées et les modalités de détermination de leur rémunération principale.</w:t>
      </w:r>
    </w:p>
    <w:p>
      <w:pPr>
        <w:jc w:val="both"/>
        <w:rPr>
          <w:color w:val="5770BE"/>
        </w:rPr>
      </w:pPr>
    </w:p>
    <w:p>
      <w:pPr>
        <w:jc w:val="both"/>
        <w:rPr>
          <w:color w:val="5770BE"/>
        </w:rPr>
      </w:pPr>
      <w:r>
        <w:rPr>
          <w:color w:val="5770BE"/>
        </w:rPr>
        <w:t>Un chapitre liminaire recense les dispositifs communs à l’ensemble des populations  :</w:t>
      </w:r>
    </w:p>
    <w:p>
      <w:pPr>
        <w:pStyle w:val="Paragraphedeliste"/>
        <w:numPr>
          <w:ilvl w:val="0"/>
          <w:numId w:val="30"/>
        </w:numPr>
        <w:jc w:val="both"/>
        <w:rPr>
          <w:color w:val="5770BE"/>
        </w:rPr>
      </w:pPr>
      <w:r>
        <w:rPr>
          <w:color w:val="5770BE"/>
        </w:rPr>
        <w:t>le droit à rémunération</w:t>
      </w:r>
    </w:p>
    <w:p>
      <w:pPr>
        <w:pStyle w:val="Paragraphedeliste"/>
        <w:numPr>
          <w:ilvl w:val="0"/>
          <w:numId w:val="30"/>
        </w:numPr>
        <w:jc w:val="both"/>
        <w:rPr>
          <w:color w:val="5770BE"/>
        </w:rPr>
      </w:pPr>
      <w:r>
        <w:rPr>
          <w:color w:val="5770BE"/>
        </w:rPr>
        <w:t>le versement par trentième divisible</w:t>
      </w:r>
    </w:p>
    <w:p>
      <w:pPr>
        <w:pStyle w:val="Paragraphedeliste"/>
        <w:numPr>
          <w:ilvl w:val="0"/>
          <w:numId w:val="30"/>
        </w:numPr>
        <w:jc w:val="both"/>
        <w:rPr>
          <w:color w:val="5770BE"/>
        </w:rPr>
      </w:pPr>
      <w:r>
        <w:rPr>
          <w:color w:val="5770BE"/>
        </w:rPr>
        <w:t>la quotité de service</w:t>
      </w:r>
    </w:p>
    <w:p>
      <w:pPr>
        <w:pStyle w:val="Paragraphedeliste"/>
        <w:numPr>
          <w:ilvl w:val="0"/>
          <w:numId w:val="30"/>
        </w:numPr>
        <w:jc w:val="both"/>
        <w:rPr>
          <w:color w:val="5770BE"/>
        </w:rPr>
      </w:pPr>
      <w:r>
        <w:rPr>
          <w:color w:val="5770BE"/>
        </w:rPr>
        <w:t>l’application PAYSAGE</w:t>
      </w:r>
    </w:p>
    <w:p>
      <w:pPr>
        <w:jc w:val="both"/>
        <w:rPr>
          <w:color w:val="5770BE"/>
        </w:rPr>
      </w:pPr>
    </w:p>
    <w:p>
      <w:pPr>
        <w:jc w:val="both"/>
        <w:rPr>
          <w:color w:val="5770BE"/>
        </w:rPr>
      </w:pPr>
      <w:r>
        <w:rPr>
          <w:color w:val="5770BE"/>
        </w:rPr>
        <w:t>Dans sa version 2, ce document précise les règles applicables au traitement indiciaire des fonctionnaires et magistrats ainsi qu’au salaire des agents contractuels.</w:t>
      </w:r>
    </w:p>
    <w:p>
      <w:pPr>
        <w:jc w:val="both"/>
        <w:rPr>
          <w:color w:val="5770BE"/>
        </w:rPr>
      </w:pPr>
      <w:r>
        <w:rPr>
          <w:color w:val="5770BE"/>
        </w:rPr>
        <w:t>Il a vocation a être complété de la solde des militaires et du salaire des ouvriers de l’État.</w:t>
      </w:r>
      <w:r>
        <w:rPr>
          <w:color w:val="5770BE"/>
        </w:rPr>
        <w:br w:type="page"/>
      </w:r>
    </w:p>
    <w:bookmarkStart w:id="4" w:name="_Toc201659328"/>
    <w:p>
      <w:pPr>
        <w:rPr>
          <w:rFonts w:ascii="Marianne ExtraBold" w:hAnsi="Marianne ExtraBold"/>
          <w:color w:val="91AE4F"/>
          <w:sz w:val="72"/>
          <w:szCs w:val="96"/>
        </w:rPr>
      </w:pPr>
      <w:r>
        <w:rPr>
          <w:noProof/>
          <w:sz w:val="84"/>
          <w:szCs w:val="84"/>
        </w:rPr>
        <w:lastRenderedPageBreak/>
        <mc:AlternateContent>
          <mc:Choice Requires="wps">
            <w:drawing>
              <wp:anchor distT="0" distB="0" distL="114300" distR="114300" simplePos="0" relativeHeight="252206080" behindDoc="1" locked="0" layoutInCell="1" allowOverlap="1">
                <wp:simplePos x="0" y="0"/>
                <wp:positionH relativeFrom="page">
                  <wp:align>left</wp:align>
                </wp:positionH>
                <wp:positionV relativeFrom="paragraph">
                  <wp:posOffset>-762000</wp:posOffset>
                </wp:positionV>
                <wp:extent cx="7783032" cy="11163920"/>
                <wp:effectExtent l="0" t="0" r="27940" b="19050"/>
                <wp:wrapNone/>
                <wp:docPr id="2" name="Rectangle 2"/>
                <wp:cNvGraphicFramePr/>
                <a:graphic xmlns:a="http://schemas.openxmlformats.org/drawingml/2006/main">
                  <a:graphicData uri="http://schemas.microsoft.com/office/word/2010/wordprocessingShape">
                    <wps:wsp>
                      <wps:cNvSpPr/>
                      <wps:spPr>
                        <a:xfrm>
                          <a:off x="0" y="0"/>
                          <a:ext cx="7783032" cy="11163920"/>
                        </a:xfrm>
                        <a:prstGeom prst="rect">
                          <a:avLst/>
                        </a:prstGeom>
                        <a:solidFill>
                          <a:srgbClr val="91AE4F">
                            <a:alpha val="6000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0;margin-top:-60pt;width:612.85pt;height:879.05pt;z-index:-2511104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" fillcolor="#91ae4f" strokecolor="#1f3763 [1604]" strokeweight="1pt">
                <v:fill opacity="39321f"/>
                <w10:wrap anchorx="page"/>
              </v:rect>
            </w:pict>
          </mc:Fallback>
        </mc:AlternateContent>
      </w:r>
    </w:p>
    <w:p>
      <w:pPr>
        <w:rPr>
          <w:rFonts w:ascii="Marianne ExtraBold" w:hAnsi="Marianne ExtraBold"/>
          <w:color w:val="91AE4F"/>
          <w:sz w:val="72"/>
          <w:szCs w:val="96"/>
        </w:rPr>
      </w:pPr>
    </w:p>
    <w:p>
      <w:pPr>
        <w:rPr>
          <w:rFonts w:ascii="Marianne ExtraBold" w:hAnsi="Marianne ExtraBold"/>
          <w:color w:val="91AE4F"/>
          <w:sz w:val="72"/>
          <w:szCs w:val="96"/>
        </w:rPr>
      </w:pPr>
    </w:p>
    <w:p>
      <w:pPr>
        <w:rPr>
          <w:rFonts w:ascii="Marianne ExtraBold" w:hAnsi="Marianne ExtraBold"/>
          <w:color w:val="91AE4F"/>
          <w:sz w:val="72"/>
          <w:szCs w:val="96"/>
        </w:rPr>
      </w:pPr>
    </w:p>
    <w:p>
      <w:pPr>
        <w:pStyle w:val="Style1"/>
        <w:numPr>
          <w:ilvl w:val="0"/>
          <w:numId w:val="32"/>
        </w:numPr>
        <w:jc w:val="center"/>
      </w:pPr>
      <w:bookmarkStart w:id="5" w:name="_Toc225170922"/>
      <w:r>
        <w:t>DISPOSITIFS COMMUNS</w:t>
      </w:r>
      <w:bookmarkEnd w:id="4"/>
      <w:bookmarkEnd w:id="5"/>
    </w:p>
    <w:p>
      <w:pPr>
        <w:pStyle w:val="Style1"/>
        <w:ind w:left="1440"/>
        <w:jc w:val="center"/>
        <w:rPr>
          <w:strike/>
          <w:color w:val="5770BE"/>
        </w:rPr>
      </w:pPr>
      <w:r>
        <w:rPr>
          <w:rFonts w:ascii="Marianne ExtraBold" w:hAnsi="Marianne ExtraBold"/>
          <w:strike/>
          <w:color w:val="91AE4F"/>
          <w:sz w:val="72"/>
          <w:szCs w:val="96"/>
        </w:rPr>
        <w:br w:type="page"/>
      </w:r>
    </w:p>
    <w:bookmarkStart w:id="6" w:name="_Toc201659330"/>
    <w:bookmarkStart w:id="7" w:name="_Toc225170923"/>
    <w:p>
      <w:pPr>
        <w:pStyle w:val="Style2"/>
        <w:ind w:left="426"/>
      </w:pPr>
      <w:r>
        <w:rPr>
          <w:noProof/>
        </w:rPr>
        <w:lastRenderedPageBreak/>
        <mc:AlternateContent>
          <mc:Choice Requires="wps">
            <w:drawing>
              <wp:anchor distT="0" distB="0" distL="114300" distR="114300" simplePos="0" relativeHeight="252197888" behindDoc="0" locked="0" layoutInCell="1" allowOverlap="1">
                <wp:simplePos x="0" y="0"/>
                <wp:positionH relativeFrom="column">
                  <wp:posOffset>-310514</wp:posOffset>
                </wp:positionH>
                <wp:positionV relativeFrom="paragraph">
                  <wp:posOffset>50165</wp:posOffset>
                </wp:positionV>
                <wp:extent cx="550684" cy="576000"/>
                <wp:effectExtent l="19050" t="0" r="1905" b="33655"/>
                <wp:wrapNone/>
                <wp:docPr id="7" name="Larm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7" o:spid="_x0000_s1026" alt="&quot;&quot;" style="position:absolute;margin-left:-24.45pt;margin-top:3.95pt;width:43.35pt;height:45.35pt;rotation:11557929fd;z-index:2521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bookmarkEnd w:id="6"/>
      <w:r>
        <w:t>Le droit à rémunération</w:t>
      </w:r>
      <w:bookmarkEnd w:id="7"/>
    </w:p>
    <w:p/>
    <w:p>
      <w:pPr>
        <w:rPr>
          <w:color w:val="5770BE"/>
        </w:rPr>
      </w:pPr>
    </w:p>
    <w:p>
      <w:pPr>
        <w:rPr>
          <w:sz w:val="22"/>
        </w:rPr>
      </w:pPr>
      <w:r>
        <w:rPr>
          <w:sz w:val="22"/>
        </w:rPr>
        <w:t>Le CGFP prévoit à :</w:t>
      </w:r>
    </w:p>
    <w:p>
      <w:pPr>
        <w:pStyle w:val="Paragraphedeliste"/>
        <w:numPr>
          <w:ilvl w:val="0"/>
          <w:numId w:val="18"/>
        </w:numPr>
        <w:jc w:val="both"/>
        <w:rPr>
          <w:sz w:val="22"/>
        </w:rPr>
      </w:pPr>
      <w:hyperlink r:id="rId12" w:history="1">
        <w:r>
          <w:rPr>
            <w:rStyle w:val="Lienhypertexte"/>
            <w:sz w:val="22"/>
          </w:rPr>
          <w:t>L’article L.115-1</w:t>
        </w:r>
      </w:hyperlink>
      <w:r>
        <w:rPr>
          <w:sz w:val="22"/>
        </w:rPr>
        <w:t xml:space="preserve"> que </w:t>
      </w:r>
      <w:r>
        <w:rPr>
          <w:i/>
          <w:iCs/>
          <w:sz w:val="22"/>
        </w:rPr>
        <w:t>« Les agents publics ont droit, après service fait, à une rémunération […]. »</w:t>
      </w:r>
      <w:r>
        <w:rPr>
          <w:sz w:val="22"/>
        </w:rPr>
        <w:t xml:space="preserve"> </w:t>
      </w:r>
    </w:p>
    <w:p>
      <w:pPr>
        <w:pStyle w:val="Paragraphedeliste"/>
        <w:numPr>
          <w:ilvl w:val="0"/>
          <w:numId w:val="18"/>
        </w:numPr>
        <w:jc w:val="both"/>
        <w:rPr>
          <w:sz w:val="22"/>
        </w:rPr>
      </w:pPr>
      <w:hyperlink r:id="rId13" w:history="1">
        <w:r>
          <w:rPr>
            <w:rStyle w:val="Lienhypertexte"/>
            <w:sz w:val="22"/>
          </w:rPr>
          <w:t>L’article L.711-1</w:t>
        </w:r>
      </w:hyperlink>
      <w:r>
        <w:rPr>
          <w:sz w:val="22"/>
        </w:rPr>
        <w:t xml:space="preserve"> que </w:t>
      </w:r>
      <w:r>
        <w:rPr>
          <w:i/>
          <w:iCs/>
          <w:sz w:val="22"/>
        </w:rPr>
        <w:t>« La rémunération des agents publics exigible après service fait est liquidée selon les modalités édictées par la réglementation sur la comptabilité publique. »</w:t>
      </w:r>
    </w:p>
    <w:p>
      <w:pPr>
        <w:jc w:val="both"/>
        <w:rPr>
          <w:sz w:val="22"/>
        </w:rPr>
      </w:pPr>
      <w:r>
        <w:rPr>
          <w:sz w:val="22"/>
        </w:rPr>
        <w:t>Ces articles précisent que l’agent public à le devoir de remplir l’obligation de service et que l’administration en contrepartie doit rémunérer l’agent pour le service accompli.</w:t>
      </w:r>
    </w:p>
    <w:p>
      <w:pPr>
        <w:spacing w:after="0"/>
        <w:jc w:val="both"/>
        <w:rPr>
          <w:sz w:val="22"/>
          <w:szCs w:val="24"/>
        </w:rPr>
      </w:pPr>
      <w:r>
        <w:rPr>
          <w:sz w:val="22"/>
          <w:szCs w:val="24"/>
        </w:rPr>
        <w:t xml:space="preserve">Cependant, deux cas de figure dérogent au principe du « service fait » porté aux articles L.115-1 et L.711-1 du CGFP : </w:t>
      </w:r>
    </w:p>
    <w:p>
      <w:pPr>
        <w:pStyle w:val="Paragraphedeliste"/>
        <w:numPr>
          <w:ilvl w:val="0"/>
          <w:numId w:val="12"/>
        </w:numPr>
        <w:spacing w:after="0"/>
        <w:jc w:val="both"/>
        <w:rPr>
          <w:sz w:val="22"/>
          <w:szCs w:val="24"/>
        </w:rPr>
      </w:pPr>
      <w:r>
        <w:rPr>
          <w:sz w:val="22"/>
          <w:szCs w:val="24"/>
        </w:rPr>
        <w:t>généralement les fonctionnaires sont payés 5 jours ouvrés avant la fin du mois pour respecter le calendrier de paie fixé par la Direction générale des finances publiques. Le respect de ce calendrier de paye permet d'assurer le versement avant la clôture administrative et bancaire du mois.</w:t>
      </w:r>
      <w:r>
        <w:rPr>
          <w:sz w:val="22"/>
          <w:szCs w:val="24"/>
          <w:highlight w:val="yellow"/>
        </w:rPr>
        <w:t xml:space="preserve"> </w:t>
      </w:r>
    </w:p>
    <w:p>
      <w:pPr>
        <w:pStyle w:val="Paragraphedeliste"/>
        <w:numPr>
          <w:ilvl w:val="0"/>
          <w:numId w:val="12"/>
        </w:numPr>
        <w:spacing w:after="0"/>
        <w:jc w:val="both"/>
        <w:rPr>
          <w:sz w:val="22"/>
          <w:szCs w:val="24"/>
        </w:rPr>
      </w:pPr>
      <w:r>
        <w:rPr>
          <w:sz w:val="22"/>
          <w:szCs w:val="24"/>
        </w:rPr>
        <w:t>à l’intégration d’un agent ou lors d’un changement d’affectation, le versement d’un acompte peut être effectué lorsque la procédure de paiement courante ne peut pas être appliquée. En effet, si la période de prise en charge du dossier administratif de l’agent est tardive (au-delà de la première semaine du mois de paie concerné), ou lorsque le dossier de l’agent comporte une erreur au moment de la clôture de paie, un acompte peut être liquidé dans la limite de 90% maximum du traitement de référence à payer à l’agent sur la période concernée.</w:t>
      </w:r>
    </w:p>
    <w:p>
      <w:pPr>
        <w:pStyle w:val="Paragraphedeliste"/>
        <w:spacing w:after="0"/>
        <w:jc w:val="both"/>
        <w:rPr>
          <w:sz w:val="22"/>
          <w:szCs w:val="24"/>
        </w:rPr>
      </w:pPr>
    </w:p>
    <w:p>
      <w:pPr>
        <w:spacing w:after="0"/>
        <w:jc w:val="both"/>
        <w:rPr>
          <w:sz w:val="22"/>
        </w:rPr>
      </w:pPr>
      <w:r>
        <w:rPr>
          <w:sz w:val="22"/>
        </w:rPr>
        <w:t xml:space="preserve">En complément des calendriers mensuels de paie, des calendriers mensuels d’acompte fixent les dates de ces versements dérogatoires. </w:t>
      </w:r>
    </w:p>
    <w:p>
      <w:pPr>
        <w:rPr>
          <w:sz w:val="22"/>
        </w:rPr>
      </w:pPr>
      <w:r>
        <w:rPr>
          <w:sz w:val="22"/>
        </w:rPr>
        <w:br w:type="page"/>
      </w:r>
    </w:p>
    <w:bookmarkStart w:id="8" w:name="_Toc225170924"/>
    <w:p>
      <w:pPr>
        <w:pStyle w:val="Style2"/>
        <w:ind w:left="426"/>
      </w:pPr>
      <w:r>
        <w:rPr>
          <w:noProof/>
        </w:rPr>
        <w:lastRenderedPageBreak/>
        <mc:AlternateContent>
          <mc:Choice Requires="wps">
            <w:drawing>
              <wp:anchor distT="0" distB="0" distL="114300" distR="114300" simplePos="0" relativeHeight="252199936" behindDoc="0" locked="0" layoutInCell="1" allowOverlap="1">
                <wp:simplePos x="0" y="0"/>
                <wp:positionH relativeFrom="column">
                  <wp:posOffset>-310514</wp:posOffset>
                </wp:positionH>
                <wp:positionV relativeFrom="paragraph">
                  <wp:posOffset>50165</wp:posOffset>
                </wp:positionV>
                <wp:extent cx="550684" cy="576000"/>
                <wp:effectExtent l="19050" t="0" r="1905" b="33655"/>
                <wp:wrapNone/>
                <wp:docPr id="27" name="Larm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27" o:spid="_x0000_s1026" alt="&quot;&quot;" style="position:absolute;margin-left:-24.45pt;margin-top:3.95pt;width:43.35pt;height:45.35pt;rotation:11557929fd;z-index:2521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Le versement par trentième indivisible</w:t>
      </w:r>
      <w:bookmarkEnd w:id="8"/>
      <w:r>
        <w:t xml:space="preserve"> </w:t>
      </w:r>
    </w:p>
    <w:p/>
    <w:p/>
    <w:p>
      <w:pPr>
        <w:spacing w:after="0"/>
        <w:jc w:val="both"/>
        <w:rPr>
          <w:sz w:val="22"/>
          <w:szCs w:val="24"/>
        </w:rPr>
      </w:pPr>
      <w:r>
        <w:rPr>
          <w:sz w:val="22"/>
          <w:szCs w:val="24"/>
        </w:rPr>
        <w:t>Le principe du « service fait » entraine de facto une diminution de la rémunération en cas de service non fait (exemple journée de grève). Au regard de la règle du 30</w:t>
      </w:r>
      <w:r>
        <w:rPr>
          <w:sz w:val="22"/>
          <w:szCs w:val="24"/>
          <w:vertAlign w:val="superscript"/>
        </w:rPr>
        <w:t xml:space="preserve">ème </w:t>
      </w:r>
      <w:r>
        <w:rPr>
          <w:sz w:val="22"/>
          <w:szCs w:val="24"/>
        </w:rPr>
        <w:t>indivisible et au cas particulier d’une demi-journée de service non fait, le précompte se fait sur une journée entière. Quelle que soit le nombre de journée de service non fait dans le mois, la rémunération mensuelle est calculée sur la base de 30 jours quel</w:t>
      </w:r>
      <w:r>
        <w:rPr>
          <w:szCs w:val="24"/>
        </w:rPr>
        <w:t xml:space="preserve"> </w:t>
      </w:r>
      <w:r>
        <w:rPr>
          <w:sz w:val="22"/>
          <w:szCs w:val="24"/>
        </w:rPr>
        <w:t>que soit le nombre de jours dans le mois (28,29,30 ou 31), déduit du nombre entier de journée de service non fait.</w:t>
      </w:r>
    </w:p>
    <w:p/>
    <w:p>
      <w:pPr>
        <w:spacing w:after="0"/>
        <w:jc w:val="both"/>
        <w:rPr>
          <w:i/>
          <w:iCs/>
          <w:sz w:val="22"/>
          <w:szCs w:val="24"/>
        </w:rPr>
      </w:pPr>
      <w:r>
        <w:rPr>
          <w:sz w:val="22"/>
          <w:szCs w:val="24"/>
        </w:rPr>
        <w:t xml:space="preserve">En effet, </w:t>
      </w:r>
      <w:hyperlink r:id="rId14" w:history="1">
        <w:r>
          <w:rPr>
            <w:rStyle w:val="Lienhypertexte"/>
            <w:sz w:val="22"/>
            <w:szCs w:val="24"/>
          </w:rPr>
          <w:t>l’article 1 du décret n°62-765</w:t>
        </w:r>
      </w:hyperlink>
      <w:r>
        <w:rPr>
          <w:sz w:val="22"/>
          <w:szCs w:val="24"/>
        </w:rPr>
        <w:t xml:space="preserve"> prévoit que </w:t>
      </w:r>
      <w:r>
        <w:rPr>
          <w:i/>
          <w:iCs/>
          <w:sz w:val="22"/>
          <w:szCs w:val="24"/>
        </w:rPr>
        <w:t>« Les traitements et les émoluments assimilés aux traitements alloués aux personnels de l'Etat et des établissements publics de l'Etat à caractère administratif visés à l'article 4 de la loi de finances n° 61-825 du 29 juillet 1961 se liquident par mois et sont payables à terme échu. Chaque mois, quel que soit le nombre de jours dont il se compose, compte pour trente jours. Le douzième de l'allocation annuelle se divise, en conséquence, par trentième ; chaque trentième est indivisible. »</w:t>
      </w:r>
    </w:p>
    <w:p>
      <w:pPr>
        <w:rPr>
          <w:i/>
          <w:iCs/>
          <w:sz w:val="22"/>
          <w:szCs w:val="24"/>
        </w:rPr>
      </w:pPr>
      <w:r>
        <w:rPr>
          <w:i/>
          <w:iCs/>
          <w:sz w:val="22"/>
          <w:szCs w:val="24"/>
        </w:rPr>
        <w:br w:type="page"/>
      </w:r>
    </w:p>
    <w:bookmarkStart w:id="9" w:name="_Toc225170925"/>
    <w:bookmarkStart w:id="10" w:name="_Hlk224570495"/>
    <w:p>
      <w:pPr>
        <w:pStyle w:val="Style2"/>
        <w:ind w:left="426"/>
      </w:pPr>
      <w:r>
        <w:rPr>
          <w:noProof/>
        </w:rPr>
        <w:lastRenderedPageBreak/>
        <mc:AlternateContent>
          <mc:Choice Requires="wps">
            <w:drawing>
              <wp:anchor distT="0" distB="0" distL="114300" distR="114300" simplePos="0" relativeHeight="252201984" behindDoc="0" locked="0" layoutInCell="1" allowOverlap="1">
                <wp:simplePos x="0" y="0"/>
                <wp:positionH relativeFrom="column">
                  <wp:posOffset>-310514</wp:posOffset>
                </wp:positionH>
                <wp:positionV relativeFrom="paragraph">
                  <wp:posOffset>50165</wp:posOffset>
                </wp:positionV>
                <wp:extent cx="550684" cy="576000"/>
                <wp:effectExtent l="19050" t="0" r="1905" b="33655"/>
                <wp:wrapNone/>
                <wp:docPr id="32" name="Larm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32" o:spid="_x0000_s1026" alt="&quot;&quot;" style="position:absolute;margin-left:-24.45pt;margin-top:3.95pt;width:43.35pt;height:45.35pt;rotation:11557929fd;z-index:2522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La quotité de service</w:t>
      </w:r>
      <w:bookmarkEnd w:id="9"/>
      <w:r>
        <w:t xml:space="preserve"> </w:t>
      </w:r>
    </w:p>
    <w:bookmarkEnd w:id="10"/>
    <w:p>
      <w:pPr>
        <w:rPr>
          <w:b/>
          <w:bCs/>
          <w:color w:val="FF0000"/>
          <w:szCs w:val="24"/>
          <w:u w:val="single"/>
        </w:rPr>
      </w:pPr>
      <w:r>
        <w:rPr>
          <w:b/>
          <w:bCs/>
          <w:color w:val="FF0000"/>
          <w:szCs w:val="24"/>
          <w:u w:val="single"/>
        </w:rPr>
        <w:t xml:space="preserve"> </w:t>
      </w:r>
    </w:p>
    <w:p>
      <w:pPr>
        <w:spacing w:after="0" w:line="240" w:lineRule="auto"/>
        <w:jc w:val="both"/>
        <w:rPr>
          <w:sz w:val="22"/>
        </w:rPr>
      </w:pPr>
      <w:r>
        <w:rPr>
          <w:sz w:val="22"/>
          <w:szCs w:val="24"/>
        </w:rPr>
        <w:t>L</w:t>
      </w:r>
      <w:r>
        <w:rPr>
          <w:sz w:val="22"/>
        </w:rPr>
        <w:t>es dispositions relatives au temps de travail proposent d’autres modalités de service permettant d’accomplir un service à temps partiel ordinaire ou de droit, qui ne peut être inférieur au mi-temps (</w:t>
      </w:r>
      <w:hyperlink r:id="rId15" w:history="1">
        <w:r>
          <w:rPr>
            <w:rStyle w:val="Lienhypertexte"/>
            <w:sz w:val="22"/>
          </w:rPr>
          <w:t>article L612-1 du CGFP</w:t>
        </w:r>
      </w:hyperlink>
      <w:r>
        <w:rPr>
          <w:sz w:val="22"/>
        </w:rPr>
        <w:t>) selon une quotité de 50, 60, 70, 80 ou 90 %.</w:t>
      </w:r>
    </w:p>
    <w:p>
      <w:pPr>
        <w:spacing w:after="0"/>
        <w:jc w:val="both"/>
        <w:rPr>
          <w:i/>
          <w:iCs/>
          <w:sz w:val="22"/>
        </w:rPr>
      </w:pPr>
      <w:r>
        <w:rPr>
          <w:sz w:val="22"/>
        </w:rPr>
        <w:t xml:space="preserve">En effet, </w:t>
      </w:r>
      <w:hyperlink r:id="rId16" w:history="1">
        <w:r>
          <w:rPr>
            <w:rStyle w:val="Lienhypertexte"/>
            <w:sz w:val="22"/>
          </w:rPr>
          <w:t>l’article L612-5 du CGFP</w:t>
        </w:r>
      </w:hyperlink>
      <w:r>
        <w:rPr>
          <w:sz w:val="22"/>
        </w:rPr>
        <w:t xml:space="preserve"> précise que </w:t>
      </w:r>
      <w:r>
        <w:rPr>
          <w:i/>
          <w:iCs/>
          <w:sz w:val="22"/>
        </w:rPr>
        <w:t>« Le fonctionnaire autorisé à travailler à temps partiel perçoit une fraction du traitement, […]. Cette fraction est égale au rapport entre la durée hebdomadaire du service effectué et la durée résultant des obligations hebdomadaires de service réglementairement fixées pour les fonctionnaires de même grade exerçant à temps complet les mêmes fonctions dans l'administration ou le service concerné.</w:t>
      </w:r>
    </w:p>
    <w:p>
      <w:pPr>
        <w:spacing w:after="0"/>
        <w:jc w:val="both"/>
        <w:rPr>
          <w:sz w:val="22"/>
        </w:rPr>
      </w:pPr>
      <w:r>
        <w:rPr>
          <w:i/>
          <w:iCs/>
          <w:sz w:val="22"/>
        </w:rPr>
        <w:t xml:space="preserve">Pour les quotités égales à 80 ou 90 % du temps complet […] cette fraction est égale respectivement aux six septièmes ou aux trente-deux trente-cinquièmes de la rémunération </w:t>
      </w:r>
      <w:r>
        <w:rPr>
          <w:sz w:val="22"/>
        </w:rPr>
        <w:t>»</w:t>
      </w:r>
    </w:p>
    <w:p>
      <w:pPr>
        <w:spacing w:after="0"/>
        <w:jc w:val="both"/>
        <w:rPr>
          <w:sz w:val="22"/>
        </w:rPr>
      </w:pPr>
      <w:hyperlink r:id="rId17" w:history="1">
        <w:r>
          <w:rPr>
            <w:rStyle w:val="Lienhypertexte"/>
            <w:sz w:val="22"/>
          </w:rPr>
          <w:t>L’article R327-29 du CGFP</w:t>
        </w:r>
      </w:hyperlink>
      <w:r>
        <w:rPr>
          <w:sz w:val="22"/>
        </w:rPr>
        <w:t xml:space="preserve"> prévoit que le fonctionnaire stagiaire peut, sur sa demande, être autorisé à accomplir un service à temps partiel dans les mêmes conditions que celles applicables aux fonctionnaires titulaires. </w:t>
      </w:r>
    </w:p>
    <w:p>
      <w:pPr>
        <w:spacing w:after="0"/>
        <w:jc w:val="both"/>
        <w:rPr>
          <w:sz w:val="22"/>
        </w:rPr>
      </w:pPr>
    </w:p>
    <w:p>
      <w:pPr>
        <w:pStyle w:val="Paragraphedeliste"/>
        <w:suppressAutoHyphens/>
        <w:spacing w:after="120" w:line="240" w:lineRule="auto"/>
        <w:ind w:hanging="360"/>
        <w:contextualSpacing w:val="0"/>
        <w:jc w:val="both"/>
        <w:rPr>
          <w:sz w:val="22"/>
        </w:rPr>
      </w:pPr>
      <w:r>
        <w:rPr>
          <w:sz w:val="22"/>
        </w:rPr>
        <w:t>Cas général pour les agents publics :</w:t>
      </w:r>
    </w:p>
    <w:tbl>
      <w:tblPr>
        <w:tblStyle w:val="Grilledutableau"/>
        <w:tblW w:w="0" w:type="auto"/>
        <w:tblLook w:val="04A0" w:firstRow="1" w:lastRow="0" w:firstColumn="1" w:lastColumn="0" w:noHBand="0" w:noVBand="1"/>
      </w:tblPr>
      <w:tblGrid>
        <w:gridCol w:w="4814"/>
        <w:gridCol w:w="4814"/>
      </w:tblGrid>
      <w:tr>
        <w:tc>
          <w:tcPr>
            <w:tcW w:w="4814" w:type="dxa"/>
            <w:shd w:val="clear" w:color="auto" w:fill="C5E0B3" w:themeFill="accent6" w:themeFillTint="66"/>
          </w:tcPr>
          <w:p>
            <w:pPr>
              <w:jc w:val="center"/>
              <w:rPr>
                <w:b/>
                <w:bCs/>
                <w:sz w:val="22"/>
              </w:rPr>
            </w:pPr>
            <w:bookmarkStart w:id="11" w:name="_Hlk217311863"/>
            <w:r>
              <w:rPr>
                <w:b/>
                <w:bCs/>
                <w:sz w:val="22"/>
              </w:rPr>
              <w:t>Quotité de travail</w:t>
            </w:r>
          </w:p>
        </w:tc>
        <w:tc>
          <w:tcPr>
            <w:tcW w:w="4814" w:type="dxa"/>
            <w:shd w:val="clear" w:color="auto" w:fill="C5E0B3" w:themeFill="accent6" w:themeFillTint="66"/>
          </w:tcPr>
          <w:p>
            <w:pPr>
              <w:jc w:val="center"/>
              <w:rPr>
                <w:b/>
                <w:bCs/>
                <w:sz w:val="22"/>
              </w:rPr>
            </w:pPr>
            <w:r>
              <w:rPr>
                <w:b/>
                <w:bCs/>
                <w:sz w:val="22"/>
              </w:rPr>
              <w:t>Pourcentage de rémunération</w:t>
            </w:r>
          </w:p>
        </w:tc>
      </w:tr>
      <w:tr>
        <w:tc>
          <w:tcPr>
            <w:tcW w:w="4814" w:type="dxa"/>
            <w:shd w:val="clear" w:color="auto" w:fill="C5E0B3" w:themeFill="accent6" w:themeFillTint="66"/>
          </w:tcPr>
          <w:p>
            <w:pPr>
              <w:jc w:val="center"/>
              <w:rPr>
                <w:sz w:val="22"/>
              </w:rPr>
            </w:pPr>
            <w:r>
              <w:rPr>
                <w:sz w:val="22"/>
              </w:rPr>
              <w:t>50%</w:t>
            </w:r>
          </w:p>
        </w:tc>
        <w:tc>
          <w:tcPr>
            <w:tcW w:w="4814" w:type="dxa"/>
            <w:shd w:val="clear" w:color="auto" w:fill="C5E0B3" w:themeFill="accent6" w:themeFillTint="66"/>
          </w:tcPr>
          <w:p>
            <w:pPr>
              <w:jc w:val="center"/>
              <w:rPr>
                <w:sz w:val="22"/>
              </w:rPr>
            </w:pPr>
            <w:r>
              <w:rPr>
                <w:sz w:val="22"/>
              </w:rPr>
              <w:t>50%</w:t>
            </w:r>
          </w:p>
        </w:tc>
      </w:tr>
      <w:tr>
        <w:tc>
          <w:tcPr>
            <w:tcW w:w="4814" w:type="dxa"/>
            <w:shd w:val="clear" w:color="auto" w:fill="C5E0B3" w:themeFill="accent6" w:themeFillTint="66"/>
          </w:tcPr>
          <w:p>
            <w:pPr>
              <w:jc w:val="center"/>
              <w:rPr>
                <w:sz w:val="22"/>
              </w:rPr>
            </w:pPr>
            <w:r>
              <w:rPr>
                <w:sz w:val="22"/>
              </w:rPr>
              <w:t>60%</w:t>
            </w:r>
          </w:p>
        </w:tc>
        <w:tc>
          <w:tcPr>
            <w:tcW w:w="4814" w:type="dxa"/>
            <w:shd w:val="clear" w:color="auto" w:fill="C5E0B3" w:themeFill="accent6" w:themeFillTint="66"/>
          </w:tcPr>
          <w:p>
            <w:pPr>
              <w:jc w:val="center"/>
              <w:rPr>
                <w:sz w:val="22"/>
              </w:rPr>
            </w:pPr>
            <w:r>
              <w:rPr>
                <w:sz w:val="22"/>
              </w:rPr>
              <w:t>60%</w:t>
            </w:r>
          </w:p>
        </w:tc>
      </w:tr>
      <w:tr>
        <w:tc>
          <w:tcPr>
            <w:tcW w:w="4814" w:type="dxa"/>
            <w:shd w:val="clear" w:color="auto" w:fill="C5E0B3" w:themeFill="accent6" w:themeFillTint="66"/>
          </w:tcPr>
          <w:p>
            <w:pPr>
              <w:jc w:val="center"/>
              <w:rPr>
                <w:sz w:val="22"/>
              </w:rPr>
            </w:pPr>
            <w:r>
              <w:rPr>
                <w:sz w:val="22"/>
              </w:rPr>
              <w:t>70%</w:t>
            </w:r>
          </w:p>
        </w:tc>
        <w:tc>
          <w:tcPr>
            <w:tcW w:w="4814" w:type="dxa"/>
            <w:shd w:val="clear" w:color="auto" w:fill="C5E0B3" w:themeFill="accent6" w:themeFillTint="66"/>
          </w:tcPr>
          <w:p>
            <w:pPr>
              <w:jc w:val="center"/>
              <w:rPr>
                <w:sz w:val="22"/>
              </w:rPr>
            </w:pPr>
            <w:r>
              <w:rPr>
                <w:sz w:val="22"/>
              </w:rPr>
              <w:t>70%</w:t>
            </w:r>
          </w:p>
        </w:tc>
      </w:tr>
      <w:tr>
        <w:tc>
          <w:tcPr>
            <w:tcW w:w="4814" w:type="dxa"/>
            <w:shd w:val="clear" w:color="auto" w:fill="C5E0B3" w:themeFill="accent6" w:themeFillTint="66"/>
          </w:tcPr>
          <w:p>
            <w:pPr>
              <w:jc w:val="center"/>
              <w:rPr>
                <w:sz w:val="22"/>
              </w:rPr>
            </w:pPr>
            <w:r>
              <w:rPr>
                <w:sz w:val="22"/>
              </w:rPr>
              <w:t>80%</w:t>
            </w:r>
          </w:p>
        </w:tc>
        <w:tc>
          <w:tcPr>
            <w:tcW w:w="4814" w:type="dxa"/>
            <w:shd w:val="clear" w:color="auto" w:fill="C5E0B3" w:themeFill="accent6" w:themeFillTint="66"/>
          </w:tcPr>
          <w:p>
            <w:pPr>
              <w:jc w:val="center"/>
              <w:rPr>
                <w:sz w:val="22"/>
              </w:rPr>
            </w:pPr>
            <w:r>
              <w:rPr>
                <w:sz w:val="22"/>
              </w:rPr>
              <w:t>6/7</w:t>
            </w:r>
            <w:r>
              <w:rPr>
                <w:sz w:val="22"/>
                <w:vertAlign w:val="superscript"/>
              </w:rPr>
              <w:t>ème</w:t>
            </w:r>
          </w:p>
        </w:tc>
      </w:tr>
      <w:tr>
        <w:tc>
          <w:tcPr>
            <w:tcW w:w="4814" w:type="dxa"/>
            <w:shd w:val="clear" w:color="auto" w:fill="C5E0B3" w:themeFill="accent6" w:themeFillTint="66"/>
          </w:tcPr>
          <w:p>
            <w:pPr>
              <w:jc w:val="center"/>
              <w:rPr>
                <w:sz w:val="22"/>
              </w:rPr>
            </w:pPr>
            <w:r>
              <w:rPr>
                <w:sz w:val="22"/>
              </w:rPr>
              <w:t>90%</w:t>
            </w:r>
          </w:p>
        </w:tc>
        <w:tc>
          <w:tcPr>
            <w:tcW w:w="4814" w:type="dxa"/>
            <w:shd w:val="clear" w:color="auto" w:fill="C5E0B3" w:themeFill="accent6" w:themeFillTint="66"/>
          </w:tcPr>
          <w:p>
            <w:pPr>
              <w:jc w:val="center"/>
              <w:rPr>
                <w:sz w:val="22"/>
              </w:rPr>
            </w:pPr>
            <w:r>
              <w:rPr>
                <w:sz w:val="22"/>
              </w:rPr>
              <w:t>32/35</w:t>
            </w:r>
            <w:r>
              <w:rPr>
                <w:sz w:val="22"/>
                <w:vertAlign w:val="superscript"/>
              </w:rPr>
              <w:t>ème</w:t>
            </w:r>
          </w:p>
        </w:tc>
      </w:tr>
      <w:bookmarkEnd w:id="11"/>
    </w:tbl>
    <w:p>
      <w:pPr>
        <w:spacing w:after="0"/>
        <w:jc w:val="both"/>
        <w:rPr>
          <w:sz w:val="16"/>
          <w:szCs w:val="16"/>
        </w:rPr>
      </w:pPr>
    </w:p>
    <w:p>
      <w:pPr>
        <w:spacing w:after="0"/>
        <w:jc w:val="both"/>
        <w:rPr>
          <w:sz w:val="16"/>
          <w:szCs w:val="16"/>
        </w:rPr>
      </w:pPr>
    </w:p>
    <w:p>
      <w:pPr>
        <w:pStyle w:val="Paragraphedeliste"/>
        <w:suppressAutoHyphens/>
        <w:spacing w:after="120" w:line="240" w:lineRule="auto"/>
        <w:ind w:hanging="360"/>
        <w:contextualSpacing w:val="0"/>
        <w:jc w:val="both"/>
        <w:rPr>
          <w:sz w:val="22"/>
        </w:rPr>
      </w:pPr>
      <w:r>
        <w:rPr>
          <w:sz w:val="22"/>
        </w:rPr>
        <w:t>Au cas particulier des contractuels de droit privé pour les quotités 80% et 90% :</w:t>
      </w:r>
    </w:p>
    <w:tbl>
      <w:tblPr>
        <w:tblStyle w:val="Grilledutableau"/>
        <w:tblW w:w="0" w:type="auto"/>
        <w:tblLook w:val="04A0" w:firstRow="1" w:lastRow="0" w:firstColumn="1" w:lastColumn="0" w:noHBand="0" w:noVBand="1"/>
      </w:tblPr>
      <w:tblGrid>
        <w:gridCol w:w="4815"/>
        <w:gridCol w:w="4678"/>
      </w:tblGrid>
      <w:tr>
        <w:tc>
          <w:tcPr>
            <w:tcW w:w="4815" w:type="dxa"/>
            <w:shd w:val="clear" w:color="auto" w:fill="C5E0B3" w:themeFill="accent6" w:themeFillTint="66"/>
          </w:tcPr>
          <w:p>
            <w:pPr>
              <w:jc w:val="center"/>
              <w:rPr>
                <w:b/>
                <w:bCs/>
                <w:sz w:val="22"/>
              </w:rPr>
            </w:pPr>
            <w:r>
              <w:rPr>
                <w:b/>
                <w:bCs/>
                <w:sz w:val="22"/>
              </w:rPr>
              <w:t>Quotité de travail</w:t>
            </w:r>
          </w:p>
        </w:tc>
        <w:tc>
          <w:tcPr>
            <w:tcW w:w="4678" w:type="dxa"/>
            <w:shd w:val="clear" w:color="auto" w:fill="C5E0B3" w:themeFill="accent6" w:themeFillTint="66"/>
          </w:tcPr>
          <w:p>
            <w:pPr>
              <w:jc w:val="center"/>
              <w:rPr>
                <w:b/>
                <w:bCs/>
                <w:sz w:val="22"/>
              </w:rPr>
            </w:pPr>
            <w:r>
              <w:rPr>
                <w:b/>
                <w:bCs/>
                <w:sz w:val="22"/>
              </w:rPr>
              <w:t>Pourcentage de rémunération</w:t>
            </w:r>
          </w:p>
        </w:tc>
      </w:tr>
      <w:tr>
        <w:tc>
          <w:tcPr>
            <w:tcW w:w="4815" w:type="dxa"/>
            <w:shd w:val="clear" w:color="auto" w:fill="C5E0B3" w:themeFill="accent6" w:themeFillTint="66"/>
          </w:tcPr>
          <w:p>
            <w:pPr>
              <w:jc w:val="center"/>
              <w:rPr>
                <w:sz w:val="22"/>
              </w:rPr>
            </w:pPr>
            <w:r>
              <w:rPr>
                <w:sz w:val="22"/>
              </w:rPr>
              <w:t>80%</w:t>
            </w:r>
          </w:p>
        </w:tc>
        <w:tc>
          <w:tcPr>
            <w:tcW w:w="4678" w:type="dxa"/>
            <w:shd w:val="clear" w:color="auto" w:fill="C5E0B3" w:themeFill="accent6" w:themeFillTint="66"/>
          </w:tcPr>
          <w:p>
            <w:pPr>
              <w:jc w:val="center"/>
              <w:rPr>
                <w:sz w:val="22"/>
              </w:rPr>
            </w:pPr>
            <w:r>
              <w:rPr>
                <w:sz w:val="22"/>
              </w:rPr>
              <w:t>80%</w:t>
            </w:r>
          </w:p>
        </w:tc>
      </w:tr>
      <w:tr>
        <w:tc>
          <w:tcPr>
            <w:tcW w:w="4815" w:type="dxa"/>
            <w:shd w:val="clear" w:color="auto" w:fill="C5E0B3" w:themeFill="accent6" w:themeFillTint="66"/>
          </w:tcPr>
          <w:p>
            <w:pPr>
              <w:jc w:val="center"/>
              <w:rPr>
                <w:sz w:val="22"/>
              </w:rPr>
            </w:pPr>
            <w:r>
              <w:rPr>
                <w:sz w:val="22"/>
              </w:rPr>
              <w:t>90%</w:t>
            </w:r>
          </w:p>
        </w:tc>
        <w:tc>
          <w:tcPr>
            <w:tcW w:w="4678" w:type="dxa"/>
            <w:shd w:val="clear" w:color="auto" w:fill="C5E0B3" w:themeFill="accent6" w:themeFillTint="66"/>
          </w:tcPr>
          <w:p>
            <w:pPr>
              <w:jc w:val="center"/>
              <w:rPr>
                <w:sz w:val="22"/>
              </w:rPr>
            </w:pPr>
            <w:r>
              <w:rPr>
                <w:sz w:val="22"/>
              </w:rPr>
              <w:t>90%</w:t>
            </w:r>
          </w:p>
        </w:tc>
      </w:tr>
    </w:tbl>
    <w:p>
      <w:pPr>
        <w:spacing w:after="0"/>
        <w:jc w:val="both"/>
        <w:rPr>
          <w:sz w:val="16"/>
          <w:szCs w:val="16"/>
        </w:rPr>
      </w:pPr>
    </w:p>
    <w:p>
      <w:pPr>
        <w:spacing w:after="0"/>
        <w:jc w:val="both"/>
        <w:rPr>
          <w:sz w:val="16"/>
          <w:szCs w:val="16"/>
        </w:rPr>
      </w:pPr>
    </w:p>
    <w:p>
      <w:pPr>
        <w:pStyle w:val="Paragraphedeliste"/>
        <w:suppressAutoHyphens/>
        <w:spacing w:after="120" w:line="240" w:lineRule="auto"/>
        <w:ind w:hanging="360"/>
        <w:contextualSpacing w:val="0"/>
        <w:jc w:val="both"/>
        <w:rPr>
          <w:sz w:val="22"/>
        </w:rPr>
      </w:pPr>
      <w:r>
        <w:rPr>
          <w:sz w:val="22"/>
        </w:rPr>
        <w:t>Cas particulier des agents soumis à obligation de service :</w:t>
      </w:r>
    </w:p>
    <w:tbl>
      <w:tblPr>
        <w:tblStyle w:val="Grilledutableau"/>
        <w:tblW w:w="0" w:type="auto"/>
        <w:tblLook w:val="04A0" w:firstRow="1" w:lastRow="0" w:firstColumn="1" w:lastColumn="0" w:noHBand="0" w:noVBand="1"/>
      </w:tblPr>
      <w:tblGrid>
        <w:gridCol w:w="4814"/>
        <w:gridCol w:w="4814"/>
      </w:tblGrid>
      <w:tr>
        <w:tc>
          <w:tcPr>
            <w:tcW w:w="4814" w:type="dxa"/>
            <w:shd w:val="clear" w:color="auto" w:fill="C5E0B3" w:themeFill="accent6" w:themeFillTint="66"/>
          </w:tcPr>
          <w:p>
            <w:pPr>
              <w:jc w:val="center"/>
              <w:rPr>
                <w:b/>
                <w:bCs/>
                <w:sz w:val="22"/>
              </w:rPr>
            </w:pPr>
            <w:r>
              <w:rPr>
                <w:b/>
                <w:bCs/>
                <w:sz w:val="22"/>
              </w:rPr>
              <w:t>Quotité de travail</w:t>
            </w:r>
          </w:p>
        </w:tc>
        <w:tc>
          <w:tcPr>
            <w:tcW w:w="4814" w:type="dxa"/>
            <w:shd w:val="clear" w:color="auto" w:fill="C5E0B3" w:themeFill="accent6" w:themeFillTint="66"/>
          </w:tcPr>
          <w:p>
            <w:pPr>
              <w:jc w:val="center"/>
              <w:rPr>
                <w:b/>
                <w:bCs/>
                <w:sz w:val="22"/>
              </w:rPr>
            </w:pPr>
            <w:r>
              <w:rPr>
                <w:b/>
                <w:bCs/>
                <w:sz w:val="22"/>
              </w:rPr>
              <w:t>Pourcentage de rémunération</w:t>
            </w:r>
          </w:p>
        </w:tc>
      </w:tr>
      <w:tr>
        <w:tc>
          <w:tcPr>
            <w:tcW w:w="4814" w:type="dxa"/>
            <w:shd w:val="clear" w:color="auto" w:fill="C5E0B3" w:themeFill="accent6" w:themeFillTint="66"/>
          </w:tcPr>
          <w:p>
            <w:pPr>
              <w:jc w:val="center"/>
              <w:rPr>
                <w:sz w:val="22"/>
              </w:rPr>
            </w:pPr>
            <w:r>
              <w:rPr>
                <w:sz w:val="22"/>
              </w:rPr>
              <w:t>Entre 80% et 90%</w:t>
            </w:r>
          </w:p>
        </w:tc>
        <w:tc>
          <w:tcPr>
            <w:tcW w:w="4814" w:type="dxa"/>
            <w:shd w:val="clear" w:color="auto" w:fill="C5E0B3" w:themeFill="accent6" w:themeFillTint="66"/>
          </w:tcPr>
          <w:p>
            <w:pPr>
              <w:jc w:val="center"/>
              <w:rPr>
                <w:sz w:val="22"/>
              </w:rPr>
            </w:pPr>
            <w:r>
              <w:rPr>
                <w:sz w:val="22"/>
              </w:rPr>
              <w:t>(QS*4/7)+0,4</w:t>
            </w:r>
          </w:p>
        </w:tc>
      </w:tr>
    </w:tbl>
    <w:p>
      <w:pPr>
        <w:spacing w:after="0"/>
        <w:jc w:val="both"/>
        <w:rPr>
          <w:sz w:val="22"/>
        </w:rPr>
      </w:pPr>
    </w:p>
    <w:p>
      <w:pPr>
        <w:spacing w:after="0"/>
        <w:jc w:val="both"/>
        <w:rPr>
          <w:sz w:val="22"/>
          <w:szCs w:val="24"/>
        </w:rPr>
      </w:pPr>
      <w:r>
        <w:rPr>
          <w:sz w:val="22"/>
          <w:szCs w:val="24"/>
        </w:rPr>
        <w:t>Les magistrats de l’ordre judiciaire sont exclus du bénéfice de la modalité de service relative aux temps partiels.</w:t>
      </w:r>
    </w:p>
    <w:p>
      <w:pPr>
        <w:spacing w:after="0"/>
        <w:jc w:val="both"/>
        <w:rPr>
          <w:sz w:val="22"/>
          <w:szCs w:val="24"/>
        </w:rPr>
      </w:pPr>
      <w:r>
        <w:rPr>
          <w:sz w:val="22"/>
        </w:rPr>
        <w:t>De même, c</w:t>
      </w:r>
      <w:r>
        <w:rPr>
          <w:sz w:val="22"/>
          <w:szCs w:val="24"/>
        </w:rPr>
        <w:t>ertains fonctionnaires de l’État peuvent être exclus du bénéfice du travail à temps partiel du fait de leur grade ou de l’occupation de certains emplois, qui ne l’autorisent pas selon les statuts particuliers, ou l’exercice de certaines fonctions définies par décret en Conseil d’État.</w:t>
      </w:r>
    </w:p>
    <w:p>
      <w:pPr>
        <w:spacing w:after="0"/>
        <w:jc w:val="both"/>
      </w:pPr>
    </w:p>
    <w:p>
      <w:pPr>
        <w:pStyle w:val="Commentaire"/>
        <w:rPr>
          <w:rFonts w:ascii="Marianne" w:eastAsiaTheme="minorHAnsi" w:hAnsi="Marianne" w:cstheme="minorBidi"/>
          <w:sz w:val="22"/>
          <w:szCs w:val="24"/>
        </w:rPr>
      </w:pPr>
      <w:r>
        <w:rPr>
          <w:rFonts w:ascii="Marianne" w:eastAsiaTheme="minorHAnsi" w:hAnsi="Marianne" w:cstheme="minorBidi"/>
          <w:sz w:val="22"/>
          <w:szCs w:val="24"/>
        </w:rPr>
        <w:t>A titre d’exemple :</w:t>
      </w:r>
    </w:p>
    <w:p>
      <w:pPr>
        <w:pStyle w:val="Commentaire"/>
        <w:numPr>
          <w:ilvl w:val="0"/>
          <w:numId w:val="30"/>
        </w:numPr>
        <w:rPr>
          <w:rFonts w:ascii="Marianne" w:eastAsiaTheme="minorHAnsi" w:hAnsi="Marianne" w:cstheme="minorBidi"/>
          <w:sz w:val="22"/>
          <w:szCs w:val="24"/>
        </w:rPr>
      </w:pPr>
      <w:r>
        <w:rPr>
          <w:rFonts w:ascii="Marianne" w:eastAsiaTheme="minorHAnsi" w:hAnsi="Marianne" w:cstheme="minorBidi"/>
          <w:sz w:val="22"/>
          <w:szCs w:val="24"/>
        </w:rPr>
        <w:t>Le décret n° 2022-491 du 6 avril 20226 dispose que les préfets et sous-préfets sont exclus du bénéfice du travail à temps partiel.</w:t>
      </w:r>
    </w:p>
    <w:p>
      <w:pPr>
        <w:pStyle w:val="Commentaire"/>
        <w:numPr>
          <w:ilvl w:val="0"/>
          <w:numId w:val="30"/>
        </w:numPr>
        <w:spacing w:after="0"/>
        <w:jc w:val="both"/>
        <w:rPr>
          <w:sz w:val="22"/>
          <w:szCs w:val="24"/>
        </w:rPr>
      </w:pPr>
      <w:r>
        <w:rPr>
          <w:rFonts w:ascii="Marianne" w:eastAsiaTheme="minorHAnsi" w:hAnsi="Marianne" w:cstheme="minorBidi"/>
          <w:sz w:val="22"/>
          <w:szCs w:val="24"/>
        </w:rPr>
        <w:t>Le décret n° 82-524 du 20 juillet 19827 dispose que les comptables bénéficient du travail à temps partiel aux seules quotités de 80 % et 90 %</w:t>
      </w:r>
    </w:p>
    <w:p>
      <w:pPr>
        <w:pStyle w:val="Commentaire"/>
        <w:spacing w:after="0"/>
        <w:jc w:val="both"/>
        <w:rPr>
          <w:rFonts w:ascii="Marianne" w:eastAsiaTheme="minorHAnsi" w:hAnsi="Marianne" w:cstheme="minorBidi"/>
          <w:sz w:val="22"/>
          <w:szCs w:val="24"/>
        </w:rPr>
      </w:pPr>
    </w:p>
    <w:p>
      <w:pPr>
        <w:pStyle w:val="Commentaire"/>
        <w:spacing w:after="0"/>
        <w:jc w:val="both"/>
        <w:rPr>
          <w:rFonts w:ascii="Marianne" w:eastAsiaTheme="minorHAnsi" w:hAnsi="Marianne" w:cstheme="minorBidi"/>
          <w:sz w:val="22"/>
          <w:szCs w:val="24"/>
        </w:rPr>
      </w:pPr>
    </w:p>
    <w:p>
      <w:pPr>
        <w:pStyle w:val="Commentaire"/>
        <w:spacing w:after="0"/>
        <w:jc w:val="both"/>
        <w:rPr>
          <w:rFonts w:ascii="Marianne" w:eastAsiaTheme="minorHAnsi" w:hAnsi="Marianne" w:cstheme="minorBidi"/>
          <w:sz w:val="22"/>
          <w:szCs w:val="24"/>
        </w:rPr>
      </w:pPr>
    </w:p>
    <w:p>
      <w:pPr>
        <w:pStyle w:val="Paragraphedeliste"/>
        <w:shd w:val="clear" w:color="auto" w:fill="91AE4F"/>
        <w:ind w:left="0"/>
        <w:jc w:val="center"/>
        <w:rPr>
          <w:b/>
          <w:bCs/>
          <w:i/>
          <w:iCs/>
          <w:color w:val="FFFFFF" w:themeColor="background1"/>
          <w:sz w:val="24"/>
          <w:szCs w:val="24"/>
        </w:rPr>
      </w:pPr>
      <w:r>
        <w:rPr>
          <w:b/>
          <w:bCs/>
          <w:i/>
          <w:iCs/>
          <w:color w:val="FFFFFF" w:themeColor="background1"/>
          <w:sz w:val="24"/>
          <w:szCs w:val="24"/>
        </w:rPr>
        <w:t>Le « Guide relatif à la mise en œuvre du temps partiel pour les agents publics » </w:t>
      </w:r>
    </w:p>
    <w:p>
      <w:pPr>
        <w:pStyle w:val="Paragraphedeliste"/>
        <w:shd w:val="clear" w:color="auto" w:fill="91AE4F"/>
        <w:ind w:left="0"/>
        <w:jc w:val="center"/>
        <w:rPr>
          <w:b/>
          <w:bCs/>
          <w:i/>
          <w:iCs/>
          <w:color w:val="FFFFFF" w:themeColor="background1"/>
          <w:sz w:val="24"/>
          <w:szCs w:val="24"/>
        </w:rPr>
      </w:pPr>
      <w:r>
        <w:rPr>
          <w:b/>
          <w:bCs/>
          <w:i/>
          <w:iCs/>
          <w:color w:val="FFFFFF" w:themeColor="background1"/>
          <w:sz w:val="24"/>
          <w:szCs w:val="24"/>
        </w:rPr>
        <w:t>publié par la DGAFP</w:t>
      </w:r>
    </w:p>
    <w:p>
      <w:pPr>
        <w:pStyle w:val="Paragraphedeliste"/>
        <w:shd w:val="clear" w:color="auto" w:fill="91AE4F"/>
        <w:ind w:left="0"/>
        <w:jc w:val="center"/>
        <w:rPr>
          <w:b/>
          <w:bCs/>
          <w:i/>
          <w:iCs/>
          <w:color w:val="FFFFFF" w:themeColor="background1"/>
          <w:sz w:val="24"/>
          <w:szCs w:val="24"/>
        </w:rPr>
      </w:pPr>
      <w:r>
        <w:rPr>
          <w:b/>
          <w:bCs/>
          <w:i/>
          <w:iCs/>
          <w:color w:val="FFFFFF" w:themeColor="background1"/>
          <w:sz w:val="24"/>
          <w:szCs w:val="24"/>
        </w:rPr>
        <w:t xml:space="preserve">est accessible depuis le lien figurant dans le chapitre  </w:t>
      </w:r>
      <w:hyperlink w:anchor="POURALLERPLUSLOIN" w:history="1">
        <w:r>
          <w:rPr>
            <w:rStyle w:val="Lienhypertexte"/>
            <w:b/>
            <w:bCs/>
            <w:i/>
            <w:iCs/>
            <w:color w:val="FFFFFF" w:themeColor="background1"/>
            <w:sz w:val="24"/>
            <w:szCs w:val="24"/>
          </w:rPr>
          <w:t>« Pour aller plus loin »</w:t>
        </w:r>
      </w:hyperlink>
    </w:p>
    <w:p>
      <w:pPr>
        <w:pStyle w:val="Commentaire"/>
        <w:spacing w:after="0"/>
        <w:jc w:val="both"/>
        <w:rPr>
          <w:sz w:val="22"/>
          <w:szCs w:val="24"/>
        </w:rPr>
      </w:pPr>
    </w:p>
    <w:p>
      <w:pPr>
        <w:rPr>
          <w:rFonts w:asciiTheme="minorHAnsi" w:eastAsia="Times New Roman" w:hAnsiTheme="minorHAnsi" w:cs="Times New Roman"/>
          <w:sz w:val="22"/>
          <w:szCs w:val="24"/>
        </w:rPr>
      </w:pPr>
      <w:r>
        <w:rPr>
          <w:sz w:val="22"/>
          <w:szCs w:val="24"/>
        </w:rPr>
        <w:br w:type="page"/>
      </w:r>
      <w:r>
        <w:rPr>
          <w:sz w:val="22"/>
          <w:szCs w:val="24"/>
        </w:rPr>
        <w:lastRenderedPageBreak/>
        <w:t xml:space="preserve"> </w:t>
      </w:r>
    </w:p>
    <w:bookmarkStart w:id="12" w:name="_Toc225170926"/>
    <w:p>
      <w:pPr>
        <w:pStyle w:val="Style2"/>
        <w:ind w:left="426"/>
      </w:pPr>
      <w:r>
        <w:rPr>
          <w:noProof/>
        </w:rPr>
        <mc:AlternateContent>
          <mc:Choice Requires="wps">
            <w:drawing>
              <wp:anchor distT="0" distB="0" distL="114300" distR="114300" simplePos="0" relativeHeight="252242944" behindDoc="0" locked="0" layoutInCell="1" allowOverlap="1">
                <wp:simplePos x="0" y="0"/>
                <wp:positionH relativeFrom="column">
                  <wp:posOffset>-310514</wp:posOffset>
                </wp:positionH>
                <wp:positionV relativeFrom="paragraph">
                  <wp:posOffset>50165</wp:posOffset>
                </wp:positionV>
                <wp:extent cx="550684" cy="576000"/>
                <wp:effectExtent l="19050" t="0" r="1905" b="33655"/>
                <wp:wrapNone/>
                <wp:docPr id="3" name="Larm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a:effectLst/>
                      </wps:spPr>
                      <wps:bodyPr/>
                    </wps:wsp>
                  </a:graphicData>
                </a:graphic>
                <wp14:sizeRelH relativeFrom="margin">
                  <wp14:pctWidth>0</wp14:pctWidth>
                </wp14:sizeRelH>
                <wp14:sizeRelV relativeFrom="margin">
                  <wp14:pctHeight>0</wp14:pctHeight>
                </wp14:sizeRelV>
              </wp:anchor>
            </w:drawing>
          </mc:Choice>
          <mc:Fallback>
            <w:pict>
              <v:shape id="Larme 3" o:spid="_x0000_s1026" alt="&quot;&quot;" style="position:absolute;margin-left:-24.45pt;margin-top:3.95pt;width:43.35pt;height:45.35pt;rotation:11557929fd;z-index:2522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 xml:space="preserve">La </w:t>
      </w:r>
      <w:r>
        <w:rPr>
          <w:bCs/>
        </w:rPr>
        <w:t>position statutaire</w:t>
      </w:r>
      <w:bookmarkEnd w:id="12"/>
      <w:r>
        <w:t xml:space="preserve"> </w:t>
      </w:r>
    </w:p>
    <w:p>
      <w:pPr>
        <w:jc w:val="both"/>
        <w:rPr>
          <w:rFonts w:cs="Times New Roman"/>
          <w:b/>
          <w:bCs/>
          <w:sz w:val="24"/>
          <w:szCs w:val="24"/>
          <w:highlight w:val="yellow"/>
        </w:rPr>
      </w:pPr>
    </w:p>
    <w:p>
      <w:pPr>
        <w:spacing w:after="0" w:line="240" w:lineRule="auto"/>
        <w:jc w:val="both"/>
        <w:rPr>
          <w:sz w:val="22"/>
        </w:rPr>
      </w:pPr>
      <w:hyperlink r:id="rId18" w:anchor="LEGISCTA000044425828" w:history="1">
        <w:r>
          <w:rPr>
            <w:rStyle w:val="Lienhypertexte"/>
            <w:sz w:val="22"/>
          </w:rPr>
          <w:t>L’article L511-1</w:t>
        </w:r>
      </w:hyperlink>
      <w:r>
        <w:rPr>
          <w:sz w:val="22"/>
        </w:rPr>
        <w:t xml:space="preserve"> du CGFP porte à 4 le nombre de positions statutaires possibles pour le fonctionnaire. Ces positions sont de deux types, celles :</w:t>
      </w:r>
    </w:p>
    <w:p>
      <w:pPr>
        <w:pStyle w:val="Paragraphedeliste"/>
        <w:numPr>
          <w:ilvl w:val="0"/>
          <w:numId w:val="3"/>
        </w:numPr>
        <w:spacing w:after="0"/>
        <w:jc w:val="both"/>
        <w:rPr>
          <w:sz w:val="22"/>
        </w:rPr>
      </w:pPr>
      <w:r>
        <w:rPr>
          <w:sz w:val="22"/>
        </w:rPr>
        <w:t xml:space="preserve">Donnant lieu à rémunération : la position d’activité (notamment la mise à disposition) et le détachement </w:t>
      </w:r>
    </w:p>
    <w:p>
      <w:pPr>
        <w:pStyle w:val="Paragraphedeliste"/>
        <w:numPr>
          <w:ilvl w:val="0"/>
          <w:numId w:val="3"/>
        </w:numPr>
        <w:spacing w:after="0"/>
        <w:jc w:val="both"/>
        <w:rPr>
          <w:sz w:val="22"/>
        </w:rPr>
      </w:pPr>
      <w:r>
        <w:rPr>
          <w:sz w:val="22"/>
        </w:rPr>
        <w:t>Ne donnant pas lieu à rémunération : la disponibilité et le congé parental</w:t>
      </w:r>
    </w:p>
    <w:p>
      <w:pPr>
        <w:spacing w:after="0"/>
        <w:jc w:val="both"/>
        <w:rPr>
          <w:sz w:val="22"/>
        </w:rPr>
      </w:pPr>
    </w:p>
    <w:p>
      <w:pPr>
        <w:spacing w:after="0"/>
        <w:jc w:val="both"/>
        <w:rPr>
          <w:sz w:val="22"/>
        </w:rPr>
      </w:pPr>
    </w:p>
    <w:p>
      <w:pPr>
        <w:spacing w:after="0"/>
        <w:jc w:val="both"/>
        <w:rPr>
          <w:sz w:val="22"/>
        </w:rPr>
      </w:pPr>
    </w:p>
    <w:p>
      <w:pPr>
        <w:spacing w:after="0"/>
        <w:jc w:val="both"/>
        <w:rPr>
          <w:sz w:val="22"/>
        </w:rPr>
      </w:pPr>
    </w:p>
    <w:p>
      <w:pPr>
        <w:spacing w:after="0"/>
        <w:jc w:val="both"/>
        <w:rPr>
          <w:sz w:val="22"/>
        </w:rPr>
      </w:pPr>
    </w:p>
    <w:p>
      <w:pPr>
        <w:spacing w:after="0"/>
        <w:jc w:val="both"/>
        <w:rPr>
          <w:sz w:val="22"/>
        </w:rPr>
      </w:pPr>
    </w:p>
    <w:p>
      <w:pPr>
        <w:spacing w:after="0"/>
        <w:jc w:val="both"/>
        <w:rPr>
          <w:sz w:val="22"/>
        </w:rPr>
      </w:pPr>
    </w:p>
    <w:p>
      <w:pPr>
        <w:spacing w:after="0"/>
        <w:jc w:val="both"/>
        <w:rPr>
          <w:sz w:val="22"/>
        </w:rPr>
      </w:pPr>
    </w:p>
    <w:p>
      <w:pPr>
        <w:spacing w:after="0"/>
        <w:jc w:val="both"/>
        <w:rPr>
          <w:sz w:val="22"/>
        </w:rPr>
      </w:pPr>
    </w:p>
    <w:p>
      <w:pPr>
        <w:spacing w:after="0"/>
        <w:jc w:val="both"/>
        <w:rPr>
          <w:sz w:val="22"/>
        </w:rPr>
      </w:pPr>
    </w:p>
    <w:p>
      <w:pPr>
        <w:spacing w:after="0"/>
        <w:jc w:val="both"/>
        <w:rPr>
          <w:sz w:val="22"/>
        </w:rPr>
      </w:pPr>
    </w:p>
    <w:p>
      <w:pPr>
        <w:spacing w:after="0"/>
        <w:jc w:val="both"/>
        <w:rPr>
          <w:sz w:val="22"/>
        </w:rPr>
      </w:pPr>
    </w:p>
    <w:p>
      <w:pPr>
        <w:spacing w:after="0"/>
        <w:jc w:val="both"/>
        <w:rPr>
          <w:sz w:val="22"/>
        </w:rPr>
      </w:pPr>
    </w:p>
    <w:bookmarkStart w:id="13" w:name="_Toc225170927"/>
    <w:p>
      <w:pPr>
        <w:pStyle w:val="Style2"/>
        <w:ind w:left="360"/>
      </w:pPr>
      <w:r>
        <w:rPr>
          <w:noProof/>
        </w:rPr>
        <mc:AlternateContent>
          <mc:Choice Requires="wps">
            <w:drawing>
              <wp:anchor distT="0" distB="0" distL="114300" distR="114300" simplePos="0" relativeHeight="252244992" behindDoc="0" locked="0" layoutInCell="1" allowOverlap="1">
                <wp:simplePos x="0" y="0"/>
                <wp:positionH relativeFrom="column">
                  <wp:posOffset>-338455</wp:posOffset>
                </wp:positionH>
                <wp:positionV relativeFrom="paragraph">
                  <wp:posOffset>50165</wp:posOffset>
                </wp:positionV>
                <wp:extent cx="550684" cy="576000"/>
                <wp:effectExtent l="19050" t="0" r="1905" b="14605"/>
                <wp:wrapNone/>
                <wp:docPr id="36" name="Larm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36" o:spid="_x0000_s1026" alt="&quot;&quot;" style="position:absolute;margin-left:-26.65pt;margin-top:3.95pt;width:43.35pt;height:45.35pt;rotation:180;z-index:2522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Les codes populations</w:t>
      </w:r>
      <w:bookmarkEnd w:id="13"/>
      <w:r>
        <w:t xml:space="preserve"> </w:t>
      </w:r>
    </w:p>
    <w:p>
      <w:pPr>
        <w:spacing w:after="0"/>
        <w:jc w:val="both"/>
        <w:rPr>
          <w:sz w:val="22"/>
        </w:rPr>
      </w:pPr>
    </w:p>
    <w:p>
      <w:pPr>
        <w:spacing w:after="0"/>
        <w:rPr>
          <w:sz w:val="22"/>
          <w:szCs w:val="24"/>
          <w:highlight w:val="yellow"/>
        </w:rPr>
      </w:pPr>
    </w:p>
    <w:p>
      <w:pPr>
        <w:spacing w:after="0"/>
        <w:rPr>
          <w:sz w:val="22"/>
          <w:szCs w:val="24"/>
        </w:rPr>
      </w:pPr>
      <w:r>
        <w:rPr>
          <w:sz w:val="22"/>
          <w:szCs w:val="24"/>
        </w:rPr>
        <w:t>Les codes populations sont décrits dans la nomenclature Noyau RH-FPE</w:t>
      </w:r>
    </w:p>
    <w:p>
      <w:pPr>
        <w:spacing w:after="0"/>
        <w:jc w:val="both"/>
        <w:rPr>
          <w:sz w:val="22"/>
          <w:szCs w:val="24"/>
        </w:rPr>
      </w:pPr>
    </w:p>
    <w:p>
      <w:pPr>
        <w:spacing w:after="0"/>
        <w:jc w:val="both"/>
        <w:rPr>
          <w:sz w:val="22"/>
          <w:szCs w:val="24"/>
        </w:rPr>
      </w:pPr>
    </w:p>
    <w:p>
      <w:pPr>
        <w:spacing w:after="0"/>
        <w:jc w:val="both"/>
        <w:rPr>
          <w:sz w:val="22"/>
          <w:szCs w:val="24"/>
        </w:rPr>
      </w:pPr>
    </w:p>
    <w:p>
      <w:pPr>
        <w:pStyle w:val="Paragraphedeliste"/>
        <w:shd w:val="clear" w:color="auto" w:fill="91AE4F"/>
        <w:ind w:left="0"/>
        <w:jc w:val="center"/>
        <w:rPr>
          <w:b/>
          <w:bCs/>
          <w:i/>
          <w:iCs/>
          <w:color w:val="FFFFFF" w:themeColor="background1"/>
          <w:sz w:val="24"/>
          <w:szCs w:val="24"/>
        </w:rPr>
      </w:pPr>
      <w:bookmarkStart w:id="14" w:name="_Hlk222914744"/>
      <w:r>
        <w:rPr>
          <w:b/>
          <w:bCs/>
          <w:i/>
          <w:iCs/>
          <w:color w:val="FFFFFF" w:themeColor="background1"/>
          <w:sz w:val="24"/>
          <w:szCs w:val="24"/>
        </w:rPr>
        <w:t xml:space="preserve">La Nomenclature Populations, </w:t>
      </w:r>
      <w:bookmarkEnd w:id="14"/>
      <w:r>
        <w:rPr>
          <w:b/>
          <w:bCs/>
          <w:i/>
          <w:iCs/>
          <w:color w:val="FFFFFF" w:themeColor="background1"/>
          <w:sz w:val="24"/>
          <w:szCs w:val="24"/>
        </w:rPr>
        <w:t>identifiant l’ensemble des codes populations du Noyau RH-FPE,</w:t>
      </w:r>
    </w:p>
    <w:p>
      <w:pPr>
        <w:pStyle w:val="Paragraphedeliste"/>
        <w:shd w:val="clear" w:color="auto" w:fill="91AE4F"/>
        <w:ind w:left="0"/>
        <w:jc w:val="center"/>
        <w:rPr>
          <w:b/>
          <w:bCs/>
          <w:i/>
          <w:iCs/>
          <w:color w:val="FFFFFF" w:themeColor="background1"/>
          <w:sz w:val="24"/>
          <w:szCs w:val="24"/>
        </w:rPr>
      </w:pPr>
      <w:bookmarkStart w:id="15" w:name="_Hlk222997066"/>
      <w:r>
        <w:rPr>
          <w:b/>
          <w:bCs/>
          <w:i/>
          <w:iCs/>
          <w:color w:val="FFFFFF" w:themeColor="background1"/>
          <w:sz w:val="24"/>
          <w:szCs w:val="24"/>
        </w:rPr>
        <w:t xml:space="preserve">est accessible depuis le lien figurant dans le chapitre  </w:t>
      </w:r>
      <w:hyperlink w:anchor="POURALLERPLUSLOIN" w:history="1">
        <w:r>
          <w:rPr>
            <w:rStyle w:val="Lienhypertexte"/>
            <w:b/>
            <w:bCs/>
            <w:i/>
            <w:iCs/>
            <w:color w:val="FFFFFF" w:themeColor="background1"/>
            <w:sz w:val="24"/>
            <w:szCs w:val="24"/>
          </w:rPr>
          <w:t>« Pour aller plus loin »</w:t>
        </w:r>
        <w:bookmarkEnd w:id="15"/>
      </w:hyperlink>
    </w:p>
    <w:p/>
    <w:p>
      <w:pPr>
        <w:rPr>
          <w:sz w:val="22"/>
          <w:szCs w:val="24"/>
        </w:rPr>
      </w:pPr>
    </w:p>
    <w:p>
      <w:pPr>
        <w:rPr>
          <w:sz w:val="22"/>
          <w:szCs w:val="24"/>
        </w:rPr>
      </w:pPr>
    </w:p>
    <w:p>
      <w:pPr>
        <w:tabs>
          <w:tab w:val="left" w:pos="1935"/>
        </w:tabs>
        <w:rPr>
          <w:sz w:val="22"/>
          <w:szCs w:val="24"/>
        </w:rPr>
      </w:pPr>
      <w:r>
        <w:rPr>
          <w:sz w:val="22"/>
          <w:szCs w:val="24"/>
        </w:rPr>
        <w:tab/>
      </w:r>
      <w:r>
        <w:rPr>
          <w:sz w:val="22"/>
          <w:szCs w:val="24"/>
        </w:rPr>
        <w:br w:type="page"/>
      </w:r>
    </w:p>
    <w:bookmarkStart w:id="16" w:name="_Toc225170928"/>
    <w:p>
      <w:pPr>
        <w:pStyle w:val="Style2"/>
        <w:ind w:left="360"/>
      </w:pPr>
      <w:r>
        <w:rPr>
          <w:noProof/>
        </w:rPr>
        <w:lastRenderedPageBreak/>
        <mc:AlternateContent>
          <mc:Choice Requires="wps">
            <w:drawing>
              <wp:anchor distT="0" distB="0" distL="114300" distR="114300" simplePos="0" relativeHeight="252228608" behindDoc="0" locked="0" layoutInCell="1" allowOverlap="1">
                <wp:simplePos x="0" y="0"/>
                <wp:positionH relativeFrom="column">
                  <wp:posOffset>-338455</wp:posOffset>
                </wp:positionH>
                <wp:positionV relativeFrom="paragraph">
                  <wp:posOffset>50165</wp:posOffset>
                </wp:positionV>
                <wp:extent cx="550684" cy="576000"/>
                <wp:effectExtent l="19050" t="0" r="1905" b="14605"/>
                <wp:wrapNone/>
                <wp:docPr id="5" name="Larm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8000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5" o:spid="_x0000_s1026" alt="&quot;&quot;" style="position:absolute;margin-left:-26.65pt;margin-top:3.95pt;width:43.35pt;height:45.35pt;rotation:180;z-index:2522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L’application PAYSAGE</w:t>
      </w:r>
      <w:bookmarkEnd w:id="16"/>
      <w:r>
        <w:t xml:space="preserve"> </w:t>
      </w:r>
    </w:p>
    <w:p>
      <w:pPr>
        <w:pStyle w:val="Commentaire"/>
        <w:spacing w:after="0"/>
        <w:jc w:val="both"/>
        <w:rPr>
          <w:color w:val="5770BE"/>
        </w:rPr>
      </w:pPr>
    </w:p>
    <w:p>
      <w:pPr>
        <w:pStyle w:val="Commentaire"/>
        <w:spacing w:after="0"/>
        <w:jc w:val="both"/>
        <w:rPr>
          <w:color w:val="5770BE"/>
        </w:rPr>
      </w:pPr>
    </w:p>
    <w:p>
      <w:pPr>
        <w:pStyle w:val="Commentaire"/>
        <w:spacing w:after="0"/>
        <w:jc w:val="both"/>
        <w:rPr>
          <w:rFonts w:ascii="Marianne" w:hAnsi="Marianne"/>
          <w:sz w:val="22"/>
          <w:szCs w:val="24"/>
        </w:rPr>
      </w:pPr>
      <w:r>
        <w:rPr>
          <w:rFonts w:ascii="Marianne" w:hAnsi="Marianne"/>
          <w:sz w:val="22"/>
          <w:szCs w:val="24"/>
        </w:rPr>
        <w:t>L’application PAYSAGE de la DGFiP,</w:t>
      </w:r>
      <w:r>
        <w:rPr>
          <w:sz w:val="22"/>
          <w:szCs w:val="24"/>
        </w:rPr>
        <w:t xml:space="preserve"> </w:t>
      </w:r>
      <w:r>
        <w:rPr>
          <w:rFonts w:ascii="Marianne" w:hAnsi="Marianne"/>
          <w:sz w:val="22"/>
          <w:szCs w:val="24"/>
        </w:rPr>
        <w:t>« PAYe Sécurisée des AGents de l’Etat », permet la liquidation de la paie sans ordonnancement préalable (PSOP)</w:t>
      </w:r>
      <w:r>
        <w:t xml:space="preserve"> </w:t>
      </w:r>
      <w:r>
        <w:rPr>
          <w:rFonts w:ascii="Marianne" w:hAnsi="Marianne"/>
          <w:sz w:val="22"/>
          <w:szCs w:val="24"/>
        </w:rPr>
        <w:t>et la rémunération mensuelle de plus de deux millions d’agents de l’État ainsi que d’’environ 300 000 agents d’établissements publics, du budget annexe de l’aviation civile et des universités, rémunérés dans le cadre de conventions de paye à façon conclues par chacun des employeurs avec la direction générale des Finances publiques.</w:t>
      </w:r>
    </w:p>
    <w:p>
      <w:pPr>
        <w:pStyle w:val="Commentaire"/>
        <w:spacing w:after="0"/>
        <w:jc w:val="both"/>
        <w:rPr>
          <w:sz w:val="22"/>
          <w:szCs w:val="24"/>
        </w:rPr>
      </w:pPr>
    </w:p>
    <w:p>
      <w:pPr>
        <w:jc w:val="both"/>
        <w:rPr>
          <w:sz w:val="22"/>
          <w:szCs w:val="24"/>
        </w:rPr>
      </w:pPr>
      <w:r>
        <w:rPr>
          <w:sz w:val="22"/>
          <w:szCs w:val="24"/>
        </w:rPr>
        <w:t xml:space="preserve">L’application PAYSAGE traite à cet effet les différents mouvements de paye adressés par les SIRH des employeurs pour calculer et liquider la rémunération globale (Traitement brut + régime indemnitaire). </w:t>
      </w:r>
    </w:p>
    <w:p>
      <w:pPr>
        <w:jc w:val="both"/>
        <w:rPr>
          <w:sz w:val="22"/>
          <w:szCs w:val="24"/>
        </w:rPr>
      </w:pPr>
      <w:r>
        <w:rPr>
          <w:sz w:val="22"/>
          <w:szCs w:val="24"/>
        </w:rPr>
        <w:t>Toutes les informations PAYSAGE sont communes aux chapitres relatifs au traitement des fonctionnaires et au salaire des contractuels de droit public.</w:t>
      </w:r>
    </w:p>
    <w:p>
      <w:pPr>
        <w:jc w:val="both"/>
        <w:rPr>
          <w:sz w:val="22"/>
          <w:szCs w:val="24"/>
        </w:rPr>
      </w:pPr>
    </w:p>
    <w:p>
      <w:pPr>
        <w:jc w:val="center"/>
        <w:rPr>
          <w:sz w:val="22"/>
          <w:szCs w:val="24"/>
        </w:rPr>
      </w:pPr>
      <w:r>
        <w:t>*******************************</w:t>
      </w:r>
    </w:p>
    <w:p>
      <w:pPr>
        <w:spacing w:after="0"/>
        <w:jc w:val="both"/>
        <w:rPr>
          <w:b/>
          <w:bCs/>
          <w:sz w:val="22"/>
          <w:szCs w:val="24"/>
          <w:u w:val="single"/>
        </w:rPr>
      </w:pPr>
    </w:p>
    <w:p>
      <w:pPr>
        <w:spacing w:after="0"/>
        <w:jc w:val="both"/>
        <w:rPr>
          <w:b/>
          <w:bCs/>
          <w:sz w:val="22"/>
          <w:szCs w:val="24"/>
          <w:u w:val="single"/>
        </w:rPr>
      </w:pPr>
      <w:r>
        <w:rPr>
          <w:b/>
          <w:bCs/>
          <w:sz w:val="22"/>
          <w:szCs w:val="24"/>
          <w:u w:val="single"/>
        </w:rPr>
        <w:t>Mouvements de paye :</w:t>
      </w:r>
    </w:p>
    <w:p>
      <w:pPr>
        <w:spacing w:after="0"/>
        <w:jc w:val="both"/>
        <w:rPr>
          <w:sz w:val="22"/>
          <w:szCs w:val="24"/>
        </w:rPr>
      </w:pPr>
    </w:p>
    <w:p>
      <w:pPr>
        <w:spacing w:after="0"/>
        <w:jc w:val="both"/>
        <w:rPr>
          <w:sz w:val="22"/>
          <w:szCs w:val="24"/>
        </w:rPr>
      </w:pPr>
      <w:r>
        <w:rPr>
          <w:sz w:val="22"/>
          <w:szCs w:val="24"/>
        </w:rPr>
        <w:t>La prise en charge d’un agent titulaire, nécessite d’utiliser plusieurs mouvements en paye.</w:t>
      </w:r>
    </w:p>
    <w:p>
      <w:pPr>
        <w:spacing w:after="0"/>
        <w:jc w:val="both"/>
        <w:rPr>
          <w:sz w:val="22"/>
          <w:szCs w:val="24"/>
        </w:rPr>
      </w:pPr>
      <w:r>
        <w:rPr>
          <w:sz w:val="22"/>
          <w:szCs w:val="24"/>
        </w:rPr>
        <w:t>Ces mouvements traduisent les informations saisies en gestion administrative pour chaque agent.</w:t>
      </w:r>
    </w:p>
    <w:p>
      <w:pPr>
        <w:spacing w:after="0"/>
        <w:jc w:val="both"/>
        <w:rPr>
          <w:sz w:val="22"/>
          <w:szCs w:val="24"/>
        </w:rPr>
      </w:pPr>
    </w:p>
    <w:p>
      <w:pPr>
        <w:spacing w:after="0"/>
        <w:jc w:val="both"/>
        <w:rPr>
          <w:sz w:val="22"/>
          <w:szCs w:val="24"/>
        </w:rPr>
      </w:pPr>
      <w:r>
        <w:rPr>
          <w:sz w:val="22"/>
          <w:szCs w:val="24"/>
        </w:rPr>
        <w:t>Parmi ces mouvements, les plus structurants sont :</w:t>
      </w:r>
    </w:p>
    <w:p>
      <w:pPr>
        <w:spacing w:after="0"/>
        <w:jc w:val="both"/>
        <w:rPr>
          <w:sz w:val="22"/>
          <w:szCs w:val="24"/>
        </w:rPr>
      </w:pPr>
    </w:p>
    <w:tbl>
      <w:tblPr>
        <w:tblW w:w="10055" w:type="dxa"/>
        <w:tblCellMar>
          <w:left w:w="70" w:type="dxa"/>
          <w:right w:w="70" w:type="dxa"/>
        </w:tblCellMar>
        <w:tblLook w:val="04A0" w:firstRow="1" w:lastRow="0" w:firstColumn="1" w:lastColumn="0" w:noHBand="0" w:noVBand="1"/>
      </w:tblPr>
      <w:tblGrid>
        <w:gridCol w:w="2000"/>
        <w:gridCol w:w="8055"/>
      </w:tblGrid>
      <w:tr>
        <w:trPr>
          <w:trHeight w:val="600"/>
        </w:trPr>
        <w:tc>
          <w:tcPr>
            <w:tcW w:w="2000" w:type="dxa"/>
            <w:tcBorders>
              <w:top w:val="single" w:sz="8" w:space="0" w:color="auto"/>
              <w:left w:val="single" w:sz="8" w:space="0" w:color="auto"/>
              <w:bottom w:val="single" w:sz="8" w:space="0" w:color="auto"/>
              <w:right w:val="single" w:sz="8" w:space="0" w:color="auto"/>
            </w:tcBorders>
            <w:shd w:val="clear" w:color="auto" w:fill="C5E0B3" w:themeFill="accent6" w:themeFillTint="66"/>
            <w:vAlign w:val="bottom"/>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t>CODE MOUVEMENT UTILISE</w:t>
            </w:r>
          </w:p>
        </w:tc>
        <w:tc>
          <w:tcPr>
            <w:tcW w:w="8055" w:type="dxa"/>
            <w:tcBorders>
              <w:top w:val="single" w:sz="8" w:space="0" w:color="auto"/>
              <w:left w:val="nil"/>
              <w:bottom w:val="single" w:sz="8" w:space="0" w:color="auto"/>
              <w:right w:val="single" w:sz="8" w:space="0" w:color="auto"/>
            </w:tcBorders>
            <w:shd w:val="clear" w:color="auto" w:fill="C5E0B3" w:themeFill="accent6" w:themeFillTint="66"/>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INFORMATIONS RENSEIGNEES</w:t>
            </w:r>
          </w:p>
        </w:tc>
      </w:tr>
      <w:tr>
        <w:trPr>
          <w:trHeight w:val="700"/>
        </w:trPr>
        <w:tc>
          <w:tcPr>
            <w:tcW w:w="2000" w:type="dxa"/>
            <w:tcBorders>
              <w:top w:val="nil"/>
              <w:left w:val="single" w:sz="8" w:space="0" w:color="auto"/>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01</w:t>
            </w:r>
          </w:p>
        </w:tc>
        <w:tc>
          <w:tcPr>
            <w:tcW w:w="8055" w:type="dxa"/>
            <w:tcBorders>
              <w:top w:val="nil"/>
              <w:left w:val="nil"/>
              <w:bottom w:val="single" w:sz="4" w:space="0" w:color="auto"/>
              <w:right w:val="single" w:sz="8" w:space="0" w:color="auto"/>
            </w:tcBorders>
            <w:shd w:val="clear" w:color="auto" w:fill="auto"/>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b/>
                <w:bCs/>
                <w:color w:val="000000"/>
                <w:sz w:val="22"/>
                <w:lang w:eastAsia="fr-FR"/>
              </w:rPr>
              <w:t>Le mouvement 01 :</w:t>
            </w:r>
            <w:r>
              <w:rPr>
                <w:rFonts w:ascii="Calibri" w:eastAsia="Times New Roman" w:hAnsi="Calibri" w:cs="Calibri"/>
                <w:color w:val="000000"/>
                <w:sz w:val="22"/>
                <w:lang w:eastAsia="fr-FR"/>
              </w:rPr>
              <w:t xml:space="preserve"> sert à indiquer principalement le grade, l'échelon, l'indice, le code NNE, la zone de résidence, l'affectation (département, poste…)</w:t>
            </w:r>
          </w:p>
        </w:tc>
      </w:tr>
      <w:tr>
        <w:trPr>
          <w:trHeight w:val="700"/>
        </w:trPr>
        <w:tc>
          <w:tcPr>
            <w:tcW w:w="2000" w:type="dxa"/>
            <w:tcBorders>
              <w:top w:val="nil"/>
              <w:left w:val="single" w:sz="8" w:space="0" w:color="auto"/>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02</w:t>
            </w:r>
          </w:p>
        </w:tc>
        <w:tc>
          <w:tcPr>
            <w:tcW w:w="8055" w:type="dxa"/>
            <w:tcBorders>
              <w:top w:val="nil"/>
              <w:left w:val="nil"/>
              <w:bottom w:val="single" w:sz="4" w:space="0" w:color="auto"/>
              <w:right w:val="single" w:sz="8" w:space="0" w:color="auto"/>
            </w:tcBorders>
            <w:shd w:val="clear" w:color="auto" w:fill="auto"/>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b/>
                <w:bCs/>
                <w:color w:val="000000"/>
                <w:sz w:val="22"/>
                <w:lang w:eastAsia="fr-FR"/>
              </w:rPr>
              <w:t>Le mouvement 02</w:t>
            </w:r>
            <w:r>
              <w:rPr>
                <w:rFonts w:ascii="Calibri" w:eastAsia="Times New Roman" w:hAnsi="Calibri" w:cs="Calibri"/>
                <w:color w:val="000000"/>
                <w:sz w:val="22"/>
                <w:lang w:eastAsia="fr-FR"/>
              </w:rPr>
              <w:t xml:space="preserve"> : permet, sur la base des autres mouvements de codification, la codification des éléments de rémunération dont le régime de rémunération, le profil cotisant, le SFT, la NBI, l'imputation budgétaire et la liquidation du Traitement Brut.</w:t>
            </w:r>
          </w:p>
        </w:tc>
      </w:tr>
      <w:tr>
        <w:trPr>
          <w:trHeight w:val="700"/>
        </w:trPr>
        <w:tc>
          <w:tcPr>
            <w:tcW w:w="2000" w:type="dxa"/>
            <w:tcBorders>
              <w:top w:val="nil"/>
              <w:left w:val="single" w:sz="8" w:space="0" w:color="auto"/>
              <w:bottom w:val="single" w:sz="8"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03</w:t>
            </w:r>
          </w:p>
        </w:tc>
        <w:tc>
          <w:tcPr>
            <w:tcW w:w="8055" w:type="dxa"/>
            <w:tcBorders>
              <w:top w:val="nil"/>
              <w:left w:val="nil"/>
              <w:bottom w:val="single" w:sz="8" w:space="0" w:color="auto"/>
              <w:right w:val="single" w:sz="8" w:space="0" w:color="auto"/>
            </w:tcBorders>
            <w:shd w:val="clear" w:color="auto" w:fill="auto"/>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b/>
                <w:bCs/>
                <w:color w:val="000000"/>
                <w:sz w:val="22"/>
                <w:lang w:eastAsia="fr-FR"/>
              </w:rPr>
              <w:t>Le mouvement 03 :</w:t>
            </w:r>
            <w:r>
              <w:rPr>
                <w:rFonts w:ascii="Calibri" w:eastAsia="Times New Roman" w:hAnsi="Calibri" w:cs="Calibri"/>
                <w:color w:val="000000"/>
                <w:sz w:val="22"/>
                <w:lang w:eastAsia="fr-FR"/>
              </w:rPr>
              <w:t xml:space="preserve"> permet la codification du temps partiel, du service incomplet ou de la surcotisation.</w:t>
            </w:r>
          </w:p>
        </w:tc>
      </w:tr>
    </w:tbl>
    <w:p>
      <w:pPr>
        <w:spacing w:after="0" w:line="240" w:lineRule="auto"/>
        <w:jc w:val="both"/>
        <w:rPr>
          <w:sz w:val="22"/>
          <w:szCs w:val="24"/>
        </w:rPr>
      </w:pPr>
    </w:p>
    <w:p>
      <w:pPr>
        <w:jc w:val="both"/>
        <w:rPr>
          <w:sz w:val="22"/>
          <w:szCs w:val="24"/>
        </w:rPr>
      </w:pPr>
    </w:p>
    <w:p>
      <w:pPr>
        <w:jc w:val="both"/>
        <w:rPr>
          <w:sz w:val="22"/>
          <w:szCs w:val="24"/>
        </w:rPr>
      </w:pPr>
      <w:r>
        <w:rPr>
          <w:sz w:val="22"/>
          <w:szCs w:val="24"/>
        </w:rPr>
        <w:t>La codification de la NBI se fait par mouvement 02 en complétant la zone dédiée à cette bonification du Traitement Brut.</w:t>
      </w:r>
    </w:p>
    <w:p>
      <w:pPr>
        <w:jc w:val="both"/>
        <w:rPr>
          <w:sz w:val="22"/>
          <w:szCs w:val="24"/>
        </w:rPr>
      </w:pPr>
      <w:r>
        <w:rPr>
          <w:sz w:val="22"/>
          <w:szCs w:val="24"/>
        </w:rPr>
        <w:t>La codification de l’indemnité de résidence se fait par mouvement 01 en complétant la zone dédiée à cette information.</w:t>
      </w:r>
    </w:p>
    <w:p>
      <w:pPr>
        <w:rPr>
          <w:sz w:val="22"/>
          <w:szCs w:val="24"/>
        </w:rPr>
      </w:pPr>
      <w:r>
        <w:rPr>
          <w:sz w:val="22"/>
          <w:szCs w:val="24"/>
        </w:rPr>
        <w:t>A noter que les primes et indemnités sont liquidées principalement par mouvements 22 pour les mouvements historisés et 05 ou 20 pour les mouvements non historisés.</w:t>
      </w:r>
    </w:p>
    <w:p>
      <w:pPr>
        <w:rPr>
          <w:sz w:val="22"/>
          <w:szCs w:val="24"/>
        </w:rPr>
      </w:pPr>
    </w:p>
    <w:p>
      <w:pPr>
        <w:jc w:val="center"/>
      </w:pPr>
      <w:r>
        <w:t>*******************************</w:t>
      </w:r>
    </w:p>
    <w:p>
      <w:pPr>
        <w:jc w:val="center"/>
        <w:rPr>
          <w:sz w:val="22"/>
          <w:szCs w:val="24"/>
        </w:rPr>
      </w:pPr>
    </w:p>
    <w:p>
      <w:pPr>
        <w:spacing w:after="0"/>
        <w:jc w:val="both"/>
        <w:rPr>
          <w:b/>
          <w:bCs/>
          <w:sz w:val="22"/>
          <w:szCs w:val="24"/>
          <w:u w:val="single"/>
        </w:rPr>
      </w:pPr>
      <w:r>
        <w:rPr>
          <w:b/>
          <w:bCs/>
          <w:sz w:val="22"/>
          <w:szCs w:val="24"/>
          <w:u w:val="single"/>
        </w:rPr>
        <w:lastRenderedPageBreak/>
        <w:t>Profils cotisants :</w:t>
      </w:r>
    </w:p>
    <w:p>
      <w:pPr>
        <w:spacing w:after="0"/>
        <w:rPr>
          <w:color w:val="5770BE"/>
        </w:rPr>
      </w:pPr>
    </w:p>
    <w:p>
      <w:pPr>
        <w:pStyle w:val="Commentaire"/>
        <w:spacing w:after="0"/>
        <w:jc w:val="both"/>
        <w:rPr>
          <w:rFonts w:ascii="Marianne" w:eastAsiaTheme="minorHAnsi" w:hAnsi="Marianne" w:cstheme="minorBidi"/>
          <w:sz w:val="22"/>
          <w:szCs w:val="24"/>
        </w:rPr>
      </w:pPr>
      <w:r>
        <w:rPr>
          <w:rFonts w:ascii="Marianne" w:eastAsiaTheme="minorHAnsi" w:hAnsi="Marianne" w:cstheme="minorBidi"/>
          <w:sz w:val="22"/>
          <w:szCs w:val="24"/>
        </w:rPr>
        <w:t>Le profil cotisant est une infromation obligatoire du mouvement 02 : il permet entre autre de déterminer les taux de cotisation applicable sur la rémunération de l’agent. Ce porfil cotisant est soncsituté de 3 codes :</w:t>
      </w:r>
    </w:p>
    <w:p>
      <w:pPr>
        <w:pStyle w:val="Commentaire"/>
        <w:numPr>
          <w:ilvl w:val="0"/>
          <w:numId w:val="30"/>
        </w:numPr>
        <w:spacing w:after="0"/>
        <w:jc w:val="both"/>
        <w:rPr>
          <w:rFonts w:ascii="Marianne" w:eastAsiaTheme="minorHAnsi" w:hAnsi="Marianne" w:cstheme="minorBidi"/>
          <w:sz w:val="22"/>
          <w:szCs w:val="24"/>
        </w:rPr>
      </w:pPr>
      <w:r>
        <w:rPr>
          <w:rFonts w:ascii="Marianne" w:eastAsiaTheme="minorHAnsi" w:hAnsi="Marianne" w:cstheme="minorBidi"/>
          <w:sz w:val="22"/>
          <w:szCs w:val="24"/>
        </w:rPr>
        <w:t>CODE STAT : ce code correspond au statut de l’agent (ex : fonctionnaire de l’Etat, ouvriers…)</w:t>
      </w:r>
    </w:p>
    <w:p>
      <w:pPr>
        <w:pStyle w:val="Commentaire"/>
        <w:numPr>
          <w:ilvl w:val="0"/>
          <w:numId w:val="30"/>
        </w:numPr>
        <w:spacing w:after="0"/>
        <w:jc w:val="both"/>
        <w:rPr>
          <w:rFonts w:ascii="Marianne" w:eastAsiaTheme="minorHAnsi" w:hAnsi="Marianne" w:cstheme="minorBidi"/>
          <w:sz w:val="22"/>
          <w:szCs w:val="24"/>
        </w:rPr>
      </w:pPr>
      <w:r>
        <w:rPr>
          <w:rFonts w:ascii="Marianne" w:eastAsiaTheme="minorHAnsi" w:hAnsi="Marianne" w:cstheme="minorBidi"/>
          <w:sz w:val="22"/>
          <w:szCs w:val="24"/>
        </w:rPr>
        <w:t>CODE SS : ce code correspond au régime de sécurité social auquel est soumis l’agent</w:t>
      </w:r>
    </w:p>
    <w:p>
      <w:pPr>
        <w:pStyle w:val="Commentaire"/>
        <w:numPr>
          <w:ilvl w:val="0"/>
          <w:numId w:val="30"/>
        </w:numPr>
        <w:spacing w:after="0"/>
        <w:jc w:val="both"/>
        <w:rPr>
          <w:rFonts w:ascii="Marianne" w:eastAsiaTheme="minorHAnsi" w:hAnsi="Marianne" w:cstheme="minorBidi"/>
          <w:sz w:val="22"/>
          <w:szCs w:val="24"/>
        </w:rPr>
      </w:pPr>
      <w:r>
        <w:rPr>
          <w:rFonts w:ascii="Marianne" w:eastAsiaTheme="minorHAnsi" w:hAnsi="Marianne" w:cstheme="minorBidi"/>
          <w:sz w:val="22"/>
          <w:szCs w:val="24"/>
        </w:rPr>
        <w:t>CODE RC : ce code correspond à la catégorie cotisant de l’agent dans le cas où il cotise à une retraite complémentaire</w:t>
      </w:r>
    </w:p>
    <w:p>
      <w:pPr>
        <w:pStyle w:val="Commentaire"/>
        <w:spacing w:after="0"/>
        <w:jc w:val="both"/>
        <w:rPr>
          <w:color w:val="5770BE"/>
        </w:rPr>
      </w:pPr>
    </w:p>
    <w:p>
      <w:pPr>
        <w:spacing w:after="0"/>
        <w:jc w:val="both"/>
        <w:rPr>
          <w:sz w:val="22"/>
          <w:szCs w:val="24"/>
        </w:rPr>
      </w:pPr>
      <w:r>
        <w:rPr>
          <w:sz w:val="22"/>
          <w:szCs w:val="24"/>
        </w:rPr>
        <w:t>Le profil cotisant permet d’appliquer les cotisations et taux correspondant à la situation de l’agent.</w:t>
      </w:r>
    </w:p>
    <w:p>
      <w:pPr>
        <w:spacing w:after="0"/>
        <w:jc w:val="both"/>
        <w:rPr>
          <w:sz w:val="22"/>
        </w:rPr>
      </w:pPr>
    </w:p>
    <w:p>
      <w:pPr>
        <w:spacing w:after="0"/>
        <w:jc w:val="both"/>
        <w:rPr>
          <w:rFonts w:ascii="Calibri" w:eastAsia="Times New Roman" w:hAnsi="Calibri" w:cs="Calibri"/>
          <w:color w:val="000000"/>
          <w:sz w:val="22"/>
          <w:lang w:eastAsia="fr-FR"/>
        </w:rPr>
      </w:pPr>
      <w:r>
        <w:rPr>
          <w:sz w:val="22"/>
        </w:rPr>
        <w:t xml:space="preserve">Au regard de la diversité des situations et pour connaître plus précisément le code « stat » à utiliser, vous pouvez vous reporter au </w:t>
      </w:r>
      <w:hyperlink r:id="rId19" w:history="1">
        <w:r>
          <w:rPr>
            <w:rStyle w:val="Lienhypertexte"/>
            <w:rFonts w:ascii="Calibri" w:eastAsia="Times New Roman" w:hAnsi="Calibri" w:cs="Calibri"/>
            <w:sz w:val="22"/>
            <w:lang w:eastAsia="fr-FR"/>
          </w:rPr>
          <w:t>Fichier de transcodification</w:t>
        </w:r>
      </w:hyperlink>
      <w:r>
        <w:rPr>
          <w:sz w:val="22"/>
        </w:rPr>
        <w:t xml:space="preserve"> maintenu par le CISIRH ainsi qu’au simulateur du profil cotisant qui vous permettra de</w:t>
      </w:r>
      <w:r>
        <w:rPr>
          <w:rFonts w:ascii="Calibri" w:eastAsia="Times New Roman" w:hAnsi="Calibri" w:cs="Calibri"/>
          <w:color w:val="000000"/>
          <w:sz w:val="22"/>
          <w:lang w:eastAsia="fr-FR"/>
        </w:rPr>
        <w:t xml:space="preserve"> déterminer le profil cotisant.</w:t>
      </w:r>
    </w:p>
    <w:p>
      <w:pPr>
        <w:spacing w:after="0"/>
        <w:jc w:val="both"/>
        <w:rPr>
          <w:rFonts w:eastAsia="Times New Roman" w:cs="Calibri"/>
          <w:color w:val="000000"/>
          <w:sz w:val="22"/>
          <w:lang w:eastAsia="fr-FR"/>
        </w:rPr>
      </w:pPr>
    </w:p>
    <w:p>
      <w:pPr>
        <w:spacing w:after="0"/>
        <w:jc w:val="both"/>
        <w:rPr>
          <w:sz w:val="22"/>
          <w:szCs w:val="24"/>
        </w:rPr>
      </w:pPr>
    </w:p>
    <w:p>
      <w:pPr>
        <w:pStyle w:val="Paragraphedeliste"/>
        <w:shd w:val="clear" w:color="auto" w:fill="91AE4F"/>
        <w:ind w:left="0"/>
        <w:jc w:val="center"/>
        <w:rPr>
          <w:b/>
          <w:bCs/>
          <w:color w:val="FFFFFF" w:themeColor="background1"/>
          <w:sz w:val="24"/>
          <w:szCs w:val="24"/>
        </w:rPr>
      </w:pPr>
      <w:r>
        <w:rPr>
          <w:b/>
          <w:bCs/>
          <w:i/>
          <w:iCs/>
          <w:color w:val="FFFFFF" w:themeColor="background1"/>
          <w:sz w:val="24"/>
          <w:szCs w:val="24"/>
        </w:rPr>
        <w:t>Le simulateur du profil cotisant est accessible dans la Boîte à Outils du portail BARRI</w:t>
      </w:r>
    </w:p>
    <w:p>
      <w:pPr>
        <w:pStyle w:val="Paragraphedeliste"/>
        <w:shd w:val="clear" w:color="auto" w:fill="91AE4F"/>
        <w:ind w:left="0"/>
        <w:jc w:val="center"/>
        <w:rPr>
          <w:b/>
          <w:bCs/>
          <w:i/>
          <w:iCs/>
          <w:color w:val="FFFFFF" w:themeColor="background1"/>
          <w:sz w:val="24"/>
          <w:szCs w:val="24"/>
        </w:rPr>
      </w:pPr>
      <w:r>
        <w:rPr>
          <w:b/>
          <w:bCs/>
          <w:i/>
          <w:iCs/>
          <w:color w:val="FFFFFF" w:themeColor="background1"/>
          <w:sz w:val="24"/>
          <w:szCs w:val="24"/>
        </w:rPr>
        <w:t xml:space="preserve">depuis le lien figurant dans le chapitre  </w:t>
      </w:r>
      <w:hyperlink w:anchor="POURALLERPLUSLOIN" w:history="1">
        <w:r>
          <w:rPr>
            <w:rStyle w:val="Lienhypertexte"/>
            <w:b/>
            <w:bCs/>
            <w:i/>
            <w:iCs/>
            <w:color w:val="FFFFFF" w:themeColor="background1"/>
            <w:sz w:val="24"/>
            <w:szCs w:val="24"/>
          </w:rPr>
          <w:t>« Pour aller plus loin »</w:t>
        </w:r>
      </w:hyperlink>
    </w:p>
    <w:p>
      <w:pPr>
        <w:spacing w:after="0"/>
        <w:jc w:val="both"/>
        <w:rPr>
          <w:sz w:val="22"/>
          <w:szCs w:val="24"/>
        </w:rPr>
      </w:pPr>
    </w:p>
    <w:p>
      <w:pPr>
        <w:spacing w:after="0"/>
        <w:jc w:val="both"/>
        <w:rPr>
          <w:sz w:val="22"/>
          <w:szCs w:val="24"/>
        </w:rPr>
      </w:pPr>
    </w:p>
    <w:p>
      <w:pPr>
        <w:jc w:val="both"/>
        <w:rPr>
          <w:sz w:val="22"/>
          <w:szCs w:val="24"/>
        </w:rPr>
      </w:pPr>
      <w:r>
        <w:rPr>
          <w:sz w:val="22"/>
          <w:szCs w:val="24"/>
        </w:rPr>
        <w:t>A titre d’information, quelques exemples de profils cotisants vous sont proposés :</w:t>
      </w:r>
    </w:p>
    <w:p>
      <w:pPr>
        <w:pStyle w:val="Paragraphedeliste"/>
        <w:numPr>
          <w:ilvl w:val="0"/>
          <w:numId w:val="30"/>
        </w:numPr>
        <w:spacing w:after="0"/>
        <w:jc w:val="both"/>
        <w:rPr>
          <w:sz w:val="22"/>
          <w:szCs w:val="24"/>
        </w:rPr>
      </w:pPr>
      <w:r>
        <w:rPr>
          <w:sz w:val="22"/>
          <w:szCs w:val="24"/>
        </w:rPr>
        <w:t>Le profil cotisant nécessaire pour le mouvement 02, est constitué, par exemple pour la prise en charge d’un titulaire résident en France, en activité, et ne cotisant pas à une caisse complémentaire, des 3 codes détaillés dans le tableau ci-dessous.</w:t>
      </w:r>
    </w:p>
    <w:p>
      <w:pPr>
        <w:spacing w:after="0"/>
        <w:jc w:val="both"/>
        <w:rPr>
          <w:sz w:val="22"/>
          <w:szCs w:val="24"/>
        </w:rPr>
      </w:pPr>
    </w:p>
    <w:tbl>
      <w:tblPr>
        <w:tblW w:w="10486" w:type="dxa"/>
        <w:tblCellMar>
          <w:top w:w="15" w:type="dxa"/>
          <w:left w:w="70" w:type="dxa"/>
          <w:right w:w="70" w:type="dxa"/>
        </w:tblCellMar>
        <w:tblLook w:val="04A0" w:firstRow="1" w:lastRow="0" w:firstColumn="1" w:lastColumn="0" w:noHBand="0" w:noVBand="1"/>
      </w:tblPr>
      <w:tblGrid>
        <w:gridCol w:w="2000"/>
        <w:gridCol w:w="8055"/>
        <w:gridCol w:w="431"/>
      </w:tblGrid>
      <w:tr>
        <w:trPr>
          <w:gridAfter w:val="1"/>
          <w:wAfter w:w="431" w:type="dxa"/>
          <w:trHeight w:val="300"/>
        </w:trPr>
        <w:tc>
          <w:tcPr>
            <w:tcW w:w="10055" w:type="dxa"/>
            <w:gridSpan w:val="2"/>
            <w:tcBorders>
              <w:top w:val="single" w:sz="8" w:space="0" w:color="auto"/>
              <w:left w:val="single" w:sz="8" w:space="0" w:color="auto"/>
              <w:bottom w:val="single" w:sz="8" w:space="0" w:color="auto"/>
              <w:right w:val="single" w:sz="8" w:space="0" w:color="000000"/>
            </w:tcBorders>
            <w:shd w:val="clear" w:color="auto" w:fill="C5E0B3" w:themeFill="accent6" w:themeFillTint="66"/>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PROFIL COTISANT D'UN TITULAIRE</w:t>
            </w:r>
          </w:p>
        </w:tc>
      </w:tr>
      <w:tr>
        <w:trPr>
          <w:gridAfter w:val="1"/>
          <w:wAfter w:w="431" w:type="dxa"/>
          <w:trHeight w:val="459"/>
        </w:trPr>
        <w:tc>
          <w:tcPr>
            <w:tcW w:w="2000" w:type="dxa"/>
            <w:vMerge w:val="restart"/>
            <w:tcBorders>
              <w:top w:val="nil"/>
              <w:left w:val="single" w:sz="8" w:space="0" w:color="auto"/>
              <w:bottom w:val="single" w:sz="4" w:space="0" w:color="auto"/>
              <w:right w:val="single" w:sz="4" w:space="0" w:color="auto"/>
            </w:tcBorders>
            <w:shd w:val="clear" w:color="auto" w:fill="auto"/>
            <w:vAlign w:val="center"/>
            <w:hideMark/>
          </w:tcPr>
          <w:p>
            <w:pPr>
              <w:spacing w:after="0" w:line="240" w:lineRule="auto"/>
              <w:jc w:val="center"/>
              <w:rPr>
                <w:rFonts w:ascii="Arial" w:eastAsia="Times New Roman" w:hAnsi="Arial" w:cs="Arial"/>
                <w:color w:val="666666"/>
                <w:sz w:val="16"/>
                <w:szCs w:val="16"/>
                <w:lang w:eastAsia="fr-FR"/>
              </w:rPr>
            </w:pPr>
            <w:r>
              <w:rPr>
                <w:rFonts w:ascii="Arial" w:eastAsia="Times New Roman" w:hAnsi="Arial" w:cs="Arial"/>
                <w:b/>
                <w:bCs/>
                <w:color w:val="203764"/>
                <w:sz w:val="16"/>
                <w:szCs w:val="16"/>
                <w:lang w:eastAsia="fr-FR"/>
              </w:rPr>
              <w:t>CODE STAT</w:t>
            </w:r>
            <w:r>
              <w:rPr>
                <w:rFonts w:ascii="Arial" w:eastAsia="Times New Roman" w:hAnsi="Arial" w:cs="Arial"/>
                <w:color w:val="666666"/>
                <w:sz w:val="16"/>
                <w:szCs w:val="16"/>
                <w:lang w:eastAsia="fr-FR"/>
              </w:rPr>
              <w:br/>
            </w:r>
            <w:r>
              <w:rPr>
                <w:rFonts w:ascii="Arial" w:eastAsia="Times New Roman" w:hAnsi="Arial" w:cs="Arial"/>
                <w:b/>
                <w:bCs/>
                <w:color w:val="203764"/>
                <w:sz w:val="16"/>
                <w:szCs w:val="16"/>
                <w:lang w:eastAsia="fr-FR"/>
              </w:rPr>
              <w:t>01</w:t>
            </w:r>
          </w:p>
        </w:tc>
        <w:tc>
          <w:tcPr>
            <w:tcW w:w="8055" w:type="dxa"/>
            <w:vMerge w:val="restart"/>
            <w:tcBorders>
              <w:top w:val="nil"/>
              <w:left w:val="single" w:sz="4" w:space="0" w:color="auto"/>
              <w:bottom w:val="single" w:sz="4" w:space="0" w:color="auto"/>
              <w:right w:val="single" w:sz="8" w:space="0" w:color="auto"/>
            </w:tcBorders>
            <w:shd w:val="clear" w:color="auto" w:fill="auto"/>
            <w:vAlign w:val="center"/>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t>Fonctionnaires de l'état, magistrats des ordres judiciaire, administratif et financier - Titulaire</w:t>
            </w:r>
          </w:p>
        </w:tc>
      </w:tr>
      <w:tr>
        <w:trPr>
          <w:trHeight w:val="300"/>
        </w:trPr>
        <w:tc>
          <w:tcPr>
            <w:tcW w:w="2000" w:type="dxa"/>
            <w:vMerge/>
            <w:tcBorders>
              <w:top w:val="nil"/>
              <w:left w:val="single" w:sz="8" w:space="0" w:color="auto"/>
              <w:bottom w:val="single" w:sz="4" w:space="0" w:color="auto"/>
              <w:right w:val="single" w:sz="4" w:space="0" w:color="auto"/>
            </w:tcBorders>
            <w:vAlign w:val="center"/>
            <w:hideMark/>
          </w:tcPr>
          <w:p>
            <w:pPr>
              <w:spacing w:after="0" w:line="240" w:lineRule="auto"/>
              <w:rPr>
                <w:rFonts w:ascii="Arial" w:eastAsia="Times New Roman" w:hAnsi="Arial" w:cs="Arial"/>
                <w:color w:val="666666"/>
                <w:sz w:val="16"/>
                <w:szCs w:val="16"/>
                <w:lang w:eastAsia="fr-FR"/>
              </w:rPr>
            </w:pPr>
          </w:p>
        </w:tc>
        <w:tc>
          <w:tcPr>
            <w:tcW w:w="8055" w:type="dxa"/>
            <w:vMerge/>
            <w:tcBorders>
              <w:top w:val="nil"/>
              <w:left w:val="single" w:sz="4" w:space="0" w:color="auto"/>
              <w:bottom w:val="single" w:sz="4" w:space="0" w:color="auto"/>
              <w:right w:val="single" w:sz="8" w:space="0" w:color="auto"/>
            </w:tcBorders>
            <w:vAlign w:val="center"/>
            <w:hideMark/>
          </w:tcPr>
          <w:p>
            <w:pPr>
              <w:spacing w:after="0" w:line="240" w:lineRule="auto"/>
              <w:rPr>
                <w:rFonts w:ascii="Calibri" w:eastAsia="Times New Roman" w:hAnsi="Calibri" w:cs="Calibri"/>
                <w:color w:val="000000"/>
                <w:sz w:val="22"/>
                <w:lang w:eastAsia="fr-FR"/>
              </w:rPr>
            </w:pPr>
          </w:p>
        </w:tc>
        <w:tc>
          <w:tcPr>
            <w:tcW w:w="431" w:type="dxa"/>
            <w:tcBorders>
              <w:top w:val="nil"/>
              <w:left w:val="nil"/>
              <w:bottom w:val="nil"/>
              <w:right w:val="nil"/>
            </w:tcBorders>
            <w:shd w:val="clear" w:color="auto" w:fill="auto"/>
            <w:noWrap/>
            <w:vAlign w:val="bottom"/>
            <w:hideMark/>
          </w:tcPr>
          <w:p>
            <w:pPr>
              <w:spacing w:after="0" w:line="240" w:lineRule="auto"/>
              <w:rPr>
                <w:rFonts w:ascii="Calibri" w:eastAsia="Times New Roman" w:hAnsi="Calibri" w:cs="Calibri"/>
                <w:color w:val="000000"/>
                <w:sz w:val="22"/>
                <w:lang w:eastAsia="fr-FR"/>
              </w:rPr>
            </w:pPr>
          </w:p>
        </w:tc>
      </w:tr>
      <w:tr>
        <w:trPr>
          <w:trHeight w:val="290"/>
        </w:trPr>
        <w:tc>
          <w:tcPr>
            <w:tcW w:w="2000"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pPr>
              <w:spacing w:after="0" w:line="240" w:lineRule="auto"/>
              <w:jc w:val="center"/>
              <w:rPr>
                <w:rFonts w:ascii="Arial" w:eastAsia="Times New Roman" w:hAnsi="Arial" w:cs="Arial"/>
                <w:color w:val="666666"/>
                <w:sz w:val="16"/>
                <w:szCs w:val="16"/>
                <w:lang w:eastAsia="fr-FR"/>
              </w:rPr>
            </w:pPr>
            <w:r>
              <w:rPr>
                <w:rFonts w:ascii="Arial" w:eastAsia="Times New Roman" w:hAnsi="Arial" w:cs="Arial"/>
                <w:b/>
                <w:bCs/>
                <w:color w:val="203764"/>
                <w:sz w:val="16"/>
                <w:szCs w:val="16"/>
                <w:lang w:eastAsia="fr-FR"/>
              </w:rPr>
              <w:t>CODE SS</w:t>
            </w:r>
            <w:r>
              <w:rPr>
                <w:rFonts w:ascii="Arial" w:eastAsia="Times New Roman" w:hAnsi="Arial" w:cs="Arial"/>
                <w:color w:val="666666"/>
                <w:sz w:val="16"/>
                <w:szCs w:val="16"/>
                <w:lang w:eastAsia="fr-FR"/>
              </w:rPr>
              <w:br/>
            </w:r>
            <w:r>
              <w:rPr>
                <w:rFonts w:ascii="Arial" w:eastAsia="Times New Roman" w:hAnsi="Arial" w:cs="Arial"/>
                <w:b/>
                <w:bCs/>
                <w:color w:val="203764"/>
                <w:sz w:val="16"/>
                <w:szCs w:val="16"/>
                <w:lang w:eastAsia="fr-FR"/>
              </w:rPr>
              <w:t>01</w:t>
            </w:r>
          </w:p>
        </w:tc>
        <w:tc>
          <w:tcPr>
            <w:tcW w:w="8055" w:type="dxa"/>
            <w:vMerge w:val="restart"/>
            <w:tcBorders>
              <w:top w:val="nil"/>
              <w:left w:val="single" w:sz="4" w:space="0" w:color="auto"/>
              <w:bottom w:val="single" w:sz="4" w:space="0" w:color="auto"/>
              <w:right w:val="single" w:sz="8" w:space="0" w:color="auto"/>
            </w:tcBorders>
            <w:shd w:val="clear" w:color="auto" w:fill="auto"/>
            <w:noWrap/>
            <w:vAlign w:val="center"/>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t>Titulaire résident plein traitement</w:t>
            </w:r>
          </w:p>
        </w:tc>
        <w:tc>
          <w:tcPr>
            <w:tcW w:w="431" w:type="dxa"/>
            <w:vAlign w:val="center"/>
            <w:hideMark/>
          </w:tcPr>
          <w:p>
            <w:pPr>
              <w:spacing w:after="0" w:line="240" w:lineRule="auto"/>
              <w:rPr>
                <w:rFonts w:ascii="Times New Roman" w:eastAsia="Times New Roman" w:hAnsi="Times New Roman" w:cs="Times New Roman"/>
                <w:szCs w:val="20"/>
                <w:lang w:eastAsia="fr-FR"/>
              </w:rPr>
            </w:pPr>
          </w:p>
        </w:tc>
      </w:tr>
      <w:tr>
        <w:trPr>
          <w:trHeight w:val="290"/>
        </w:trPr>
        <w:tc>
          <w:tcPr>
            <w:tcW w:w="2000" w:type="dxa"/>
            <w:vMerge/>
            <w:tcBorders>
              <w:top w:val="single" w:sz="8" w:space="0" w:color="auto"/>
              <w:left w:val="single" w:sz="8" w:space="0" w:color="auto"/>
              <w:bottom w:val="single" w:sz="4" w:space="0" w:color="auto"/>
              <w:right w:val="single" w:sz="4" w:space="0" w:color="auto"/>
            </w:tcBorders>
            <w:vAlign w:val="center"/>
            <w:hideMark/>
          </w:tcPr>
          <w:p>
            <w:pPr>
              <w:spacing w:after="0" w:line="240" w:lineRule="auto"/>
              <w:rPr>
                <w:rFonts w:ascii="Arial" w:eastAsia="Times New Roman" w:hAnsi="Arial" w:cs="Arial"/>
                <w:color w:val="666666"/>
                <w:sz w:val="16"/>
                <w:szCs w:val="16"/>
                <w:lang w:eastAsia="fr-FR"/>
              </w:rPr>
            </w:pPr>
          </w:p>
        </w:tc>
        <w:tc>
          <w:tcPr>
            <w:tcW w:w="8055" w:type="dxa"/>
            <w:vMerge/>
            <w:tcBorders>
              <w:top w:val="nil"/>
              <w:left w:val="single" w:sz="4" w:space="0" w:color="auto"/>
              <w:bottom w:val="single" w:sz="4" w:space="0" w:color="auto"/>
              <w:right w:val="single" w:sz="8" w:space="0" w:color="auto"/>
            </w:tcBorders>
            <w:vAlign w:val="center"/>
            <w:hideMark/>
          </w:tcPr>
          <w:p>
            <w:pPr>
              <w:spacing w:after="0" w:line="240" w:lineRule="auto"/>
              <w:rPr>
                <w:rFonts w:ascii="Calibri" w:eastAsia="Times New Roman" w:hAnsi="Calibri" w:cs="Calibri"/>
                <w:color w:val="000000"/>
                <w:sz w:val="22"/>
                <w:lang w:eastAsia="fr-FR"/>
              </w:rPr>
            </w:pPr>
          </w:p>
        </w:tc>
        <w:tc>
          <w:tcPr>
            <w:tcW w:w="431" w:type="dxa"/>
            <w:tcBorders>
              <w:top w:val="nil"/>
              <w:left w:val="nil"/>
              <w:bottom w:val="nil"/>
              <w:right w:val="nil"/>
            </w:tcBorders>
            <w:shd w:val="clear" w:color="auto" w:fill="auto"/>
            <w:noWrap/>
            <w:vAlign w:val="bottom"/>
            <w:hideMark/>
          </w:tcPr>
          <w:p>
            <w:pPr>
              <w:spacing w:after="0" w:line="240" w:lineRule="auto"/>
              <w:rPr>
                <w:rFonts w:ascii="Calibri" w:eastAsia="Times New Roman" w:hAnsi="Calibri" w:cs="Calibri"/>
                <w:color w:val="000000"/>
                <w:sz w:val="22"/>
                <w:lang w:eastAsia="fr-FR"/>
              </w:rPr>
            </w:pPr>
          </w:p>
        </w:tc>
      </w:tr>
      <w:tr>
        <w:trPr>
          <w:trHeight w:val="290"/>
        </w:trPr>
        <w:tc>
          <w:tcPr>
            <w:tcW w:w="2000" w:type="dxa"/>
            <w:tcBorders>
              <w:top w:val="nil"/>
              <w:left w:val="single" w:sz="8" w:space="0" w:color="auto"/>
              <w:bottom w:val="single" w:sz="8" w:space="0" w:color="000000"/>
              <w:right w:val="single" w:sz="4" w:space="0" w:color="auto"/>
            </w:tcBorders>
            <w:shd w:val="clear" w:color="auto" w:fill="auto"/>
            <w:vAlign w:val="center"/>
            <w:hideMark/>
          </w:tcPr>
          <w:p>
            <w:pPr>
              <w:spacing w:after="0" w:line="240" w:lineRule="auto"/>
              <w:jc w:val="center"/>
              <w:rPr>
                <w:rFonts w:ascii="Arial" w:eastAsia="Times New Roman" w:hAnsi="Arial" w:cs="Arial"/>
                <w:color w:val="666666"/>
                <w:sz w:val="16"/>
                <w:szCs w:val="16"/>
                <w:lang w:eastAsia="fr-FR"/>
              </w:rPr>
            </w:pPr>
            <w:r>
              <w:rPr>
                <w:rFonts w:ascii="Arial" w:eastAsia="Times New Roman" w:hAnsi="Arial" w:cs="Arial"/>
                <w:b/>
                <w:bCs/>
                <w:color w:val="203764"/>
                <w:sz w:val="16"/>
                <w:szCs w:val="16"/>
                <w:lang w:eastAsia="fr-FR"/>
              </w:rPr>
              <w:t>CODE RC</w:t>
            </w:r>
            <w:r>
              <w:rPr>
                <w:rFonts w:ascii="Arial" w:eastAsia="Times New Roman" w:hAnsi="Arial" w:cs="Arial"/>
                <w:color w:val="666666"/>
                <w:sz w:val="16"/>
                <w:szCs w:val="16"/>
                <w:lang w:eastAsia="fr-FR"/>
              </w:rPr>
              <w:br/>
            </w:r>
            <w:r>
              <w:rPr>
                <w:rFonts w:ascii="Arial" w:eastAsia="Times New Roman" w:hAnsi="Arial" w:cs="Arial"/>
                <w:b/>
                <w:bCs/>
                <w:color w:val="203764"/>
                <w:sz w:val="16"/>
                <w:szCs w:val="16"/>
                <w:lang w:eastAsia="fr-FR"/>
              </w:rPr>
              <w:t>00</w:t>
            </w:r>
          </w:p>
        </w:tc>
        <w:tc>
          <w:tcPr>
            <w:tcW w:w="8055" w:type="dxa"/>
            <w:tcBorders>
              <w:top w:val="nil"/>
              <w:left w:val="single" w:sz="4" w:space="0" w:color="auto"/>
              <w:bottom w:val="single" w:sz="8" w:space="0" w:color="000000"/>
              <w:right w:val="single" w:sz="8" w:space="0" w:color="auto"/>
            </w:tcBorders>
            <w:shd w:val="clear" w:color="auto" w:fill="auto"/>
            <w:noWrap/>
            <w:vAlign w:val="center"/>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t>Non cotisant</w:t>
            </w:r>
          </w:p>
        </w:tc>
        <w:tc>
          <w:tcPr>
            <w:tcW w:w="431" w:type="dxa"/>
            <w:vAlign w:val="center"/>
            <w:hideMark/>
          </w:tcPr>
          <w:p>
            <w:pPr>
              <w:spacing w:after="0" w:line="240" w:lineRule="auto"/>
              <w:rPr>
                <w:rFonts w:ascii="Times New Roman" w:eastAsia="Times New Roman" w:hAnsi="Times New Roman" w:cs="Times New Roman"/>
                <w:szCs w:val="20"/>
                <w:lang w:eastAsia="fr-FR"/>
              </w:rPr>
            </w:pPr>
          </w:p>
        </w:tc>
      </w:tr>
    </w:tbl>
    <w:p>
      <w:pPr>
        <w:jc w:val="both"/>
        <w:rPr>
          <w:sz w:val="22"/>
          <w:szCs w:val="24"/>
        </w:rPr>
      </w:pPr>
    </w:p>
    <w:p>
      <w:pPr>
        <w:pStyle w:val="Paragraphedeliste"/>
        <w:numPr>
          <w:ilvl w:val="0"/>
          <w:numId w:val="30"/>
        </w:numPr>
        <w:spacing w:after="0"/>
        <w:jc w:val="both"/>
        <w:rPr>
          <w:sz w:val="22"/>
          <w:szCs w:val="24"/>
        </w:rPr>
      </w:pPr>
      <w:r>
        <w:rPr>
          <w:sz w:val="22"/>
          <w:szCs w:val="24"/>
        </w:rPr>
        <w:t>Le profil cotisant nécessaire pour le mouvement 02, est constitué, par exemple pour la prise en charge d’un contractuel en CDI résident en France et en activité, des 3 codes détaillés dans le tableau ci-dessous.</w:t>
      </w:r>
    </w:p>
    <w:p>
      <w:pPr>
        <w:spacing w:after="0"/>
        <w:jc w:val="both"/>
        <w:rPr>
          <w:sz w:val="22"/>
          <w:szCs w:val="24"/>
        </w:rPr>
      </w:pPr>
    </w:p>
    <w:tbl>
      <w:tblPr>
        <w:tblW w:w="10486" w:type="dxa"/>
        <w:tblCellMar>
          <w:top w:w="15" w:type="dxa"/>
          <w:left w:w="70" w:type="dxa"/>
          <w:right w:w="70" w:type="dxa"/>
        </w:tblCellMar>
        <w:tblLook w:val="04A0" w:firstRow="1" w:lastRow="0" w:firstColumn="1" w:lastColumn="0" w:noHBand="0" w:noVBand="1"/>
      </w:tblPr>
      <w:tblGrid>
        <w:gridCol w:w="2000"/>
        <w:gridCol w:w="8055"/>
        <w:gridCol w:w="431"/>
      </w:tblGrid>
      <w:tr>
        <w:trPr>
          <w:gridAfter w:val="1"/>
          <w:wAfter w:w="431" w:type="dxa"/>
          <w:trHeight w:val="300"/>
        </w:trPr>
        <w:tc>
          <w:tcPr>
            <w:tcW w:w="10055" w:type="dxa"/>
            <w:gridSpan w:val="2"/>
            <w:tcBorders>
              <w:top w:val="single" w:sz="8" w:space="0" w:color="auto"/>
              <w:left w:val="single" w:sz="8" w:space="0" w:color="auto"/>
              <w:bottom w:val="single" w:sz="8" w:space="0" w:color="auto"/>
              <w:right w:val="single" w:sz="8" w:space="0" w:color="000000"/>
            </w:tcBorders>
            <w:shd w:val="clear" w:color="auto" w:fill="C5E0B3" w:themeFill="accent6" w:themeFillTint="66"/>
            <w:noWrap/>
            <w:vAlign w:val="center"/>
            <w:hideMark/>
          </w:tcPr>
          <w:p>
            <w:pPr>
              <w:spacing w:after="0" w:line="240" w:lineRule="auto"/>
              <w:jc w:val="center"/>
              <w:rPr>
                <w:rFonts w:ascii="Calibri" w:eastAsia="Times New Roman" w:hAnsi="Calibri" w:cs="Calibri"/>
                <w:color w:val="000000"/>
                <w:sz w:val="22"/>
                <w:lang w:eastAsia="fr-FR"/>
              </w:rPr>
            </w:pPr>
            <w:bookmarkStart w:id="17" w:name="_Hlk223344428"/>
            <w:bookmarkStart w:id="18" w:name="_Hlk223344443"/>
            <w:r>
              <w:rPr>
                <w:rFonts w:ascii="Calibri" w:eastAsia="Times New Roman" w:hAnsi="Calibri" w:cs="Calibri"/>
                <w:color w:val="000000"/>
                <w:sz w:val="22"/>
                <w:lang w:eastAsia="fr-FR"/>
              </w:rPr>
              <w:t>PROFIL COTISANT D'UN NON TITULAIRE</w:t>
            </w:r>
          </w:p>
        </w:tc>
      </w:tr>
      <w:tr>
        <w:trPr>
          <w:gridAfter w:val="1"/>
          <w:wAfter w:w="431" w:type="dxa"/>
          <w:trHeight w:val="459"/>
        </w:trPr>
        <w:tc>
          <w:tcPr>
            <w:tcW w:w="2000" w:type="dxa"/>
            <w:vMerge w:val="restart"/>
            <w:tcBorders>
              <w:top w:val="nil"/>
              <w:left w:val="single" w:sz="8" w:space="0" w:color="auto"/>
              <w:bottom w:val="single" w:sz="4" w:space="0" w:color="auto"/>
              <w:right w:val="single" w:sz="4" w:space="0" w:color="auto"/>
            </w:tcBorders>
            <w:shd w:val="clear" w:color="auto" w:fill="auto"/>
            <w:vAlign w:val="center"/>
            <w:hideMark/>
          </w:tcPr>
          <w:p>
            <w:pPr>
              <w:spacing w:after="0" w:line="240" w:lineRule="auto"/>
              <w:jc w:val="center"/>
              <w:rPr>
                <w:rFonts w:ascii="Arial" w:eastAsia="Times New Roman" w:hAnsi="Arial" w:cs="Arial"/>
                <w:color w:val="666666"/>
                <w:sz w:val="16"/>
                <w:szCs w:val="16"/>
                <w:lang w:eastAsia="fr-FR"/>
              </w:rPr>
            </w:pPr>
            <w:r>
              <w:rPr>
                <w:rFonts w:ascii="Arial" w:eastAsia="Times New Roman" w:hAnsi="Arial" w:cs="Arial"/>
                <w:b/>
                <w:bCs/>
                <w:color w:val="203764"/>
                <w:sz w:val="16"/>
                <w:szCs w:val="16"/>
                <w:lang w:eastAsia="fr-FR"/>
              </w:rPr>
              <w:t>CODE STAT</w:t>
            </w:r>
            <w:r>
              <w:rPr>
                <w:rFonts w:ascii="Arial" w:eastAsia="Times New Roman" w:hAnsi="Arial" w:cs="Arial"/>
                <w:color w:val="666666"/>
                <w:sz w:val="16"/>
                <w:szCs w:val="16"/>
                <w:lang w:eastAsia="fr-FR"/>
              </w:rPr>
              <w:br/>
              <w:t>3P</w:t>
            </w:r>
          </w:p>
        </w:tc>
        <w:tc>
          <w:tcPr>
            <w:tcW w:w="8055" w:type="dxa"/>
            <w:vMerge w:val="restart"/>
            <w:tcBorders>
              <w:top w:val="nil"/>
              <w:left w:val="single" w:sz="4" w:space="0" w:color="auto"/>
              <w:bottom w:val="single" w:sz="4" w:space="0" w:color="auto"/>
              <w:right w:val="single" w:sz="8" w:space="0" w:color="auto"/>
            </w:tcBorders>
            <w:shd w:val="clear" w:color="auto" w:fill="auto"/>
            <w:vAlign w:val="center"/>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t>Personnels Non titulaires CDI</w:t>
            </w:r>
          </w:p>
        </w:tc>
      </w:tr>
      <w:bookmarkEnd w:id="17"/>
      <w:tr>
        <w:trPr>
          <w:trHeight w:val="300"/>
        </w:trPr>
        <w:tc>
          <w:tcPr>
            <w:tcW w:w="2000" w:type="dxa"/>
            <w:vMerge/>
            <w:tcBorders>
              <w:top w:val="nil"/>
              <w:left w:val="single" w:sz="8" w:space="0" w:color="auto"/>
              <w:bottom w:val="single" w:sz="4" w:space="0" w:color="auto"/>
              <w:right w:val="single" w:sz="4" w:space="0" w:color="auto"/>
            </w:tcBorders>
            <w:vAlign w:val="center"/>
            <w:hideMark/>
          </w:tcPr>
          <w:p>
            <w:pPr>
              <w:spacing w:after="0" w:line="240" w:lineRule="auto"/>
              <w:rPr>
                <w:rFonts w:ascii="Arial" w:eastAsia="Times New Roman" w:hAnsi="Arial" w:cs="Arial"/>
                <w:color w:val="666666"/>
                <w:sz w:val="16"/>
                <w:szCs w:val="16"/>
                <w:lang w:eastAsia="fr-FR"/>
              </w:rPr>
            </w:pPr>
          </w:p>
        </w:tc>
        <w:tc>
          <w:tcPr>
            <w:tcW w:w="8055" w:type="dxa"/>
            <w:vMerge/>
            <w:tcBorders>
              <w:top w:val="nil"/>
              <w:left w:val="single" w:sz="4" w:space="0" w:color="auto"/>
              <w:bottom w:val="single" w:sz="4" w:space="0" w:color="auto"/>
              <w:right w:val="single" w:sz="8" w:space="0" w:color="auto"/>
            </w:tcBorders>
            <w:vAlign w:val="center"/>
            <w:hideMark/>
          </w:tcPr>
          <w:p>
            <w:pPr>
              <w:spacing w:after="0" w:line="240" w:lineRule="auto"/>
              <w:rPr>
                <w:rFonts w:ascii="Calibri" w:eastAsia="Times New Roman" w:hAnsi="Calibri" w:cs="Calibri"/>
                <w:color w:val="000000"/>
                <w:sz w:val="22"/>
                <w:lang w:eastAsia="fr-FR"/>
              </w:rPr>
            </w:pPr>
          </w:p>
        </w:tc>
        <w:tc>
          <w:tcPr>
            <w:tcW w:w="431" w:type="dxa"/>
            <w:tcBorders>
              <w:top w:val="nil"/>
              <w:left w:val="nil"/>
              <w:bottom w:val="nil"/>
              <w:right w:val="nil"/>
            </w:tcBorders>
            <w:shd w:val="clear" w:color="auto" w:fill="auto"/>
            <w:noWrap/>
            <w:vAlign w:val="bottom"/>
            <w:hideMark/>
          </w:tcPr>
          <w:p>
            <w:pPr>
              <w:spacing w:after="0" w:line="240" w:lineRule="auto"/>
              <w:rPr>
                <w:rFonts w:ascii="Calibri" w:eastAsia="Times New Roman" w:hAnsi="Calibri" w:cs="Calibri"/>
                <w:color w:val="000000"/>
                <w:sz w:val="22"/>
                <w:lang w:eastAsia="fr-FR"/>
              </w:rPr>
            </w:pPr>
          </w:p>
        </w:tc>
      </w:tr>
      <w:tr>
        <w:trPr>
          <w:trHeight w:val="290"/>
        </w:trPr>
        <w:tc>
          <w:tcPr>
            <w:tcW w:w="2000"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pPr>
              <w:spacing w:after="0" w:line="240" w:lineRule="auto"/>
              <w:jc w:val="center"/>
              <w:rPr>
                <w:rFonts w:ascii="Arial" w:eastAsia="Times New Roman" w:hAnsi="Arial" w:cs="Arial"/>
                <w:color w:val="666666"/>
                <w:sz w:val="16"/>
                <w:szCs w:val="16"/>
                <w:lang w:eastAsia="fr-FR"/>
              </w:rPr>
            </w:pPr>
            <w:r>
              <w:rPr>
                <w:rFonts w:ascii="Arial" w:eastAsia="Times New Roman" w:hAnsi="Arial" w:cs="Arial"/>
                <w:b/>
                <w:bCs/>
                <w:color w:val="203764"/>
                <w:sz w:val="16"/>
                <w:szCs w:val="16"/>
                <w:lang w:eastAsia="fr-FR"/>
              </w:rPr>
              <w:t>CODE SS</w:t>
            </w:r>
            <w:r>
              <w:rPr>
                <w:rFonts w:ascii="Arial" w:eastAsia="Times New Roman" w:hAnsi="Arial" w:cs="Arial"/>
                <w:color w:val="666666"/>
                <w:sz w:val="16"/>
                <w:szCs w:val="16"/>
                <w:lang w:eastAsia="fr-FR"/>
              </w:rPr>
              <w:br/>
              <w:t>10</w:t>
            </w:r>
          </w:p>
        </w:tc>
        <w:tc>
          <w:tcPr>
            <w:tcW w:w="8055" w:type="dxa"/>
            <w:vMerge w:val="restart"/>
            <w:tcBorders>
              <w:top w:val="nil"/>
              <w:left w:val="single" w:sz="4" w:space="0" w:color="auto"/>
              <w:bottom w:val="single" w:sz="4" w:space="0" w:color="auto"/>
              <w:right w:val="single" w:sz="8" w:space="0" w:color="auto"/>
            </w:tcBorders>
            <w:shd w:val="clear" w:color="auto" w:fill="auto"/>
            <w:noWrap/>
            <w:vAlign w:val="center"/>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t xml:space="preserve">Non Titulaire Résident Permanent (sans cotisation AT) </w:t>
            </w:r>
          </w:p>
        </w:tc>
        <w:tc>
          <w:tcPr>
            <w:tcW w:w="431" w:type="dxa"/>
            <w:vAlign w:val="center"/>
            <w:hideMark/>
          </w:tcPr>
          <w:p>
            <w:pPr>
              <w:spacing w:after="0" w:line="240" w:lineRule="auto"/>
              <w:rPr>
                <w:rFonts w:ascii="Times New Roman" w:eastAsia="Times New Roman" w:hAnsi="Times New Roman" w:cs="Times New Roman"/>
                <w:szCs w:val="20"/>
                <w:lang w:eastAsia="fr-FR"/>
              </w:rPr>
            </w:pPr>
          </w:p>
        </w:tc>
      </w:tr>
      <w:tr>
        <w:trPr>
          <w:trHeight w:val="290"/>
        </w:trPr>
        <w:tc>
          <w:tcPr>
            <w:tcW w:w="2000" w:type="dxa"/>
            <w:vMerge/>
            <w:tcBorders>
              <w:top w:val="single" w:sz="8" w:space="0" w:color="auto"/>
              <w:left w:val="single" w:sz="8" w:space="0" w:color="auto"/>
              <w:bottom w:val="single" w:sz="4" w:space="0" w:color="auto"/>
              <w:right w:val="single" w:sz="4" w:space="0" w:color="auto"/>
            </w:tcBorders>
            <w:vAlign w:val="center"/>
            <w:hideMark/>
          </w:tcPr>
          <w:p>
            <w:pPr>
              <w:spacing w:after="0" w:line="240" w:lineRule="auto"/>
              <w:rPr>
                <w:rFonts w:ascii="Arial" w:eastAsia="Times New Roman" w:hAnsi="Arial" w:cs="Arial"/>
                <w:color w:val="666666"/>
                <w:sz w:val="16"/>
                <w:szCs w:val="16"/>
                <w:lang w:eastAsia="fr-FR"/>
              </w:rPr>
            </w:pPr>
          </w:p>
        </w:tc>
        <w:tc>
          <w:tcPr>
            <w:tcW w:w="8055" w:type="dxa"/>
            <w:vMerge/>
            <w:tcBorders>
              <w:top w:val="nil"/>
              <w:left w:val="single" w:sz="4" w:space="0" w:color="auto"/>
              <w:bottom w:val="single" w:sz="4" w:space="0" w:color="auto"/>
              <w:right w:val="single" w:sz="8" w:space="0" w:color="auto"/>
            </w:tcBorders>
            <w:vAlign w:val="center"/>
            <w:hideMark/>
          </w:tcPr>
          <w:p>
            <w:pPr>
              <w:spacing w:after="0" w:line="240" w:lineRule="auto"/>
              <w:rPr>
                <w:rFonts w:ascii="Calibri" w:eastAsia="Times New Roman" w:hAnsi="Calibri" w:cs="Calibri"/>
                <w:color w:val="000000"/>
                <w:sz w:val="22"/>
                <w:lang w:eastAsia="fr-FR"/>
              </w:rPr>
            </w:pPr>
          </w:p>
        </w:tc>
        <w:tc>
          <w:tcPr>
            <w:tcW w:w="431" w:type="dxa"/>
            <w:tcBorders>
              <w:top w:val="nil"/>
              <w:left w:val="nil"/>
              <w:bottom w:val="nil"/>
              <w:right w:val="nil"/>
            </w:tcBorders>
            <w:shd w:val="clear" w:color="auto" w:fill="auto"/>
            <w:noWrap/>
            <w:vAlign w:val="bottom"/>
            <w:hideMark/>
          </w:tcPr>
          <w:p>
            <w:pPr>
              <w:spacing w:after="0" w:line="240" w:lineRule="auto"/>
              <w:rPr>
                <w:rFonts w:ascii="Calibri" w:eastAsia="Times New Roman" w:hAnsi="Calibri" w:cs="Calibri"/>
                <w:color w:val="000000"/>
                <w:sz w:val="22"/>
                <w:lang w:eastAsia="fr-FR"/>
              </w:rPr>
            </w:pPr>
          </w:p>
        </w:tc>
      </w:tr>
      <w:tr>
        <w:trPr>
          <w:trHeight w:val="290"/>
        </w:trPr>
        <w:tc>
          <w:tcPr>
            <w:tcW w:w="2000" w:type="dxa"/>
            <w:tcBorders>
              <w:top w:val="nil"/>
              <w:left w:val="single" w:sz="8" w:space="0" w:color="auto"/>
              <w:bottom w:val="single" w:sz="8" w:space="0" w:color="000000"/>
              <w:right w:val="single" w:sz="4" w:space="0" w:color="auto"/>
            </w:tcBorders>
            <w:shd w:val="clear" w:color="auto" w:fill="auto"/>
            <w:vAlign w:val="center"/>
            <w:hideMark/>
          </w:tcPr>
          <w:p>
            <w:pPr>
              <w:spacing w:after="0" w:line="240" w:lineRule="auto"/>
              <w:jc w:val="center"/>
              <w:rPr>
                <w:rFonts w:ascii="Arial" w:eastAsia="Times New Roman" w:hAnsi="Arial" w:cs="Arial"/>
                <w:color w:val="666666"/>
                <w:sz w:val="16"/>
                <w:szCs w:val="16"/>
                <w:lang w:eastAsia="fr-FR"/>
              </w:rPr>
            </w:pPr>
            <w:r>
              <w:rPr>
                <w:rFonts w:ascii="Arial" w:eastAsia="Times New Roman" w:hAnsi="Arial" w:cs="Arial"/>
                <w:b/>
                <w:bCs/>
                <w:color w:val="203764"/>
                <w:sz w:val="16"/>
                <w:szCs w:val="16"/>
                <w:lang w:eastAsia="fr-FR"/>
              </w:rPr>
              <w:t>CODE RC</w:t>
            </w:r>
            <w:r>
              <w:rPr>
                <w:rFonts w:ascii="Arial" w:eastAsia="Times New Roman" w:hAnsi="Arial" w:cs="Arial"/>
                <w:color w:val="666666"/>
                <w:sz w:val="16"/>
                <w:szCs w:val="16"/>
                <w:lang w:eastAsia="fr-FR"/>
              </w:rPr>
              <w:br/>
              <w:t>10</w:t>
            </w:r>
          </w:p>
        </w:tc>
        <w:tc>
          <w:tcPr>
            <w:tcW w:w="8055" w:type="dxa"/>
            <w:tcBorders>
              <w:top w:val="nil"/>
              <w:left w:val="single" w:sz="4" w:space="0" w:color="auto"/>
              <w:bottom w:val="single" w:sz="8" w:space="0" w:color="000000"/>
              <w:right w:val="single" w:sz="8" w:space="0" w:color="auto"/>
            </w:tcBorders>
            <w:shd w:val="clear" w:color="auto" w:fill="auto"/>
            <w:noWrap/>
            <w:vAlign w:val="center"/>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t>Ircantec temps complet</w:t>
            </w:r>
          </w:p>
        </w:tc>
        <w:tc>
          <w:tcPr>
            <w:tcW w:w="431" w:type="dxa"/>
            <w:vAlign w:val="center"/>
            <w:hideMark/>
          </w:tcPr>
          <w:p>
            <w:pPr>
              <w:spacing w:after="0" w:line="240" w:lineRule="auto"/>
              <w:rPr>
                <w:rFonts w:ascii="Times New Roman" w:eastAsia="Times New Roman" w:hAnsi="Times New Roman" w:cs="Times New Roman"/>
                <w:szCs w:val="20"/>
                <w:lang w:eastAsia="fr-FR"/>
              </w:rPr>
            </w:pPr>
          </w:p>
        </w:tc>
      </w:tr>
      <w:tr>
        <w:trPr>
          <w:gridAfter w:val="1"/>
          <w:wAfter w:w="431" w:type="dxa"/>
          <w:trHeight w:val="300"/>
        </w:trPr>
        <w:tc>
          <w:tcPr>
            <w:tcW w:w="10055" w:type="dxa"/>
            <w:gridSpan w:val="2"/>
            <w:tcBorders>
              <w:top w:val="single" w:sz="8" w:space="0" w:color="auto"/>
              <w:left w:val="single" w:sz="8" w:space="0" w:color="auto"/>
              <w:bottom w:val="single" w:sz="8" w:space="0" w:color="auto"/>
              <w:right w:val="single" w:sz="8" w:space="0" w:color="000000"/>
            </w:tcBorders>
            <w:shd w:val="clear" w:color="auto" w:fill="C5E0B3" w:themeFill="accent6" w:themeFillTint="66"/>
            <w:noWrap/>
            <w:vAlign w:val="center"/>
            <w:hideMark/>
          </w:tcPr>
          <w:p>
            <w:pPr>
              <w:spacing w:after="0" w:line="240" w:lineRule="auto"/>
              <w:jc w:val="center"/>
              <w:rPr>
                <w:rFonts w:ascii="Calibri" w:eastAsia="Times New Roman" w:hAnsi="Calibri" w:cs="Calibri"/>
                <w:color w:val="000000"/>
                <w:sz w:val="22"/>
                <w:lang w:eastAsia="fr-FR"/>
              </w:rPr>
            </w:pPr>
            <w:bookmarkStart w:id="19" w:name="_Hlk223345306"/>
            <w:bookmarkEnd w:id="18"/>
            <w:r>
              <w:rPr>
                <w:rFonts w:ascii="Calibri" w:eastAsia="Times New Roman" w:hAnsi="Calibri" w:cs="Calibri"/>
                <w:color w:val="000000"/>
                <w:sz w:val="22"/>
                <w:lang w:eastAsia="fr-FR"/>
              </w:rPr>
              <w:t>PROFIL COTISANT D'UN PACTE</w:t>
            </w:r>
          </w:p>
        </w:tc>
      </w:tr>
      <w:tr>
        <w:trPr>
          <w:gridAfter w:val="1"/>
          <w:wAfter w:w="431" w:type="dxa"/>
          <w:trHeight w:val="459"/>
        </w:trPr>
        <w:tc>
          <w:tcPr>
            <w:tcW w:w="2000" w:type="dxa"/>
            <w:vMerge w:val="restart"/>
            <w:tcBorders>
              <w:top w:val="nil"/>
              <w:left w:val="single" w:sz="8" w:space="0" w:color="auto"/>
              <w:bottom w:val="single" w:sz="4" w:space="0" w:color="auto"/>
              <w:right w:val="single" w:sz="4" w:space="0" w:color="auto"/>
            </w:tcBorders>
            <w:shd w:val="clear" w:color="auto" w:fill="auto"/>
            <w:vAlign w:val="center"/>
            <w:hideMark/>
          </w:tcPr>
          <w:p>
            <w:pPr>
              <w:spacing w:after="0" w:line="240" w:lineRule="auto"/>
              <w:jc w:val="center"/>
              <w:rPr>
                <w:rFonts w:ascii="Arial" w:eastAsia="Times New Roman" w:hAnsi="Arial" w:cs="Arial"/>
                <w:color w:val="666666"/>
                <w:sz w:val="16"/>
                <w:szCs w:val="16"/>
                <w:lang w:eastAsia="fr-FR"/>
              </w:rPr>
            </w:pPr>
            <w:r>
              <w:rPr>
                <w:rFonts w:ascii="Arial" w:eastAsia="Times New Roman" w:hAnsi="Arial" w:cs="Arial"/>
                <w:b/>
                <w:bCs/>
                <w:color w:val="203764"/>
                <w:sz w:val="16"/>
                <w:szCs w:val="16"/>
                <w:lang w:eastAsia="fr-FR"/>
              </w:rPr>
              <w:t>CODE STAT</w:t>
            </w:r>
            <w:r>
              <w:rPr>
                <w:rFonts w:ascii="Arial" w:eastAsia="Times New Roman" w:hAnsi="Arial" w:cs="Arial"/>
                <w:color w:val="666666"/>
                <w:sz w:val="16"/>
                <w:szCs w:val="16"/>
                <w:lang w:eastAsia="fr-FR"/>
              </w:rPr>
              <w:br/>
              <w:t>28</w:t>
            </w:r>
          </w:p>
        </w:tc>
        <w:tc>
          <w:tcPr>
            <w:tcW w:w="8055" w:type="dxa"/>
            <w:vMerge w:val="restart"/>
            <w:tcBorders>
              <w:top w:val="nil"/>
              <w:left w:val="single" w:sz="4" w:space="0" w:color="auto"/>
              <w:bottom w:val="single" w:sz="4" w:space="0" w:color="auto"/>
              <w:right w:val="single" w:sz="8" w:space="0" w:color="auto"/>
            </w:tcBorders>
            <w:shd w:val="clear" w:color="auto" w:fill="auto"/>
            <w:vAlign w:val="center"/>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t>Personnels Non titulaires CDI</w:t>
            </w:r>
          </w:p>
        </w:tc>
      </w:tr>
      <w:tr>
        <w:trPr>
          <w:trHeight w:val="300"/>
        </w:trPr>
        <w:tc>
          <w:tcPr>
            <w:tcW w:w="2000" w:type="dxa"/>
            <w:vMerge/>
            <w:tcBorders>
              <w:top w:val="nil"/>
              <w:left w:val="single" w:sz="8" w:space="0" w:color="auto"/>
              <w:bottom w:val="single" w:sz="4" w:space="0" w:color="auto"/>
              <w:right w:val="single" w:sz="4" w:space="0" w:color="auto"/>
            </w:tcBorders>
            <w:vAlign w:val="center"/>
            <w:hideMark/>
          </w:tcPr>
          <w:p>
            <w:pPr>
              <w:spacing w:after="0" w:line="240" w:lineRule="auto"/>
              <w:rPr>
                <w:rFonts w:ascii="Arial" w:eastAsia="Times New Roman" w:hAnsi="Arial" w:cs="Arial"/>
                <w:color w:val="666666"/>
                <w:sz w:val="16"/>
                <w:szCs w:val="16"/>
                <w:lang w:eastAsia="fr-FR"/>
              </w:rPr>
            </w:pPr>
          </w:p>
        </w:tc>
        <w:tc>
          <w:tcPr>
            <w:tcW w:w="8055" w:type="dxa"/>
            <w:vMerge/>
            <w:tcBorders>
              <w:top w:val="nil"/>
              <w:left w:val="single" w:sz="4" w:space="0" w:color="auto"/>
              <w:bottom w:val="single" w:sz="4" w:space="0" w:color="auto"/>
              <w:right w:val="single" w:sz="8" w:space="0" w:color="auto"/>
            </w:tcBorders>
            <w:vAlign w:val="center"/>
            <w:hideMark/>
          </w:tcPr>
          <w:p>
            <w:pPr>
              <w:spacing w:after="0" w:line="240" w:lineRule="auto"/>
              <w:rPr>
                <w:rFonts w:ascii="Calibri" w:eastAsia="Times New Roman" w:hAnsi="Calibri" w:cs="Calibri"/>
                <w:color w:val="000000"/>
                <w:sz w:val="22"/>
                <w:lang w:eastAsia="fr-FR"/>
              </w:rPr>
            </w:pPr>
          </w:p>
        </w:tc>
        <w:tc>
          <w:tcPr>
            <w:tcW w:w="431" w:type="dxa"/>
            <w:tcBorders>
              <w:top w:val="nil"/>
              <w:left w:val="nil"/>
              <w:bottom w:val="nil"/>
              <w:right w:val="nil"/>
            </w:tcBorders>
            <w:shd w:val="clear" w:color="auto" w:fill="auto"/>
            <w:noWrap/>
            <w:vAlign w:val="bottom"/>
            <w:hideMark/>
          </w:tcPr>
          <w:p>
            <w:pPr>
              <w:spacing w:after="0" w:line="240" w:lineRule="auto"/>
              <w:rPr>
                <w:rFonts w:ascii="Calibri" w:eastAsia="Times New Roman" w:hAnsi="Calibri" w:cs="Calibri"/>
                <w:color w:val="000000"/>
                <w:sz w:val="22"/>
                <w:lang w:eastAsia="fr-FR"/>
              </w:rPr>
            </w:pPr>
          </w:p>
        </w:tc>
      </w:tr>
      <w:tr>
        <w:trPr>
          <w:trHeight w:val="290"/>
        </w:trPr>
        <w:tc>
          <w:tcPr>
            <w:tcW w:w="2000"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pPr>
              <w:spacing w:after="0" w:line="240" w:lineRule="auto"/>
              <w:jc w:val="center"/>
              <w:rPr>
                <w:rFonts w:ascii="Arial" w:eastAsia="Times New Roman" w:hAnsi="Arial" w:cs="Arial"/>
                <w:color w:val="666666"/>
                <w:sz w:val="16"/>
                <w:szCs w:val="16"/>
                <w:lang w:eastAsia="fr-FR"/>
              </w:rPr>
            </w:pPr>
            <w:r>
              <w:rPr>
                <w:rFonts w:ascii="Arial" w:eastAsia="Times New Roman" w:hAnsi="Arial" w:cs="Arial"/>
                <w:b/>
                <w:bCs/>
                <w:color w:val="203764"/>
                <w:sz w:val="16"/>
                <w:szCs w:val="16"/>
                <w:lang w:eastAsia="fr-FR"/>
              </w:rPr>
              <w:lastRenderedPageBreak/>
              <w:t>CODE SS</w:t>
            </w:r>
            <w:r>
              <w:rPr>
                <w:rFonts w:ascii="Arial" w:eastAsia="Times New Roman" w:hAnsi="Arial" w:cs="Arial"/>
                <w:color w:val="666666"/>
                <w:sz w:val="16"/>
                <w:szCs w:val="16"/>
                <w:lang w:eastAsia="fr-FR"/>
              </w:rPr>
              <w:br/>
              <w:t>22</w:t>
            </w:r>
          </w:p>
        </w:tc>
        <w:tc>
          <w:tcPr>
            <w:tcW w:w="8055" w:type="dxa"/>
            <w:vMerge w:val="restart"/>
            <w:tcBorders>
              <w:top w:val="nil"/>
              <w:left w:val="single" w:sz="4" w:space="0" w:color="auto"/>
              <w:bottom w:val="single" w:sz="4" w:space="0" w:color="auto"/>
              <w:right w:val="single" w:sz="8" w:space="0" w:color="auto"/>
            </w:tcBorders>
            <w:shd w:val="clear" w:color="auto" w:fill="auto"/>
            <w:noWrap/>
            <w:vAlign w:val="center"/>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t xml:space="preserve">Non Titulaire Non Résident Non Permanent (affilié AF et AT) </w:t>
            </w:r>
          </w:p>
        </w:tc>
        <w:tc>
          <w:tcPr>
            <w:tcW w:w="431" w:type="dxa"/>
            <w:vAlign w:val="center"/>
            <w:hideMark/>
          </w:tcPr>
          <w:p>
            <w:pPr>
              <w:spacing w:after="0" w:line="240" w:lineRule="auto"/>
              <w:rPr>
                <w:rFonts w:ascii="Times New Roman" w:eastAsia="Times New Roman" w:hAnsi="Times New Roman" w:cs="Times New Roman"/>
                <w:szCs w:val="20"/>
                <w:lang w:eastAsia="fr-FR"/>
              </w:rPr>
            </w:pPr>
          </w:p>
        </w:tc>
      </w:tr>
      <w:tr>
        <w:trPr>
          <w:trHeight w:val="290"/>
        </w:trPr>
        <w:tc>
          <w:tcPr>
            <w:tcW w:w="2000" w:type="dxa"/>
            <w:vMerge/>
            <w:tcBorders>
              <w:top w:val="single" w:sz="8" w:space="0" w:color="auto"/>
              <w:left w:val="single" w:sz="8" w:space="0" w:color="auto"/>
              <w:bottom w:val="single" w:sz="4" w:space="0" w:color="auto"/>
              <w:right w:val="single" w:sz="4" w:space="0" w:color="auto"/>
            </w:tcBorders>
            <w:vAlign w:val="center"/>
            <w:hideMark/>
          </w:tcPr>
          <w:p>
            <w:pPr>
              <w:spacing w:after="0" w:line="240" w:lineRule="auto"/>
              <w:rPr>
                <w:rFonts w:ascii="Arial" w:eastAsia="Times New Roman" w:hAnsi="Arial" w:cs="Arial"/>
                <w:color w:val="666666"/>
                <w:sz w:val="16"/>
                <w:szCs w:val="16"/>
                <w:lang w:eastAsia="fr-FR"/>
              </w:rPr>
            </w:pPr>
          </w:p>
        </w:tc>
        <w:tc>
          <w:tcPr>
            <w:tcW w:w="8055" w:type="dxa"/>
            <w:vMerge/>
            <w:tcBorders>
              <w:top w:val="nil"/>
              <w:left w:val="single" w:sz="4" w:space="0" w:color="auto"/>
              <w:bottom w:val="single" w:sz="4" w:space="0" w:color="auto"/>
              <w:right w:val="single" w:sz="8" w:space="0" w:color="auto"/>
            </w:tcBorders>
            <w:vAlign w:val="center"/>
            <w:hideMark/>
          </w:tcPr>
          <w:p>
            <w:pPr>
              <w:spacing w:after="0" w:line="240" w:lineRule="auto"/>
              <w:rPr>
                <w:rFonts w:ascii="Calibri" w:eastAsia="Times New Roman" w:hAnsi="Calibri" w:cs="Calibri"/>
                <w:color w:val="000000"/>
                <w:sz w:val="22"/>
                <w:lang w:eastAsia="fr-FR"/>
              </w:rPr>
            </w:pPr>
          </w:p>
        </w:tc>
        <w:tc>
          <w:tcPr>
            <w:tcW w:w="431" w:type="dxa"/>
            <w:tcBorders>
              <w:top w:val="nil"/>
              <w:left w:val="nil"/>
              <w:bottom w:val="nil"/>
              <w:right w:val="nil"/>
            </w:tcBorders>
            <w:shd w:val="clear" w:color="auto" w:fill="auto"/>
            <w:noWrap/>
            <w:vAlign w:val="bottom"/>
            <w:hideMark/>
          </w:tcPr>
          <w:p>
            <w:pPr>
              <w:spacing w:after="0" w:line="240" w:lineRule="auto"/>
              <w:rPr>
                <w:rFonts w:ascii="Calibri" w:eastAsia="Times New Roman" w:hAnsi="Calibri" w:cs="Calibri"/>
                <w:color w:val="000000"/>
                <w:sz w:val="22"/>
                <w:lang w:eastAsia="fr-FR"/>
              </w:rPr>
            </w:pPr>
          </w:p>
        </w:tc>
      </w:tr>
      <w:tr>
        <w:trPr>
          <w:trHeight w:val="290"/>
        </w:trPr>
        <w:tc>
          <w:tcPr>
            <w:tcW w:w="2000" w:type="dxa"/>
            <w:tcBorders>
              <w:top w:val="nil"/>
              <w:left w:val="single" w:sz="8" w:space="0" w:color="auto"/>
              <w:bottom w:val="single" w:sz="8" w:space="0" w:color="000000"/>
              <w:right w:val="single" w:sz="4" w:space="0" w:color="auto"/>
            </w:tcBorders>
            <w:shd w:val="clear" w:color="auto" w:fill="auto"/>
            <w:vAlign w:val="center"/>
            <w:hideMark/>
          </w:tcPr>
          <w:p>
            <w:pPr>
              <w:spacing w:after="0" w:line="240" w:lineRule="auto"/>
              <w:jc w:val="center"/>
              <w:rPr>
                <w:rFonts w:ascii="Arial" w:eastAsia="Times New Roman" w:hAnsi="Arial" w:cs="Arial"/>
                <w:color w:val="666666"/>
                <w:sz w:val="16"/>
                <w:szCs w:val="16"/>
                <w:lang w:eastAsia="fr-FR"/>
              </w:rPr>
            </w:pPr>
            <w:r>
              <w:rPr>
                <w:rFonts w:ascii="Arial" w:eastAsia="Times New Roman" w:hAnsi="Arial" w:cs="Arial"/>
                <w:b/>
                <w:bCs/>
                <w:color w:val="203764"/>
                <w:sz w:val="16"/>
                <w:szCs w:val="16"/>
                <w:lang w:eastAsia="fr-FR"/>
              </w:rPr>
              <w:t>CODE RC</w:t>
            </w:r>
            <w:r>
              <w:rPr>
                <w:rFonts w:ascii="Arial" w:eastAsia="Times New Roman" w:hAnsi="Arial" w:cs="Arial"/>
                <w:color w:val="666666"/>
                <w:sz w:val="16"/>
                <w:szCs w:val="16"/>
                <w:lang w:eastAsia="fr-FR"/>
              </w:rPr>
              <w:br/>
              <w:t>10</w:t>
            </w:r>
          </w:p>
        </w:tc>
        <w:tc>
          <w:tcPr>
            <w:tcW w:w="8055" w:type="dxa"/>
            <w:tcBorders>
              <w:top w:val="nil"/>
              <w:left w:val="single" w:sz="4" w:space="0" w:color="auto"/>
              <w:bottom w:val="single" w:sz="8" w:space="0" w:color="000000"/>
              <w:right w:val="single" w:sz="8" w:space="0" w:color="auto"/>
            </w:tcBorders>
            <w:shd w:val="clear" w:color="auto" w:fill="auto"/>
            <w:noWrap/>
            <w:vAlign w:val="center"/>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t>Ircantec temps complet</w:t>
            </w:r>
          </w:p>
        </w:tc>
        <w:tc>
          <w:tcPr>
            <w:tcW w:w="431" w:type="dxa"/>
            <w:vAlign w:val="center"/>
            <w:hideMark/>
          </w:tcPr>
          <w:p>
            <w:pPr>
              <w:spacing w:after="0" w:line="240" w:lineRule="auto"/>
              <w:rPr>
                <w:rFonts w:ascii="Times New Roman" w:eastAsia="Times New Roman" w:hAnsi="Times New Roman" w:cs="Times New Roman"/>
                <w:szCs w:val="20"/>
                <w:lang w:eastAsia="fr-FR"/>
              </w:rPr>
            </w:pPr>
          </w:p>
        </w:tc>
      </w:tr>
      <w:bookmarkEnd w:id="19"/>
    </w:tbl>
    <w:p>
      <w:pPr>
        <w:jc w:val="both"/>
        <w:rPr>
          <w:sz w:val="22"/>
          <w:szCs w:val="24"/>
        </w:rPr>
      </w:pPr>
    </w:p>
    <w:tbl>
      <w:tblPr>
        <w:tblW w:w="10486" w:type="dxa"/>
        <w:tblCellMar>
          <w:top w:w="15" w:type="dxa"/>
          <w:left w:w="70" w:type="dxa"/>
          <w:right w:w="70" w:type="dxa"/>
        </w:tblCellMar>
        <w:tblLook w:val="04A0" w:firstRow="1" w:lastRow="0" w:firstColumn="1" w:lastColumn="0" w:noHBand="0" w:noVBand="1"/>
      </w:tblPr>
      <w:tblGrid>
        <w:gridCol w:w="2000"/>
        <w:gridCol w:w="8055"/>
        <w:gridCol w:w="431"/>
      </w:tblGrid>
      <w:tr>
        <w:trPr>
          <w:gridAfter w:val="1"/>
          <w:wAfter w:w="431" w:type="dxa"/>
          <w:trHeight w:val="300"/>
        </w:trPr>
        <w:tc>
          <w:tcPr>
            <w:tcW w:w="10055" w:type="dxa"/>
            <w:gridSpan w:val="2"/>
            <w:tcBorders>
              <w:top w:val="single" w:sz="8" w:space="0" w:color="auto"/>
              <w:left w:val="single" w:sz="8" w:space="0" w:color="auto"/>
              <w:bottom w:val="single" w:sz="8" w:space="0" w:color="auto"/>
              <w:right w:val="single" w:sz="8" w:space="0" w:color="000000"/>
            </w:tcBorders>
            <w:shd w:val="clear" w:color="auto" w:fill="C5E0B3" w:themeFill="accent6" w:themeFillTint="66"/>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PROFIL COTISANT D'UN MEMBRE DU GOUVERNEMENT</w:t>
            </w:r>
          </w:p>
        </w:tc>
      </w:tr>
      <w:tr>
        <w:trPr>
          <w:gridAfter w:val="1"/>
          <w:wAfter w:w="431" w:type="dxa"/>
          <w:trHeight w:val="459"/>
        </w:trPr>
        <w:tc>
          <w:tcPr>
            <w:tcW w:w="2000" w:type="dxa"/>
            <w:vMerge w:val="restart"/>
            <w:tcBorders>
              <w:top w:val="nil"/>
              <w:left w:val="single" w:sz="8" w:space="0" w:color="auto"/>
              <w:bottom w:val="single" w:sz="4" w:space="0" w:color="auto"/>
              <w:right w:val="single" w:sz="4" w:space="0" w:color="auto"/>
            </w:tcBorders>
            <w:shd w:val="clear" w:color="auto" w:fill="auto"/>
            <w:vAlign w:val="center"/>
            <w:hideMark/>
          </w:tcPr>
          <w:p>
            <w:pPr>
              <w:spacing w:after="0" w:line="240" w:lineRule="auto"/>
              <w:jc w:val="center"/>
              <w:rPr>
                <w:rFonts w:ascii="Arial" w:eastAsia="Times New Roman" w:hAnsi="Arial" w:cs="Arial"/>
                <w:color w:val="666666"/>
                <w:sz w:val="16"/>
                <w:szCs w:val="16"/>
                <w:lang w:eastAsia="fr-FR"/>
              </w:rPr>
            </w:pPr>
            <w:r>
              <w:rPr>
                <w:rFonts w:ascii="Arial" w:eastAsia="Times New Roman" w:hAnsi="Arial" w:cs="Arial"/>
                <w:b/>
                <w:bCs/>
                <w:color w:val="203764"/>
                <w:sz w:val="16"/>
                <w:szCs w:val="16"/>
                <w:lang w:eastAsia="fr-FR"/>
              </w:rPr>
              <w:t>CODE STAT</w:t>
            </w:r>
            <w:r>
              <w:rPr>
                <w:rFonts w:ascii="Arial" w:eastAsia="Times New Roman" w:hAnsi="Arial" w:cs="Arial"/>
                <w:color w:val="666666"/>
                <w:sz w:val="16"/>
                <w:szCs w:val="16"/>
                <w:lang w:eastAsia="fr-FR"/>
              </w:rPr>
              <w:br/>
              <w:t>03</w:t>
            </w:r>
          </w:p>
        </w:tc>
        <w:tc>
          <w:tcPr>
            <w:tcW w:w="8055" w:type="dxa"/>
            <w:vMerge w:val="restart"/>
            <w:tcBorders>
              <w:top w:val="nil"/>
              <w:left w:val="single" w:sz="4" w:space="0" w:color="auto"/>
              <w:bottom w:val="single" w:sz="4" w:space="0" w:color="auto"/>
              <w:right w:val="single" w:sz="8" w:space="0" w:color="auto"/>
            </w:tcBorders>
            <w:shd w:val="clear" w:color="auto" w:fill="auto"/>
            <w:vAlign w:val="center"/>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t>Fonctionnaires de l’état et magistrats des ordres judiciaire, admministratif et financier – Titulaire avec retenue PC sur indice spécial</w:t>
            </w:r>
          </w:p>
        </w:tc>
      </w:tr>
      <w:tr>
        <w:trPr>
          <w:trHeight w:val="300"/>
        </w:trPr>
        <w:tc>
          <w:tcPr>
            <w:tcW w:w="2000" w:type="dxa"/>
            <w:vMerge/>
            <w:tcBorders>
              <w:top w:val="nil"/>
              <w:left w:val="single" w:sz="8" w:space="0" w:color="auto"/>
              <w:bottom w:val="single" w:sz="4" w:space="0" w:color="auto"/>
              <w:right w:val="single" w:sz="4" w:space="0" w:color="auto"/>
            </w:tcBorders>
            <w:vAlign w:val="center"/>
            <w:hideMark/>
          </w:tcPr>
          <w:p>
            <w:pPr>
              <w:spacing w:after="0" w:line="240" w:lineRule="auto"/>
              <w:rPr>
                <w:rFonts w:ascii="Arial" w:eastAsia="Times New Roman" w:hAnsi="Arial" w:cs="Arial"/>
                <w:color w:val="666666"/>
                <w:sz w:val="16"/>
                <w:szCs w:val="16"/>
                <w:lang w:eastAsia="fr-FR"/>
              </w:rPr>
            </w:pPr>
          </w:p>
        </w:tc>
        <w:tc>
          <w:tcPr>
            <w:tcW w:w="8055" w:type="dxa"/>
            <w:vMerge/>
            <w:tcBorders>
              <w:top w:val="nil"/>
              <w:left w:val="single" w:sz="4" w:space="0" w:color="auto"/>
              <w:bottom w:val="single" w:sz="4" w:space="0" w:color="auto"/>
              <w:right w:val="single" w:sz="8" w:space="0" w:color="auto"/>
            </w:tcBorders>
            <w:vAlign w:val="center"/>
            <w:hideMark/>
          </w:tcPr>
          <w:p>
            <w:pPr>
              <w:spacing w:after="0" w:line="240" w:lineRule="auto"/>
              <w:rPr>
                <w:rFonts w:ascii="Calibri" w:eastAsia="Times New Roman" w:hAnsi="Calibri" w:cs="Calibri"/>
                <w:color w:val="000000"/>
                <w:sz w:val="22"/>
                <w:lang w:eastAsia="fr-FR"/>
              </w:rPr>
            </w:pPr>
          </w:p>
        </w:tc>
        <w:tc>
          <w:tcPr>
            <w:tcW w:w="431" w:type="dxa"/>
            <w:tcBorders>
              <w:top w:val="nil"/>
              <w:left w:val="nil"/>
              <w:bottom w:val="nil"/>
              <w:right w:val="nil"/>
            </w:tcBorders>
            <w:shd w:val="clear" w:color="auto" w:fill="auto"/>
            <w:noWrap/>
            <w:vAlign w:val="bottom"/>
            <w:hideMark/>
          </w:tcPr>
          <w:p>
            <w:pPr>
              <w:spacing w:after="0" w:line="240" w:lineRule="auto"/>
              <w:rPr>
                <w:rFonts w:ascii="Calibri" w:eastAsia="Times New Roman" w:hAnsi="Calibri" w:cs="Calibri"/>
                <w:color w:val="000000"/>
                <w:sz w:val="22"/>
                <w:lang w:eastAsia="fr-FR"/>
              </w:rPr>
            </w:pPr>
          </w:p>
        </w:tc>
      </w:tr>
      <w:tr>
        <w:trPr>
          <w:trHeight w:val="290"/>
        </w:trPr>
        <w:tc>
          <w:tcPr>
            <w:tcW w:w="2000" w:type="dxa"/>
            <w:vMerge w:val="restart"/>
            <w:tcBorders>
              <w:top w:val="single" w:sz="8" w:space="0" w:color="auto"/>
              <w:left w:val="single" w:sz="8" w:space="0" w:color="auto"/>
              <w:bottom w:val="single" w:sz="4" w:space="0" w:color="auto"/>
              <w:right w:val="single" w:sz="4" w:space="0" w:color="auto"/>
            </w:tcBorders>
            <w:shd w:val="clear" w:color="auto" w:fill="auto"/>
            <w:vAlign w:val="center"/>
            <w:hideMark/>
          </w:tcPr>
          <w:p>
            <w:pPr>
              <w:spacing w:after="0" w:line="240" w:lineRule="auto"/>
              <w:jc w:val="center"/>
              <w:rPr>
                <w:rFonts w:ascii="Arial" w:eastAsia="Times New Roman" w:hAnsi="Arial" w:cs="Arial"/>
                <w:color w:val="666666"/>
                <w:sz w:val="16"/>
                <w:szCs w:val="16"/>
                <w:lang w:eastAsia="fr-FR"/>
              </w:rPr>
            </w:pPr>
            <w:r>
              <w:rPr>
                <w:rFonts w:ascii="Arial" w:eastAsia="Times New Roman" w:hAnsi="Arial" w:cs="Arial"/>
                <w:b/>
                <w:bCs/>
                <w:color w:val="203764"/>
                <w:sz w:val="16"/>
                <w:szCs w:val="16"/>
                <w:lang w:eastAsia="fr-FR"/>
              </w:rPr>
              <w:t>CODE SS</w:t>
            </w:r>
            <w:r>
              <w:rPr>
                <w:rFonts w:ascii="Arial" w:eastAsia="Times New Roman" w:hAnsi="Arial" w:cs="Arial"/>
                <w:color w:val="666666"/>
                <w:sz w:val="16"/>
                <w:szCs w:val="16"/>
                <w:lang w:eastAsia="fr-FR"/>
              </w:rPr>
              <w:br/>
              <w:t>01</w:t>
            </w:r>
          </w:p>
        </w:tc>
        <w:tc>
          <w:tcPr>
            <w:tcW w:w="8055" w:type="dxa"/>
            <w:vMerge w:val="restart"/>
            <w:tcBorders>
              <w:top w:val="nil"/>
              <w:left w:val="single" w:sz="4" w:space="0" w:color="auto"/>
              <w:bottom w:val="single" w:sz="4" w:space="0" w:color="auto"/>
              <w:right w:val="single" w:sz="8" w:space="0" w:color="auto"/>
            </w:tcBorders>
            <w:shd w:val="clear" w:color="auto" w:fill="auto"/>
            <w:noWrap/>
            <w:vAlign w:val="center"/>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t>Titulaire résident plein traitement</w:t>
            </w:r>
          </w:p>
        </w:tc>
        <w:tc>
          <w:tcPr>
            <w:tcW w:w="431" w:type="dxa"/>
            <w:vAlign w:val="center"/>
            <w:hideMark/>
          </w:tcPr>
          <w:p>
            <w:pPr>
              <w:spacing w:after="0" w:line="240" w:lineRule="auto"/>
              <w:rPr>
                <w:rFonts w:ascii="Times New Roman" w:eastAsia="Times New Roman" w:hAnsi="Times New Roman" w:cs="Times New Roman"/>
                <w:szCs w:val="20"/>
                <w:lang w:eastAsia="fr-FR"/>
              </w:rPr>
            </w:pPr>
          </w:p>
        </w:tc>
      </w:tr>
      <w:tr>
        <w:trPr>
          <w:trHeight w:val="290"/>
        </w:trPr>
        <w:tc>
          <w:tcPr>
            <w:tcW w:w="2000" w:type="dxa"/>
            <w:vMerge/>
            <w:tcBorders>
              <w:top w:val="single" w:sz="8" w:space="0" w:color="auto"/>
              <w:left w:val="single" w:sz="8" w:space="0" w:color="auto"/>
              <w:bottom w:val="single" w:sz="4" w:space="0" w:color="auto"/>
              <w:right w:val="single" w:sz="4" w:space="0" w:color="auto"/>
            </w:tcBorders>
            <w:vAlign w:val="center"/>
            <w:hideMark/>
          </w:tcPr>
          <w:p>
            <w:pPr>
              <w:spacing w:after="0" w:line="240" w:lineRule="auto"/>
              <w:rPr>
                <w:rFonts w:ascii="Arial" w:eastAsia="Times New Roman" w:hAnsi="Arial" w:cs="Arial"/>
                <w:color w:val="666666"/>
                <w:sz w:val="16"/>
                <w:szCs w:val="16"/>
                <w:lang w:eastAsia="fr-FR"/>
              </w:rPr>
            </w:pPr>
          </w:p>
        </w:tc>
        <w:tc>
          <w:tcPr>
            <w:tcW w:w="8055" w:type="dxa"/>
            <w:vMerge/>
            <w:tcBorders>
              <w:top w:val="nil"/>
              <w:left w:val="single" w:sz="4" w:space="0" w:color="auto"/>
              <w:bottom w:val="single" w:sz="4" w:space="0" w:color="auto"/>
              <w:right w:val="single" w:sz="8" w:space="0" w:color="auto"/>
            </w:tcBorders>
            <w:vAlign w:val="center"/>
            <w:hideMark/>
          </w:tcPr>
          <w:p>
            <w:pPr>
              <w:spacing w:after="0" w:line="240" w:lineRule="auto"/>
              <w:rPr>
                <w:rFonts w:ascii="Calibri" w:eastAsia="Times New Roman" w:hAnsi="Calibri" w:cs="Calibri"/>
                <w:color w:val="000000"/>
                <w:sz w:val="22"/>
                <w:lang w:eastAsia="fr-FR"/>
              </w:rPr>
            </w:pPr>
          </w:p>
        </w:tc>
        <w:tc>
          <w:tcPr>
            <w:tcW w:w="431" w:type="dxa"/>
            <w:tcBorders>
              <w:top w:val="nil"/>
              <w:left w:val="nil"/>
              <w:bottom w:val="nil"/>
              <w:right w:val="nil"/>
            </w:tcBorders>
            <w:shd w:val="clear" w:color="auto" w:fill="auto"/>
            <w:noWrap/>
            <w:vAlign w:val="bottom"/>
            <w:hideMark/>
          </w:tcPr>
          <w:p>
            <w:pPr>
              <w:spacing w:after="0" w:line="240" w:lineRule="auto"/>
              <w:rPr>
                <w:rFonts w:ascii="Calibri" w:eastAsia="Times New Roman" w:hAnsi="Calibri" w:cs="Calibri"/>
                <w:color w:val="000000"/>
                <w:sz w:val="22"/>
                <w:lang w:eastAsia="fr-FR"/>
              </w:rPr>
            </w:pPr>
          </w:p>
        </w:tc>
      </w:tr>
      <w:tr>
        <w:trPr>
          <w:trHeight w:val="290"/>
        </w:trPr>
        <w:tc>
          <w:tcPr>
            <w:tcW w:w="2000" w:type="dxa"/>
            <w:tcBorders>
              <w:top w:val="nil"/>
              <w:left w:val="single" w:sz="8" w:space="0" w:color="auto"/>
              <w:bottom w:val="single" w:sz="8" w:space="0" w:color="000000"/>
              <w:right w:val="single" w:sz="4" w:space="0" w:color="auto"/>
            </w:tcBorders>
            <w:shd w:val="clear" w:color="auto" w:fill="auto"/>
            <w:vAlign w:val="center"/>
            <w:hideMark/>
          </w:tcPr>
          <w:p>
            <w:pPr>
              <w:spacing w:after="0" w:line="240" w:lineRule="auto"/>
              <w:jc w:val="center"/>
              <w:rPr>
                <w:rFonts w:ascii="Arial" w:eastAsia="Times New Roman" w:hAnsi="Arial" w:cs="Arial"/>
                <w:color w:val="666666"/>
                <w:sz w:val="16"/>
                <w:szCs w:val="16"/>
                <w:lang w:eastAsia="fr-FR"/>
              </w:rPr>
            </w:pPr>
            <w:r>
              <w:rPr>
                <w:rFonts w:ascii="Arial" w:eastAsia="Times New Roman" w:hAnsi="Arial" w:cs="Arial"/>
                <w:b/>
                <w:bCs/>
                <w:color w:val="203764"/>
                <w:sz w:val="16"/>
                <w:szCs w:val="16"/>
                <w:lang w:eastAsia="fr-FR"/>
              </w:rPr>
              <w:t>CODE RC</w:t>
            </w:r>
            <w:r>
              <w:rPr>
                <w:rFonts w:ascii="Arial" w:eastAsia="Times New Roman" w:hAnsi="Arial" w:cs="Arial"/>
                <w:color w:val="666666"/>
                <w:sz w:val="16"/>
                <w:szCs w:val="16"/>
                <w:lang w:eastAsia="fr-FR"/>
              </w:rPr>
              <w:br/>
              <w:t>00</w:t>
            </w:r>
          </w:p>
        </w:tc>
        <w:tc>
          <w:tcPr>
            <w:tcW w:w="8055" w:type="dxa"/>
            <w:tcBorders>
              <w:top w:val="nil"/>
              <w:left w:val="single" w:sz="4" w:space="0" w:color="auto"/>
              <w:bottom w:val="single" w:sz="8" w:space="0" w:color="000000"/>
              <w:right w:val="single" w:sz="8" w:space="0" w:color="auto"/>
            </w:tcBorders>
            <w:shd w:val="clear" w:color="auto" w:fill="auto"/>
            <w:noWrap/>
            <w:vAlign w:val="center"/>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t>Non cotisant</w:t>
            </w:r>
          </w:p>
        </w:tc>
        <w:tc>
          <w:tcPr>
            <w:tcW w:w="431" w:type="dxa"/>
            <w:vAlign w:val="center"/>
            <w:hideMark/>
          </w:tcPr>
          <w:p>
            <w:pPr>
              <w:spacing w:after="0" w:line="240" w:lineRule="auto"/>
              <w:rPr>
                <w:rFonts w:ascii="Times New Roman" w:eastAsia="Times New Roman" w:hAnsi="Times New Roman" w:cs="Times New Roman"/>
                <w:szCs w:val="20"/>
                <w:lang w:eastAsia="fr-FR"/>
              </w:rPr>
            </w:pPr>
          </w:p>
        </w:tc>
      </w:tr>
    </w:tbl>
    <w:p>
      <w:pPr>
        <w:jc w:val="both"/>
        <w:rPr>
          <w:sz w:val="22"/>
          <w:szCs w:val="24"/>
        </w:rPr>
      </w:pPr>
    </w:p>
    <w:p>
      <w:pPr>
        <w:rPr>
          <w:sz w:val="22"/>
          <w:szCs w:val="24"/>
        </w:rPr>
      </w:pPr>
    </w:p>
    <w:p>
      <w:pPr>
        <w:jc w:val="center"/>
        <w:rPr>
          <w:sz w:val="22"/>
          <w:szCs w:val="24"/>
        </w:rPr>
      </w:pPr>
      <w:r>
        <w:t>*******************************</w:t>
      </w:r>
    </w:p>
    <w:p>
      <w:pPr>
        <w:spacing w:after="0"/>
        <w:jc w:val="both"/>
        <w:rPr>
          <w:b/>
          <w:bCs/>
          <w:sz w:val="22"/>
          <w:szCs w:val="24"/>
          <w:u w:val="single"/>
        </w:rPr>
      </w:pPr>
    </w:p>
    <w:p>
      <w:pPr>
        <w:spacing w:after="0"/>
        <w:jc w:val="both"/>
        <w:rPr>
          <w:b/>
          <w:bCs/>
          <w:sz w:val="22"/>
          <w:szCs w:val="24"/>
          <w:u w:val="single"/>
        </w:rPr>
      </w:pPr>
      <w:r>
        <w:rPr>
          <w:b/>
          <w:bCs/>
          <w:sz w:val="22"/>
          <w:szCs w:val="24"/>
          <w:u w:val="single"/>
        </w:rPr>
        <w:t>Affichages bulletin de paye :</w:t>
      </w:r>
    </w:p>
    <w:p>
      <w:pPr>
        <w:spacing w:after="0"/>
        <w:jc w:val="both"/>
        <w:rPr>
          <w:sz w:val="22"/>
          <w:szCs w:val="24"/>
        </w:rPr>
      </w:pPr>
    </w:p>
    <w:p>
      <w:pPr>
        <w:spacing w:after="0"/>
        <w:jc w:val="both"/>
        <w:rPr>
          <w:sz w:val="22"/>
          <w:szCs w:val="24"/>
        </w:rPr>
      </w:pPr>
      <w:r>
        <w:rPr>
          <w:sz w:val="22"/>
          <w:szCs w:val="24"/>
        </w:rPr>
        <w:t>Il n’y a pas de code PAY spécifique utilisé dans l’application PAYSAGE pour le traitement brut.</w:t>
      </w:r>
    </w:p>
    <w:p>
      <w:pPr>
        <w:jc w:val="both"/>
        <w:rPr>
          <w:sz w:val="22"/>
          <w:szCs w:val="24"/>
        </w:rPr>
      </w:pPr>
      <w:r>
        <w:rPr>
          <w:sz w:val="22"/>
          <w:szCs w:val="24"/>
        </w:rPr>
        <w:t>Sur le bulletin de paye l’information relative à la rémunération principale (traitement brut, salaire, … ) est codifiée par un Code BJ : 101000 « TRAITEMENT BRUT ».</w:t>
      </w:r>
    </w:p>
    <w:p>
      <w:pPr>
        <w:pStyle w:val="Commentaire"/>
        <w:spacing w:after="0"/>
        <w:jc w:val="both"/>
        <w:rPr>
          <w:b/>
          <w:bCs/>
          <w:color w:val="5770BE"/>
        </w:rPr>
      </w:pPr>
    </w:p>
    <w:p>
      <w:pPr>
        <w:rPr>
          <w:sz w:val="22"/>
          <w:szCs w:val="24"/>
        </w:rPr>
      </w:pPr>
      <w:r>
        <w:rPr>
          <w:sz w:val="22"/>
          <w:szCs w:val="24"/>
        </w:rPr>
        <w:t>Les primes et indemnités bénéficient d’un code PAY identifié par 4 chiffres. Sur le bulletin de paye, chaque code PAY du régime indemnitaire de l’agent est composé du code PAY agrégé de la racine 20.</w:t>
      </w:r>
    </w:p>
    <w:p>
      <w:pPr>
        <w:jc w:val="both"/>
        <w:rPr>
          <w:sz w:val="22"/>
          <w:szCs w:val="24"/>
        </w:rPr>
      </w:pPr>
      <w:r>
        <w:rPr>
          <w:sz w:val="22"/>
          <w:szCs w:val="24"/>
        </w:rPr>
        <w:t>Exemple code indemnité 1793 « IFSE » devient sur le bulletin de paie 201793 « IFSE ».</w:t>
      </w:r>
    </w:p>
    <w:p>
      <w:pPr>
        <w:jc w:val="both"/>
        <w:rPr>
          <w:sz w:val="22"/>
          <w:szCs w:val="24"/>
        </w:rPr>
      </w:pPr>
    </w:p>
    <w:p>
      <w:pPr>
        <w:jc w:val="both"/>
        <w:rPr>
          <w:sz w:val="22"/>
          <w:szCs w:val="24"/>
        </w:rPr>
      </w:pPr>
    </w:p>
    <w:p>
      <w:pPr>
        <w:jc w:val="both"/>
        <w:rPr>
          <w:sz w:val="22"/>
          <w:szCs w:val="24"/>
        </w:rPr>
      </w:pPr>
    </w:p>
    <w:p>
      <w:pPr>
        <w:jc w:val="both"/>
        <w:rPr>
          <w:sz w:val="22"/>
          <w:szCs w:val="24"/>
        </w:rPr>
      </w:pPr>
    </w:p>
    <w:p>
      <w:pPr>
        <w:jc w:val="both"/>
        <w:rPr>
          <w:sz w:val="22"/>
          <w:szCs w:val="24"/>
        </w:rPr>
      </w:pPr>
    </w:p>
    <w:p>
      <w:pPr>
        <w:jc w:val="both"/>
        <w:rPr>
          <w:sz w:val="22"/>
          <w:szCs w:val="24"/>
        </w:rPr>
      </w:pPr>
    </w:p>
    <w:p>
      <w:pPr>
        <w:jc w:val="both"/>
        <w:rPr>
          <w:sz w:val="22"/>
          <w:szCs w:val="24"/>
        </w:rPr>
      </w:pPr>
    </w:p>
    <w:p>
      <w:pPr>
        <w:jc w:val="both"/>
        <w:rPr>
          <w:sz w:val="22"/>
          <w:szCs w:val="24"/>
        </w:rPr>
      </w:pPr>
    </w:p>
    <w:p>
      <w:pPr>
        <w:jc w:val="both"/>
        <w:rPr>
          <w:sz w:val="22"/>
          <w:szCs w:val="24"/>
        </w:rPr>
      </w:pPr>
    </w:p>
    <w:p>
      <w:pPr>
        <w:jc w:val="both"/>
        <w:rPr>
          <w:sz w:val="22"/>
          <w:szCs w:val="24"/>
        </w:rPr>
      </w:pPr>
    </w:p>
    <w:p>
      <w:pPr>
        <w:jc w:val="both"/>
        <w:rPr>
          <w:sz w:val="22"/>
          <w:szCs w:val="24"/>
        </w:rPr>
      </w:pPr>
    </w:p>
    <w:p>
      <w:pPr>
        <w:jc w:val="both"/>
        <w:rPr>
          <w:sz w:val="22"/>
          <w:szCs w:val="24"/>
        </w:rPr>
      </w:pPr>
    </w:p>
    <w:p>
      <w:pPr>
        <w:jc w:val="both"/>
        <w:rPr>
          <w:sz w:val="22"/>
          <w:szCs w:val="24"/>
        </w:rPr>
      </w:pPr>
    </w:p>
    <w:p>
      <w:pPr>
        <w:pStyle w:val="Commentaire"/>
        <w:spacing w:after="0"/>
        <w:jc w:val="both"/>
        <w:rPr>
          <w:b/>
          <w:bCs/>
          <w:color w:val="5770BE"/>
        </w:rPr>
      </w:pPr>
    </w:p>
    <w:p>
      <w:pPr>
        <w:pStyle w:val="Commentaire"/>
        <w:spacing w:after="0"/>
        <w:jc w:val="both"/>
        <w:rPr>
          <w:b/>
          <w:bCs/>
          <w:color w:val="5770BE"/>
        </w:rPr>
      </w:pPr>
    </w:p>
    <w:p>
      <w:pPr>
        <w:rPr>
          <w:color w:val="5770BE"/>
        </w:rPr>
      </w:pPr>
      <w:r>
        <w:rPr>
          <w:noProof/>
        </w:rPr>
        <mc:AlternateContent>
          <mc:Choice Requires="wps">
            <w:drawing>
              <wp:anchor distT="0" distB="0" distL="114300" distR="114300" simplePos="0" relativeHeight="251654139" behindDoc="1" locked="0" layoutInCell="1" allowOverlap="1">
                <wp:simplePos x="0" y="0"/>
                <wp:positionH relativeFrom="margin">
                  <wp:posOffset>-1070964</wp:posOffset>
                </wp:positionH>
                <wp:positionV relativeFrom="paragraph">
                  <wp:posOffset>-2049160</wp:posOffset>
                </wp:positionV>
                <wp:extent cx="8197259" cy="12405685"/>
                <wp:effectExtent l="0" t="0" r="13335" b="15240"/>
                <wp:wrapNone/>
                <wp:docPr id="197" name="Rectangle 197"/>
                <wp:cNvGraphicFramePr/>
                <a:graphic xmlns:a="http://schemas.openxmlformats.org/drawingml/2006/main">
                  <a:graphicData uri="http://schemas.microsoft.com/office/word/2010/wordprocessingShape">
                    <wps:wsp>
                      <wps:cNvSpPr/>
                      <wps:spPr>
                        <a:xfrm>
                          <a:off x="0" y="0"/>
                          <a:ext cx="8197259" cy="12405685"/>
                        </a:xfrm>
                        <a:prstGeom prst="rect">
                          <a:avLst/>
                        </a:prstGeom>
                        <a:solidFill>
                          <a:srgbClr val="91AE4F">
                            <a:alpha val="60000"/>
                          </a:srgbClr>
                        </a:solidFill>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p>
                            <w:pPr>
                              <w:jc w:val="center"/>
                            </w:pPr>
                          </w:p>
                          <w:p>
                            <w:pPr>
                              <w:jc w:val="center"/>
                            </w:pPr>
                          </w:p>
                          <w:p>
                            <w:pPr>
                              <w:jc w:val="center"/>
                            </w:pPr>
                          </w:p>
                          <w:p>
                            <w:pPr>
                              <w:jc w:val="center"/>
                            </w:pPr>
                          </w:p>
                          <w:p>
                            <w:pPr>
                              <w:jc w:val="center"/>
                            </w:pPr>
                            <w:bookmarkStart w:id="20" w:name="_Hlk217316668"/>
                            <w:bookmarkStart w:id="21" w:name="_Hlk217316669"/>
                            <w:bookmarkStart w:id="22" w:name="_Hlk217316670"/>
                            <w:bookmarkStart w:id="23" w:name="_Hlk217316671"/>
                            <w:bookmarkStart w:id="24" w:name="_Hlk217316672"/>
                            <w:bookmarkStart w:id="25" w:name="_Hlk217316673"/>
                            <w:bookmarkEnd w:id="20"/>
                            <w:bookmarkEnd w:id="21"/>
                            <w:bookmarkEnd w:id="22"/>
                            <w:bookmarkEnd w:id="23"/>
                            <w:bookmarkEnd w:id="24"/>
                            <w:bookmarkEnd w:id="25"/>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7" o:spid="_x0000_s1029" style="position:absolute;margin-left:-84.35pt;margin-top:-161.35pt;width:645.45pt;height:976.85pt;z-index:-2516623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" fillcolor="#91ae4f" strokecolor="#1f3763 [1604]" strokeweight="1pt">
                <v:fill opacity="39321f"/>
                <v:textbox>
                  <w:txbxContent>
                    <w:p>
                      <w:pPr>
                        <w:jc w:val="center"/>
                      </w:pPr>
                    </w:p>
                    <w:p>
                      <w:pPr>
                        <w:jc w:val="center"/>
                      </w:pPr>
                    </w:p>
                    <w:p>
                      <w:pPr>
                        <w:jc w:val="center"/>
                      </w:pPr>
                    </w:p>
                    <w:p>
                      <w:pPr>
                        <w:jc w:val="center"/>
                      </w:pPr>
                    </w:p>
                    <w:p>
                      <w:pPr>
                        <w:jc w:val="center"/>
                      </w:pPr>
                    </w:p>
                    <w:p>
                      <w:pPr>
                        <w:jc w:val="center"/>
                      </w:pPr>
                      <w:bookmarkStart w:id="26" w:name="_Hlk217316668"/>
                      <w:bookmarkStart w:id="27" w:name="_Hlk217316669"/>
                      <w:bookmarkStart w:id="28" w:name="_Hlk217316670"/>
                      <w:bookmarkStart w:id="29" w:name="_Hlk217316671"/>
                      <w:bookmarkStart w:id="30" w:name="_Hlk217316672"/>
                      <w:bookmarkStart w:id="31" w:name="_Hlk217316673"/>
                      <w:bookmarkEnd w:id="26"/>
                      <w:bookmarkEnd w:id="27"/>
                      <w:bookmarkEnd w:id="28"/>
                      <w:bookmarkEnd w:id="29"/>
                      <w:bookmarkEnd w:id="30"/>
                      <w:bookmarkEnd w:id="31"/>
                    </w:p>
                  </w:txbxContent>
                </v:textbox>
                <w10:wrap anchorx="margin"/>
              </v:rect>
            </w:pict>
          </mc:Fallback>
        </mc:AlternateContent>
      </w:r>
    </w:p>
    <w:p>
      <w:bookmarkStart w:id="26" w:name="_Hlk217316619"/>
    </w:p>
    <w:p/>
    <w:p/>
    <w:p/>
    <w:p/>
    <w:p/>
    <w:p/>
    <w:p/>
    <w:p/>
    <w:p/>
    <w:p/>
    <w:p>
      <w:pPr>
        <w:pStyle w:val="Style1"/>
        <w:jc w:val="right"/>
        <w:rPr>
          <w:sz w:val="22"/>
          <w:szCs w:val="24"/>
        </w:rPr>
      </w:pPr>
      <w:bookmarkStart w:id="27" w:name="_Toc225170929"/>
      <w:bookmarkStart w:id="28" w:name="_Hlk217315391"/>
      <w:r>
        <w:t>1. TRAITEMENT DES FONCTIONNAIRES</w:t>
      </w:r>
      <w:bookmarkEnd w:id="27"/>
      <w:r>
        <w:t xml:space="preserve"> </w:t>
      </w:r>
      <w:bookmarkEnd w:id="26"/>
      <w:bookmarkEnd w:id="28"/>
      <w:r>
        <w:br w:type="page"/>
      </w:r>
    </w:p>
    <w:bookmarkStart w:id="29" w:name="_Toc225170930"/>
    <w:bookmarkStart w:id="30" w:name="_Hlk217379065"/>
    <w:p>
      <w:pPr>
        <w:pStyle w:val="Style2"/>
        <w:ind w:left="426"/>
        <w:rPr>
          <w:szCs w:val="56"/>
        </w:rPr>
      </w:pPr>
      <w:r>
        <w:rPr>
          <w:noProof/>
          <w:szCs w:val="56"/>
        </w:rPr>
        <w:lastRenderedPageBreak/>
        <mc:AlternateContent>
          <mc:Choice Requires="wps">
            <w:drawing>
              <wp:anchor distT="0" distB="0" distL="114300" distR="114300" simplePos="0" relativeHeight="251669504" behindDoc="0" locked="0" layoutInCell="1" allowOverlap="1">
                <wp:simplePos x="0" y="0"/>
                <wp:positionH relativeFrom="column">
                  <wp:posOffset>-310514</wp:posOffset>
                </wp:positionH>
                <wp:positionV relativeFrom="paragraph">
                  <wp:posOffset>50165</wp:posOffset>
                </wp:positionV>
                <wp:extent cx="550684" cy="576000"/>
                <wp:effectExtent l="19050" t="0" r="1905" b="33655"/>
                <wp:wrapNone/>
                <wp:docPr id="39" name="Larm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39" o:spid="_x0000_s1026" alt="&quot;&quot;" style="position:absolute;margin-left:-24.45pt;margin-top:3.95pt;width:43.35pt;height:45.35pt;rotation:11557929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rPr>
          <w:szCs w:val="56"/>
        </w:rPr>
        <w:t xml:space="preserve">1.1. </w:t>
      </w:r>
      <w:bookmarkStart w:id="31" w:name="_Hlk204765383"/>
      <w:r>
        <w:rPr>
          <w:szCs w:val="56"/>
        </w:rPr>
        <w:t>Titulaires – Stagiaires – Magistrats – Auditeurs</w:t>
      </w:r>
      <w:bookmarkEnd w:id="29"/>
      <w:r>
        <w:rPr>
          <w:szCs w:val="56"/>
        </w:rPr>
        <w:t xml:space="preserve">  </w:t>
      </w:r>
      <w:bookmarkEnd w:id="31"/>
    </w:p>
    <w:p/>
    <w:p>
      <w:pPr>
        <w:jc w:val="both"/>
        <w:rPr>
          <w:sz w:val="22"/>
          <w:szCs w:val="24"/>
        </w:rPr>
      </w:pPr>
    </w:p>
    <w:p>
      <w:pPr>
        <w:jc w:val="both"/>
        <w:rPr>
          <w:sz w:val="22"/>
          <w:szCs w:val="24"/>
        </w:rPr>
      </w:pPr>
      <w:r>
        <w:rPr>
          <w:sz w:val="22"/>
          <w:szCs w:val="24"/>
        </w:rPr>
        <w:t xml:space="preserve">La rémunération principale des fonctionnaires titulaires, stagiaires, magistrats et auditeurs </w:t>
      </w:r>
      <w:r>
        <w:rPr>
          <w:sz w:val="22"/>
        </w:rPr>
        <w:t>de la fonction publique d’Etat</w:t>
      </w:r>
      <w:r>
        <w:rPr>
          <w:sz w:val="22"/>
          <w:szCs w:val="24"/>
        </w:rPr>
        <w:t xml:space="preserve"> est composée : </w:t>
      </w:r>
    </w:p>
    <w:p>
      <w:pPr>
        <w:pStyle w:val="Paragraphedeliste"/>
        <w:numPr>
          <w:ilvl w:val="0"/>
          <w:numId w:val="19"/>
        </w:numPr>
        <w:jc w:val="both"/>
        <w:rPr>
          <w:sz w:val="22"/>
          <w:szCs w:val="24"/>
        </w:rPr>
      </w:pPr>
      <w:r>
        <w:rPr>
          <w:sz w:val="22"/>
          <w:szCs w:val="24"/>
        </w:rPr>
        <w:t xml:space="preserve">du traitement indiciaire ou de base appelé également traitement brut </w:t>
      </w:r>
    </w:p>
    <w:p>
      <w:pPr>
        <w:pStyle w:val="Paragraphedeliste"/>
        <w:numPr>
          <w:ilvl w:val="0"/>
          <w:numId w:val="19"/>
        </w:numPr>
        <w:jc w:val="both"/>
        <w:rPr>
          <w:sz w:val="22"/>
          <w:szCs w:val="24"/>
        </w:rPr>
      </w:pPr>
      <w:r>
        <w:rPr>
          <w:sz w:val="22"/>
          <w:szCs w:val="24"/>
        </w:rPr>
        <w:t>éventuellement de l’indemnité de résidence, du supplément familial de traitement, de la bonification indiciaire (Nouvelle Bonification Indiciaire (NBI) ou Bonification Indiciaire (BI)), de l’indemnité différentielle au SMIC, du complément de traitement indiciaire, du complément indemnitaire de résidence (pour l’étranger)</w:t>
      </w:r>
    </w:p>
    <w:p>
      <w:pPr>
        <w:pStyle w:val="Paragraphedeliste"/>
        <w:numPr>
          <w:ilvl w:val="0"/>
          <w:numId w:val="19"/>
        </w:numPr>
        <w:jc w:val="both"/>
        <w:rPr>
          <w:sz w:val="22"/>
          <w:szCs w:val="24"/>
        </w:rPr>
      </w:pPr>
      <w:r>
        <w:rPr>
          <w:sz w:val="22"/>
        </w:rPr>
        <w:t>de primes et indemnités instituées par une disposition législative ou réglementaire</w:t>
      </w:r>
      <w:r>
        <w:rPr>
          <w:sz w:val="22"/>
          <w:szCs w:val="24"/>
        </w:rPr>
        <w:t xml:space="preserve"> liées au statut et/ou à l’affectation de l’agent (non décrites dans ce guide)</w:t>
      </w:r>
    </w:p>
    <w:p>
      <w:pPr>
        <w:jc w:val="both"/>
        <w:rPr>
          <w:sz w:val="22"/>
        </w:rPr>
      </w:pPr>
      <w:r>
        <w:rPr>
          <w:sz w:val="22"/>
        </w:rPr>
        <w:t>Ce chapitre précise les références juridiques et la détermination du traitement brut.</w:t>
      </w:r>
    </w:p>
    <w:p>
      <w:pPr>
        <w:jc w:val="both"/>
        <w:rPr>
          <w:sz w:val="22"/>
          <w:szCs w:val="24"/>
        </w:rPr>
      </w:pPr>
    </w:p>
    <w:p>
      <w:pPr>
        <w:jc w:val="both"/>
        <w:rPr>
          <w:sz w:val="22"/>
          <w:szCs w:val="24"/>
        </w:rPr>
      </w:pPr>
    </w:p>
    <w:bookmarkStart w:id="32" w:name="_Toc225170931"/>
    <w:p>
      <w:pPr>
        <w:keepNext/>
        <w:keepLines/>
        <w:spacing w:before="40" w:after="0" w:line="240" w:lineRule="auto"/>
        <w:ind w:left="360"/>
        <w:outlineLvl w:val="2"/>
        <w:rPr>
          <w:rFonts w:eastAsiaTheme="majorEastAsia" w:cstheme="majorBidi"/>
          <w:bCs/>
          <w:color w:val="FFFFFF" w:themeColor="background1"/>
          <w:sz w:val="36"/>
          <w:szCs w:val="24"/>
        </w:rPr>
      </w:pPr>
      <w:r>
        <w:rPr>
          <w:rFonts w:eastAsiaTheme="majorEastAsia" w:cstheme="majorBidi"/>
          <w:b/>
          <w:noProof/>
          <w:color w:val="FFFFFF" w:themeColor="background1"/>
          <w:sz w:val="36"/>
          <w:szCs w:val="24"/>
        </w:rPr>
        <mc:AlternateContent>
          <mc:Choice Requires="wps">
            <w:drawing>
              <wp:anchor distT="0" distB="0" distL="114300" distR="114300" simplePos="0" relativeHeight="252224512" behindDoc="1" locked="0" layoutInCell="1" allowOverlap="1">
                <wp:simplePos x="0" y="0"/>
                <wp:positionH relativeFrom="margin">
                  <wp:align>right</wp:align>
                </wp:positionH>
                <wp:positionV relativeFrom="paragraph">
                  <wp:posOffset>30537</wp:posOffset>
                </wp:positionV>
                <wp:extent cx="6113088" cy="341194"/>
                <wp:effectExtent l="0" t="0" r="2540" b="1905"/>
                <wp:wrapNone/>
                <wp:docPr id="48" name="Rectangle 4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13088" cy="341194"/>
                        </a:xfrm>
                        <a:prstGeom prst="rect">
                          <a:avLst/>
                        </a:prstGeom>
                        <a:solidFill>
                          <a:srgbClr val="5770BE"/>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8" o:spid="_x0000_s1026" alt="&quot;&quot;" style="position:absolute;margin-left:430.15pt;margin-top:2.4pt;width:481.35pt;height:26.85pt;z-index:-2510919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" fillcolor="#5770be" stroked="f" strokeweight="1pt">
                <w10:wrap anchorx="margin"/>
              </v:rect>
            </w:pict>
          </mc:Fallback>
        </mc:AlternateContent>
      </w:r>
      <w:r>
        <w:rPr>
          <w:rFonts w:eastAsiaTheme="majorEastAsia" w:cstheme="majorBidi"/>
          <w:bCs/>
          <w:color w:val="FFFFFF" w:themeColor="background1"/>
          <w:sz w:val="36"/>
          <w:szCs w:val="24"/>
        </w:rPr>
        <w:t>1.1.1. Bases juridiques</w:t>
      </w:r>
      <w:bookmarkEnd w:id="32"/>
    </w:p>
    <w:p>
      <w:pPr>
        <w:jc w:val="both"/>
        <w:rPr>
          <w:sz w:val="22"/>
          <w:szCs w:val="24"/>
        </w:rPr>
      </w:pPr>
    </w:p>
    <w:p>
      <w:pPr>
        <w:jc w:val="both"/>
        <w:rPr>
          <w:rFonts w:cs="Times New Roman"/>
          <w:sz w:val="22"/>
        </w:rPr>
      </w:pPr>
    </w:p>
    <w:p>
      <w:pPr>
        <w:pStyle w:val="Paragraphedeliste"/>
        <w:numPr>
          <w:ilvl w:val="0"/>
          <w:numId w:val="8"/>
        </w:numPr>
        <w:spacing w:after="0" w:line="240" w:lineRule="auto"/>
        <w:jc w:val="both"/>
        <w:rPr>
          <w:rFonts w:eastAsia="Times New Roman" w:cs="Calibri"/>
          <w:sz w:val="22"/>
          <w:u w:val="single"/>
          <w:lang w:eastAsia="fr-FR"/>
        </w:rPr>
      </w:pPr>
      <w:hyperlink r:id="rId20" w:history="1">
        <w:r>
          <w:rPr>
            <w:rStyle w:val="Lienhypertexte"/>
            <w:rFonts w:eastAsia="Times New Roman" w:cs="Calibri"/>
            <w:sz w:val="22"/>
            <w:lang w:eastAsia="fr-FR"/>
          </w:rPr>
          <w:t>Code général de la fonction publique (CGFP) : Livre VII : RÉMUNÉRATION ET ACTION SOCIALE</w:t>
        </w:r>
      </w:hyperlink>
      <w:r>
        <w:rPr>
          <w:rFonts w:eastAsia="Times New Roman" w:cs="Calibri"/>
          <w:i/>
          <w:iCs/>
          <w:sz w:val="22"/>
          <w:u w:val="single"/>
          <w:lang w:eastAsia="fr-FR"/>
        </w:rPr>
        <w:t xml:space="preserve"> </w:t>
      </w:r>
    </w:p>
    <w:p>
      <w:pPr>
        <w:pStyle w:val="Paragraphedeliste"/>
        <w:spacing w:after="0" w:line="240" w:lineRule="auto"/>
        <w:jc w:val="both"/>
        <w:rPr>
          <w:rFonts w:eastAsia="Times New Roman" w:cs="Calibri"/>
          <w:sz w:val="22"/>
          <w:u w:val="single"/>
          <w:lang w:eastAsia="fr-FR"/>
        </w:rPr>
      </w:pPr>
    </w:p>
    <w:p>
      <w:pPr>
        <w:pStyle w:val="Paragraphedeliste"/>
        <w:numPr>
          <w:ilvl w:val="0"/>
          <w:numId w:val="8"/>
        </w:numPr>
        <w:spacing w:after="0" w:line="240" w:lineRule="auto"/>
        <w:jc w:val="both"/>
        <w:rPr>
          <w:rFonts w:eastAsia="Times New Roman" w:cs="Calibri"/>
          <w:sz w:val="22"/>
          <w:u w:val="single"/>
          <w:lang w:eastAsia="fr-FR"/>
        </w:rPr>
      </w:pPr>
      <w:r>
        <w:rPr>
          <w:rFonts w:eastAsia="Times New Roman" w:cs="Calibri"/>
          <w:sz w:val="22"/>
          <w:u w:val="single"/>
          <w:lang w:eastAsia="fr-FR"/>
        </w:rPr>
        <w:t>Décret n°85-1148 du 24 octobre 1985 relatif à la rémunération des personnels des 3 fonctions publiques  (Annexe (Article Barème B) et annexes 2 et 3)</w:t>
      </w:r>
    </w:p>
    <w:p>
      <w:pPr>
        <w:pStyle w:val="Paragraphedeliste"/>
        <w:rPr>
          <w:rFonts w:eastAsia="Times New Roman" w:cs="Calibri"/>
          <w:color w:val="0563C1" w:themeColor="hyperlink"/>
          <w:sz w:val="22"/>
          <w:u w:val="single"/>
          <w:lang w:eastAsia="fr-FR"/>
        </w:rPr>
      </w:pPr>
    </w:p>
    <w:p>
      <w:pPr>
        <w:pStyle w:val="Paragraphedeliste"/>
        <w:numPr>
          <w:ilvl w:val="0"/>
          <w:numId w:val="8"/>
        </w:numPr>
        <w:rPr>
          <w:rStyle w:val="Lienhypertexte"/>
          <w:rFonts w:eastAsia="Times New Roman" w:cs="Calibri"/>
          <w:sz w:val="22"/>
          <w:lang w:eastAsia="fr-FR"/>
        </w:rPr>
      </w:pPr>
      <w:r>
        <w:rPr>
          <w:lang w:eastAsia="fr-FR"/>
        </w:rPr>
        <w:fldChar w:fldCharType="begin"/>
      </w:r>
      <w:r>
        <w:rPr>
          <w:lang w:eastAsia="fr-FR"/>
        </w:rPr>
        <w:instrText xml:space="preserve"> HYPERLINK "https://www.legifrance.gouv.fr/loda/id/JORFTEXT000000703628/" \o "Décret n°82-1105 du 23 décembre 1982 relatif aux indices de la fonction publique - legifrance.gouv.fr - Nouvelle fenêtre" \t "_blank" </w:instrText>
      </w:r>
      <w:r>
        <w:rPr>
          <w:lang w:eastAsia="fr-FR"/>
        </w:rPr>
        <w:fldChar w:fldCharType="separate"/>
      </w:r>
      <w:r>
        <w:rPr>
          <w:rStyle w:val="Lienhypertexte"/>
          <w:rFonts w:eastAsia="Times New Roman" w:cs="Calibri"/>
          <w:sz w:val="22"/>
          <w:lang w:eastAsia="fr-FR"/>
        </w:rPr>
        <w:t>Décret n°82-1105 du 23 décembre 1982 relatif aux indices de la fonction publique (Annexe (Article Barème A)</w:t>
      </w:r>
      <w:r>
        <w:rPr>
          <w:rStyle w:val="Lienhypertexte"/>
          <w:rFonts w:eastAsia="Times New Roman" w:cs="Times New Roman"/>
          <w:sz w:val="22"/>
        </w:rPr>
        <w:t>)</w:t>
      </w:r>
    </w:p>
    <w:p>
      <w:pPr>
        <w:spacing w:after="0" w:line="240" w:lineRule="auto"/>
        <w:ind w:left="720"/>
        <w:jc w:val="both"/>
        <w:rPr>
          <w:rFonts w:eastAsia="Times New Roman" w:cs="Calibri"/>
          <w:sz w:val="22"/>
          <w:u w:val="single"/>
          <w:lang w:eastAsia="fr-FR"/>
        </w:rPr>
      </w:pPr>
      <w:r>
        <w:rPr>
          <w:rFonts w:eastAsia="Times New Roman" w:cs="Calibri"/>
          <w:sz w:val="22"/>
          <w:u w:val="single"/>
          <w:lang w:eastAsia="fr-FR"/>
        </w:rPr>
        <w:fldChar w:fldCharType="end"/>
      </w:r>
    </w:p>
    <w:p>
      <w:pPr>
        <w:spacing w:after="0" w:line="240" w:lineRule="auto"/>
        <w:ind w:left="720"/>
        <w:jc w:val="both"/>
        <w:rPr>
          <w:rFonts w:eastAsia="Times New Roman" w:cs="Calibri"/>
          <w:sz w:val="22"/>
          <w:lang w:eastAsia="fr-FR"/>
        </w:rPr>
      </w:pPr>
    </w:p>
    <w:p>
      <w:pPr>
        <w:spacing w:after="0" w:line="240" w:lineRule="auto"/>
        <w:ind w:left="720"/>
        <w:jc w:val="both"/>
        <w:rPr>
          <w:rFonts w:eastAsia="Times New Roman" w:cs="Calibri"/>
          <w:sz w:val="22"/>
          <w:lang w:eastAsia="fr-FR"/>
        </w:rPr>
      </w:pPr>
      <w:r>
        <w:rPr>
          <w:rFonts w:eastAsia="Times New Roman" w:cs="Calibri"/>
          <w:sz w:val="22"/>
          <w:lang w:eastAsia="fr-FR"/>
        </w:rPr>
        <w:t xml:space="preserve">Le dispositif général est complété pour les magistrats et auditeurs qui constituent une population particulière régie par : </w:t>
      </w:r>
    </w:p>
    <w:p>
      <w:pPr>
        <w:spacing w:after="0" w:line="240" w:lineRule="auto"/>
        <w:ind w:left="720"/>
        <w:jc w:val="both"/>
        <w:rPr>
          <w:rFonts w:eastAsia="Times New Roman" w:cs="Calibri"/>
          <w:sz w:val="22"/>
          <w:lang w:eastAsia="fr-FR"/>
        </w:rPr>
      </w:pPr>
    </w:p>
    <w:p>
      <w:pPr>
        <w:numPr>
          <w:ilvl w:val="0"/>
          <w:numId w:val="9"/>
        </w:numPr>
        <w:spacing w:after="0" w:line="240" w:lineRule="auto"/>
        <w:jc w:val="both"/>
        <w:rPr>
          <w:rFonts w:cs="Calibri"/>
          <w:sz w:val="22"/>
          <w:szCs w:val="24"/>
          <w:u w:val="single"/>
          <w:lang w:eastAsia="fr-FR"/>
        </w:rPr>
      </w:pPr>
      <w:hyperlink r:id="rId21" w:history="1">
        <w:r>
          <w:rPr>
            <w:rStyle w:val="Lienhypertexte"/>
            <w:sz w:val="22"/>
            <w:szCs w:val="24"/>
          </w:rPr>
          <w:t>Ordonnance n° 58-1270 du 22 décembre 1958 portant loi organique relative au statut de la magistrature</w:t>
        </w:r>
      </w:hyperlink>
      <w:r>
        <w:rPr>
          <w:b/>
          <w:bCs/>
          <w:i/>
          <w:iCs/>
          <w:sz w:val="22"/>
          <w:szCs w:val="24"/>
        </w:rPr>
        <w:t xml:space="preserve"> </w:t>
      </w:r>
    </w:p>
    <w:p>
      <w:pPr>
        <w:spacing w:after="0" w:line="240" w:lineRule="auto"/>
        <w:ind w:left="720"/>
        <w:jc w:val="both"/>
        <w:rPr>
          <w:rFonts w:cs="Calibri"/>
          <w:sz w:val="22"/>
          <w:szCs w:val="24"/>
          <w:u w:val="single"/>
          <w:lang w:eastAsia="fr-FR"/>
        </w:rPr>
      </w:pPr>
    </w:p>
    <w:p>
      <w:pPr>
        <w:numPr>
          <w:ilvl w:val="0"/>
          <w:numId w:val="9"/>
        </w:numPr>
        <w:spacing w:after="0" w:line="240" w:lineRule="auto"/>
        <w:jc w:val="both"/>
        <w:rPr>
          <w:rFonts w:cs="Calibri"/>
          <w:sz w:val="22"/>
          <w:szCs w:val="24"/>
          <w:u w:val="single"/>
          <w:lang w:eastAsia="fr-FR"/>
        </w:rPr>
      </w:pPr>
      <w:hyperlink r:id="rId22" w:history="1">
        <w:r>
          <w:rPr>
            <w:rStyle w:val="Lienhypertexte"/>
            <w:sz w:val="22"/>
            <w:szCs w:val="24"/>
          </w:rPr>
          <w:t>Décret n° 2023-488 du 21 juin 2023 relatif à l'échelonnement indiciaire des magistrats administratifs</w:t>
        </w:r>
      </w:hyperlink>
    </w:p>
    <w:p>
      <w:pPr>
        <w:pStyle w:val="Paragraphedeliste"/>
        <w:spacing w:after="0" w:line="240" w:lineRule="auto"/>
        <w:jc w:val="both"/>
        <w:rPr>
          <w:rFonts w:eastAsia="Times New Roman" w:cs="Calibri"/>
          <w:sz w:val="22"/>
          <w:u w:val="single"/>
          <w:lang w:eastAsia="fr-FR"/>
        </w:rPr>
      </w:pPr>
    </w:p>
    <w:p>
      <w:pPr>
        <w:pStyle w:val="Paragraphedeliste"/>
        <w:numPr>
          <w:ilvl w:val="0"/>
          <w:numId w:val="2"/>
        </w:numPr>
        <w:spacing w:after="0" w:line="240" w:lineRule="auto"/>
        <w:jc w:val="both"/>
        <w:rPr>
          <w:rFonts w:eastAsia="Times New Roman" w:cs="Calibri"/>
          <w:sz w:val="22"/>
          <w:u w:val="single"/>
          <w:lang w:eastAsia="fr-FR"/>
        </w:rPr>
      </w:pPr>
      <w:hyperlink r:id="rId23" w:history="1">
        <w:r>
          <w:rPr>
            <w:rStyle w:val="Lienhypertexte"/>
            <w:sz w:val="22"/>
            <w:szCs w:val="24"/>
          </w:rPr>
          <w:t>Décret n° 2017-661 du 27 avril 2017 fixant l'échelonnement indiciaire des magistrats de l'ordre judiciaire</w:t>
        </w:r>
      </w:hyperlink>
    </w:p>
    <w:bookmarkEnd w:id="30"/>
    <w:p>
      <w:pPr>
        <w:rPr>
          <w:rFonts w:cs="Times New Roman"/>
          <w:sz w:val="22"/>
        </w:rPr>
      </w:pPr>
      <w:r>
        <w:rPr>
          <w:rFonts w:cs="Times New Roman"/>
          <w:sz w:val="22"/>
        </w:rPr>
        <w:br w:type="page"/>
      </w:r>
    </w:p>
    <w:p>
      <w:pPr>
        <w:keepNext/>
        <w:keepLines/>
        <w:spacing w:before="40" w:after="0" w:line="240" w:lineRule="auto"/>
        <w:outlineLvl w:val="2"/>
        <w:rPr>
          <w:strike/>
          <w:sz w:val="22"/>
          <w:szCs w:val="24"/>
        </w:rPr>
      </w:pPr>
    </w:p>
    <w:bookmarkStart w:id="33" w:name="_Toc225170932"/>
    <w:p>
      <w:pPr>
        <w:keepNext/>
        <w:keepLines/>
        <w:spacing w:before="40" w:after="0" w:line="240" w:lineRule="auto"/>
        <w:ind w:left="360"/>
        <w:outlineLvl w:val="2"/>
        <w:rPr>
          <w:rFonts w:eastAsiaTheme="majorEastAsia" w:cstheme="majorBidi"/>
          <w:bCs/>
          <w:color w:val="FFFFFF" w:themeColor="background1"/>
          <w:sz w:val="36"/>
          <w:szCs w:val="24"/>
        </w:rPr>
      </w:pPr>
      <w:r>
        <w:rPr>
          <w:rFonts w:eastAsiaTheme="majorEastAsia" w:cstheme="majorBidi"/>
          <w:b/>
          <w:noProof/>
          <w:color w:val="FFFFFF" w:themeColor="background1"/>
          <w:sz w:val="36"/>
          <w:szCs w:val="24"/>
        </w:rPr>
        <mc:AlternateContent>
          <mc:Choice Requires="wps">
            <w:drawing>
              <wp:anchor distT="0" distB="0" distL="114300" distR="114300" simplePos="0" relativeHeight="252210176" behindDoc="1" locked="0" layoutInCell="1" allowOverlap="1">
                <wp:simplePos x="0" y="0"/>
                <wp:positionH relativeFrom="margin">
                  <wp:align>right</wp:align>
                </wp:positionH>
                <wp:positionV relativeFrom="paragraph">
                  <wp:posOffset>30537</wp:posOffset>
                </wp:positionV>
                <wp:extent cx="6113088" cy="341194"/>
                <wp:effectExtent l="0" t="0" r="2540" b="1905"/>
                <wp:wrapNone/>
                <wp:docPr id="22" name="Rectangle 2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13088" cy="341194"/>
                        </a:xfrm>
                        <a:prstGeom prst="rect">
                          <a:avLst/>
                        </a:prstGeom>
                        <a:solidFill>
                          <a:srgbClr val="5770BE"/>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2" o:spid="_x0000_s1026" alt="&quot;&quot;" style="position:absolute;margin-left:430.15pt;margin-top:2.4pt;width:481.35pt;height:26.85pt;z-index:-251106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" fillcolor="#5770be" stroked="f" strokeweight="1pt">
                <w10:wrap anchorx="margin"/>
              </v:rect>
            </w:pict>
          </mc:Fallback>
        </mc:AlternateContent>
      </w:r>
      <w:r>
        <w:rPr>
          <w:rFonts w:eastAsiaTheme="majorEastAsia" w:cstheme="majorBidi"/>
          <w:bCs/>
          <w:color w:val="FFFFFF" w:themeColor="background1"/>
          <w:sz w:val="36"/>
          <w:szCs w:val="24"/>
        </w:rPr>
        <w:t>1.1.2. Détermination du Traitement indiciaire</w:t>
      </w:r>
      <w:bookmarkEnd w:id="33"/>
    </w:p>
    <w:p>
      <w:pPr>
        <w:rPr>
          <w:b/>
          <w:bCs/>
          <w:i/>
          <w:iCs/>
          <w:sz w:val="22"/>
          <w:szCs w:val="24"/>
          <w:u w:val="single"/>
        </w:rPr>
      </w:pPr>
    </w:p>
    <w:p>
      <w:pPr>
        <w:spacing w:after="0" w:line="240" w:lineRule="auto"/>
        <w:jc w:val="both"/>
        <w:rPr>
          <w:sz w:val="22"/>
        </w:rPr>
      </w:pPr>
    </w:p>
    <w:p>
      <w:pPr>
        <w:spacing w:after="0" w:line="240" w:lineRule="auto"/>
        <w:jc w:val="both"/>
        <w:rPr>
          <w:rFonts w:cs="Calibri"/>
          <w:i/>
          <w:iCs/>
          <w:sz w:val="22"/>
          <w:shd w:val="clear" w:color="auto" w:fill="FFFFFF"/>
        </w:rPr>
      </w:pPr>
      <w:r>
        <w:rPr>
          <w:sz w:val="22"/>
        </w:rPr>
        <w:t>Le CGFP précise à </w:t>
      </w:r>
      <w:hyperlink r:id="rId24" w:history="1">
        <w:r>
          <w:rPr>
            <w:rStyle w:val="Lienhypertexte"/>
            <w:sz w:val="22"/>
          </w:rPr>
          <w:t>L’article L712-1</w:t>
        </w:r>
      </w:hyperlink>
      <w:r>
        <w:rPr>
          <w:sz w:val="22"/>
        </w:rPr>
        <w:t xml:space="preserve"> que l’agent à le droit après service fait à « </w:t>
      </w:r>
      <w:r>
        <w:rPr>
          <w:i/>
          <w:iCs/>
          <w:sz w:val="22"/>
        </w:rPr>
        <w:t xml:space="preserve">[…] une rémunération comprenant […] le traitement […] l'indemnité de résidence […] » et à </w:t>
      </w:r>
      <w:hyperlink r:id="rId25" w:history="1">
        <w:r>
          <w:rPr>
            <w:rStyle w:val="Lienhypertexte"/>
            <w:rFonts w:cs="Calibri"/>
            <w:sz w:val="22"/>
            <w:shd w:val="clear" w:color="auto" w:fill="FFFFFF"/>
          </w:rPr>
          <w:t>L’article L.712-2</w:t>
        </w:r>
      </w:hyperlink>
      <w:r>
        <w:rPr>
          <w:rFonts w:cs="Calibri"/>
          <w:sz w:val="22"/>
          <w:shd w:val="clear" w:color="auto" w:fill="FFFFFF"/>
        </w:rPr>
        <w:t xml:space="preserve"> que </w:t>
      </w:r>
      <w:r>
        <w:rPr>
          <w:i/>
          <w:iCs/>
          <w:sz w:val="22"/>
        </w:rPr>
        <w:t>« L</w:t>
      </w:r>
      <w:r>
        <w:rPr>
          <w:rFonts w:cs="Calibri"/>
          <w:i/>
          <w:iCs/>
          <w:sz w:val="22"/>
          <w:shd w:val="clear" w:color="auto" w:fill="FFFFFF"/>
        </w:rPr>
        <w:t>e montant du traitement est fixé en fonction du grade du fonctionnaire et de l'échelon auquel il est parvenu, ou de l'emploi auquel il a été nommé. »</w:t>
      </w:r>
    </w:p>
    <w:p>
      <w:pPr>
        <w:spacing w:after="0" w:line="240" w:lineRule="auto"/>
        <w:jc w:val="both"/>
        <w:rPr>
          <w:rFonts w:cs="Calibri"/>
          <w:i/>
          <w:iCs/>
          <w:sz w:val="22"/>
          <w:shd w:val="clear" w:color="auto" w:fill="FFFFFF"/>
        </w:rPr>
      </w:pPr>
    </w:p>
    <w:p>
      <w:pPr>
        <w:spacing w:after="0" w:line="240" w:lineRule="auto"/>
        <w:jc w:val="both"/>
        <w:rPr>
          <w:i/>
          <w:iCs/>
          <w:sz w:val="22"/>
          <w:szCs w:val="24"/>
        </w:rPr>
      </w:pPr>
      <w:hyperlink r:id="rId26" w:history="1">
        <w:r>
          <w:rPr>
            <w:rStyle w:val="Lienhypertexte"/>
            <w:sz w:val="22"/>
            <w:szCs w:val="24"/>
          </w:rPr>
          <w:t>L’article 42 de l’ordonnance n°58-1270</w:t>
        </w:r>
      </w:hyperlink>
      <w:r>
        <w:rPr>
          <w:sz w:val="22"/>
          <w:szCs w:val="24"/>
        </w:rPr>
        <w:t xml:space="preserve"> du 22 décembre 1958 prévoit que </w:t>
      </w:r>
      <w:r>
        <w:rPr>
          <w:i/>
          <w:iCs/>
          <w:sz w:val="22"/>
          <w:szCs w:val="24"/>
        </w:rPr>
        <w:t>« Les magistrats perçoivent une rémunération qui comprend le traitement et ses accessoires. Les traitements des magistrats sont fixés par décret en conseil des ministres. »</w:t>
      </w:r>
    </w:p>
    <w:p>
      <w:pPr>
        <w:spacing w:after="0"/>
        <w:jc w:val="both"/>
        <w:rPr>
          <w:i/>
          <w:iCs/>
          <w:sz w:val="22"/>
          <w:szCs w:val="24"/>
          <w:highlight w:val="yellow"/>
        </w:rPr>
      </w:pPr>
    </w:p>
    <w:p>
      <w:pPr>
        <w:spacing w:after="0" w:line="240" w:lineRule="auto"/>
        <w:jc w:val="both"/>
        <w:rPr>
          <w:sz w:val="22"/>
          <w:szCs w:val="24"/>
        </w:rPr>
      </w:pPr>
      <w:r>
        <w:rPr>
          <w:sz w:val="22"/>
          <w:szCs w:val="24"/>
        </w:rPr>
        <w:t xml:space="preserve">Le traitement est déterminé en fonction du corps, du grade et de l’échelon : chaque corps est composé d’un ou plusieurs grades ; chaque grade est associé à une échelle indiciaire ; chaque échelon d’une échelle est associé à un indice brut (IB) auquel correspond un indice majoré (IM), servant de base au calcul du traitement indiciaire. </w:t>
      </w:r>
    </w:p>
    <w:p>
      <w:pPr>
        <w:spacing w:after="0" w:line="240" w:lineRule="auto"/>
        <w:jc w:val="both"/>
        <w:rPr>
          <w:sz w:val="22"/>
          <w:szCs w:val="24"/>
        </w:rPr>
      </w:pPr>
    </w:p>
    <w:p>
      <w:pPr>
        <w:spacing w:after="0" w:line="240" w:lineRule="auto"/>
        <w:jc w:val="both"/>
        <w:rPr>
          <w:sz w:val="22"/>
          <w:szCs w:val="24"/>
        </w:rPr>
      </w:pPr>
      <w:hyperlink r:id="rId27" w:history="1">
        <w:r>
          <w:rPr>
            <w:rStyle w:val="Lienhypertexte"/>
            <w:sz w:val="22"/>
            <w:szCs w:val="24"/>
          </w:rPr>
          <w:t>L’article 4</w:t>
        </w:r>
      </w:hyperlink>
      <w:r>
        <w:rPr>
          <w:sz w:val="22"/>
          <w:szCs w:val="24"/>
        </w:rPr>
        <w:t xml:space="preserve"> du décret n°85-1148 précise que </w:t>
      </w:r>
      <w:r>
        <w:rPr>
          <w:i/>
          <w:iCs/>
          <w:sz w:val="22"/>
          <w:szCs w:val="24"/>
        </w:rPr>
        <w:t xml:space="preserve">« Le barème de correspondance à retenir entre indices nets, bruts, nouveaux et majorés figure au </w:t>
      </w:r>
      <w:hyperlink r:id="rId28" w:history="1">
        <w:r>
          <w:rPr>
            <w:rStyle w:val="Lienhypertexte"/>
            <w:i/>
            <w:iCs/>
            <w:sz w:val="22"/>
            <w:szCs w:val="24"/>
          </w:rPr>
          <w:t>barème A</w:t>
        </w:r>
      </w:hyperlink>
      <w:r>
        <w:rPr>
          <w:i/>
          <w:iCs/>
          <w:sz w:val="22"/>
          <w:szCs w:val="24"/>
        </w:rPr>
        <w:t xml:space="preserve"> annexé au décret du 23 décembre 1982 […] </w:t>
      </w:r>
      <w:r>
        <w:rPr>
          <w:sz w:val="22"/>
          <w:szCs w:val="24"/>
        </w:rPr>
        <w:t xml:space="preserve">». </w:t>
      </w:r>
    </w:p>
    <w:p>
      <w:pPr>
        <w:spacing w:after="0"/>
        <w:jc w:val="both"/>
        <w:rPr>
          <w:sz w:val="22"/>
          <w:szCs w:val="24"/>
        </w:rPr>
      </w:pPr>
    </w:p>
    <w:p>
      <w:pPr>
        <w:spacing w:after="0"/>
        <w:jc w:val="both"/>
        <w:rPr>
          <w:sz w:val="22"/>
          <w:szCs w:val="24"/>
        </w:rPr>
      </w:pPr>
      <w:r>
        <w:rPr>
          <w:sz w:val="22"/>
          <w:szCs w:val="24"/>
        </w:rPr>
        <w:t xml:space="preserve">Ce barème détaille la correspondance entre indices bruts et majorés. </w:t>
      </w:r>
    </w:p>
    <w:p>
      <w:pPr>
        <w:spacing w:after="0"/>
        <w:jc w:val="both"/>
        <w:rPr>
          <w:sz w:val="22"/>
          <w:szCs w:val="24"/>
        </w:rPr>
      </w:pPr>
      <w:r>
        <w:rPr>
          <w:sz w:val="22"/>
          <w:szCs w:val="24"/>
        </w:rPr>
        <w:t xml:space="preserve">Les indices bruts s’échelonnent de 100 à 1027 et les indices majorés s’échelonnent de 208 à 835. </w:t>
      </w:r>
    </w:p>
    <w:p>
      <w:pPr>
        <w:spacing w:after="0"/>
        <w:jc w:val="both"/>
        <w:rPr>
          <w:sz w:val="22"/>
          <w:szCs w:val="24"/>
        </w:rPr>
      </w:pPr>
    </w:p>
    <w:p>
      <w:pPr>
        <w:spacing w:after="0"/>
        <w:jc w:val="both"/>
        <w:rPr>
          <w:sz w:val="22"/>
          <w:szCs w:val="24"/>
        </w:rPr>
      </w:pPr>
      <w:r>
        <w:rPr>
          <w:sz w:val="22"/>
          <w:szCs w:val="24"/>
        </w:rPr>
        <w:t>Il est à noter que l’indice brut 100 est qualifié d’indice de base. En effet c’est à cet indice de base qu’est associé la valeur annuelle du point fonction publique servant au calcul du traitement de base.</w:t>
      </w:r>
    </w:p>
    <w:p>
      <w:pPr>
        <w:spacing w:after="0"/>
        <w:jc w:val="both"/>
        <w:rPr>
          <w:sz w:val="22"/>
          <w:szCs w:val="24"/>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60"/>
        <w:gridCol w:w="2268"/>
      </w:tblGrid>
      <w:tr>
        <w:trPr>
          <w:tblCellSpacing w:w="15" w:type="dxa"/>
        </w:trPr>
        <w:tc>
          <w:tcPr>
            <w:tcW w:w="2215" w:type="dxa"/>
            <w:tcBorders>
              <w:top w:val="outset" w:sz="6" w:space="0" w:color="auto"/>
              <w:left w:val="outset" w:sz="6" w:space="0" w:color="auto"/>
              <w:bottom w:val="outset" w:sz="6" w:space="0" w:color="auto"/>
              <w:right w:val="outset" w:sz="6" w:space="0" w:color="auto"/>
            </w:tcBorders>
            <w:shd w:val="clear" w:color="auto" w:fill="C5E0B3" w:themeFill="accent6" w:themeFillTint="66"/>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INDICES BRUTS</w:t>
            </w:r>
          </w:p>
          <w:p>
            <w:pPr>
              <w:spacing w:after="0" w:line="240" w:lineRule="auto"/>
              <w:jc w:val="center"/>
              <w:rPr>
                <w:rFonts w:ascii="Times New Roman" w:eastAsia="Times New Roman" w:hAnsi="Times New Roman" w:cs="Times New Roman"/>
                <w:sz w:val="24"/>
                <w:szCs w:val="24"/>
                <w:lang w:eastAsia="fr-FR"/>
              </w:rPr>
            </w:pPr>
          </w:p>
        </w:tc>
        <w:tc>
          <w:tcPr>
            <w:tcW w:w="2223" w:type="dxa"/>
            <w:tcBorders>
              <w:top w:val="outset" w:sz="6" w:space="0" w:color="auto"/>
              <w:left w:val="outset" w:sz="6" w:space="0" w:color="auto"/>
              <w:bottom w:val="outset" w:sz="6" w:space="0" w:color="auto"/>
              <w:right w:val="outset" w:sz="6" w:space="0" w:color="auto"/>
            </w:tcBorders>
            <w:shd w:val="clear" w:color="auto" w:fill="C5E0B3" w:themeFill="accent6" w:themeFillTint="66"/>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INDICES MAJORÉS</w:t>
            </w:r>
          </w:p>
          <w:p>
            <w:pPr>
              <w:spacing w:after="0" w:line="240" w:lineRule="auto"/>
              <w:jc w:val="center"/>
              <w:rPr>
                <w:rFonts w:ascii="Times New Roman" w:eastAsia="Times New Roman" w:hAnsi="Times New Roman" w:cs="Times New Roman"/>
                <w:sz w:val="24"/>
                <w:szCs w:val="24"/>
                <w:lang w:eastAsia="fr-FR"/>
              </w:rPr>
            </w:pPr>
          </w:p>
        </w:tc>
      </w:tr>
      <w:tr>
        <w:trPr>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sz w:val="24"/>
                <w:szCs w:val="24"/>
                <w:lang w:eastAsia="fr-FR"/>
              </w:rPr>
              <w:br/>
            </w:r>
            <w:r>
              <w:rPr>
                <w:rFonts w:ascii="Times New Roman" w:eastAsia="Times New Roman" w:hAnsi="Times New Roman" w:cs="Times New Roman"/>
                <w:b/>
                <w:bCs/>
                <w:color w:val="91AE4F"/>
                <w:sz w:val="24"/>
                <w:szCs w:val="24"/>
                <w:lang w:eastAsia="fr-FR"/>
              </w:rPr>
              <w:t>100</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208</w:t>
            </w:r>
          </w:p>
        </w:tc>
      </w:tr>
      <w:tr>
        <w:trPr>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101</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209</w:t>
            </w:r>
          </w:p>
        </w:tc>
      </w:tr>
      <w:tr>
        <w:trPr>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102</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209</w:t>
            </w:r>
          </w:p>
        </w:tc>
      </w:tr>
      <w:tr>
        <w:trPr>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103</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210</w:t>
            </w:r>
          </w:p>
        </w:tc>
      </w:tr>
    </w:tbl>
    <w:p>
      <w:pPr>
        <w:tabs>
          <w:tab w:val="left" w:pos="2127"/>
        </w:tabs>
        <w:spacing w:after="0"/>
        <w:jc w:val="both"/>
        <w:rPr>
          <w:sz w:val="28"/>
          <w:szCs w:val="28"/>
        </w:rPr>
      </w:pPr>
      <w:r>
        <w:rPr>
          <w:sz w:val="22"/>
          <w:szCs w:val="24"/>
        </w:rPr>
        <w:tab/>
      </w:r>
      <w:r>
        <w:rPr>
          <w:sz w:val="28"/>
          <w:szCs w:val="28"/>
        </w:rPr>
        <w:t>(…)</w:t>
      </w:r>
    </w:p>
    <w:tbl>
      <w:tblPr>
        <w:tblW w:w="4528"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60"/>
        <w:gridCol w:w="2268"/>
      </w:tblGrid>
      <w:tr>
        <w:trPr>
          <w:trHeight w:val="567"/>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 xml:space="preserve"> 1024</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832</w:t>
            </w:r>
          </w:p>
        </w:tc>
      </w:tr>
      <w:tr>
        <w:trPr>
          <w:trHeight w:val="567"/>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1025</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833</w:t>
            </w:r>
          </w:p>
        </w:tc>
      </w:tr>
      <w:tr>
        <w:trPr>
          <w:trHeight w:val="552"/>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1026</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834</w:t>
            </w:r>
          </w:p>
        </w:tc>
      </w:tr>
      <w:tr>
        <w:trPr>
          <w:trHeight w:val="567"/>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1027</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835</w:t>
            </w:r>
          </w:p>
        </w:tc>
      </w:tr>
    </w:tbl>
    <w:p>
      <w:pPr>
        <w:spacing w:after="0" w:line="240" w:lineRule="auto"/>
        <w:jc w:val="both"/>
        <w:rPr>
          <w:sz w:val="22"/>
          <w:szCs w:val="24"/>
        </w:rPr>
      </w:pPr>
      <w:bookmarkStart w:id="34" w:name="_Hlk202948467"/>
    </w:p>
    <w:p>
      <w:pPr>
        <w:spacing w:after="0" w:line="240" w:lineRule="auto"/>
        <w:jc w:val="both"/>
        <w:rPr>
          <w:sz w:val="22"/>
          <w:szCs w:val="24"/>
        </w:rPr>
      </w:pPr>
      <w:r>
        <w:rPr>
          <w:sz w:val="22"/>
          <w:szCs w:val="24"/>
        </w:rPr>
        <w:lastRenderedPageBreak/>
        <w:t xml:space="preserve">En outre, les agents mentionnés à </w:t>
      </w:r>
      <w:hyperlink r:id="rId29" w:history="1">
        <w:r>
          <w:rPr>
            <w:rStyle w:val="Lienhypertexte"/>
            <w:sz w:val="22"/>
            <w:szCs w:val="24"/>
          </w:rPr>
          <w:t>l’annexe 2 du décret 85-1148</w:t>
        </w:r>
      </w:hyperlink>
      <w:r>
        <w:rPr>
          <w:sz w:val="22"/>
          <w:szCs w:val="24"/>
        </w:rPr>
        <w:t xml:space="preserve">, et occupant certains emplois supérieurs de la FPE, bénéficient d’une échelle indiciaire dont les indices bruts s’échelonnent de 1028 à 2100 et les indices majorés s’échelonnent de 836 à 1596. </w:t>
      </w:r>
    </w:p>
    <w:p>
      <w:pPr>
        <w:spacing w:after="0" w:line="240" w:lineRule="auto"/>
        <w:jc w:val="both"/>
        <w:rPr>
          <w:sz w:val="22"/>
          <w:szCs w:val="24"/>
        </w:rPr>
      </w:pPr>
    </w:p>
    <w:p>
      <w:pPr>
        <w:spacing w:after="0" w:line="240" w:lineRule="auto"/>
        <w:jc w:val="both"/>
        <w:rPr>
          <w:rFonts w:eastAsia="Times New Roman" w:cs="Calibri"/>
          <w:sz w:val="22"/>
          <w:lang w:eastAsia="fr-FR"/>
        </w:rPr>
      </w:pPr>
      <w:hyperlink r:id="rId30" w:history="1">
        <w:r>
          <w:rPr>
            <w:rStyle w:val="Lienhypertexte"/>
            <w:rFonts w:eastAsia="Times New Roman" w:cs="Calibri"/>
            <w:sz w:val="22"/>
            <w:lang w:eastAsia="fr-FR"/>
          </w:rPr>
          <w:t>L’annexe 3 du décret 85-1148</w:t>
        </w:r>
      </w:hyperlink>
      <w:r>
        <w:rPr>
          <w:rFonts w:eastAsia="Times New Roman" w:cs="Calibri"/>
          <w:sz w:val="22"/>
          <w:lang w:eastAsia="fr-FR"/>
        </w:rPr>
        <w:t xml:space="preserve"> précise ce barème spécifique applicable aux agents concernés.  </w:t>
      </w:r>
    </w:p>
    <w:p>
      <w:pPr>
        <w:spacing w:after="0" w:line="240" w:lineRule="auto"/>
        <w:jc w:val="both"/>
        <w:rPr>
          <w:rFonts w:eastAsia="Times New Roman" w:cs="Calibri"/>
          <w:sz w:val="22"/>
          <w:lang w:eastAsia="fr-FR"/>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60"/>
        <w:gridCol w:w="2268"/>
      </w:tblGrid>
      <w:tr>
        <w:trPr>
          <w:tblCellSpacing w:w="15" w:type="dxa"/>
        </w:trPr>
        <w:tc>
          <w:tcPr>
            <w:tcW w:w="2215" w:type="dxa"/>
            <w:tcBorders>
              <w:top w:val="outset" w:sz="6" w:space="0" w:color="auto"/>
              <w:left w:val="outset" w:sz="6" w:space="0" w:color="auto"/>
              <w:bottom w:val="outset" w:sz="6" w:space="0" w:color="auto"/>
              <w:right w:val="outset" w:sz="6" w:space="0" w:color="auto"/>
            </w:tcBorders>
            <w:shd w:val="clear" w:color="auto" w:fill="C5E0B3" w:themeFill="accent6" w:themeFillTint="66"/>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INDICES BRUTS</w:t>
            </w:r>
            <w:r>
              <w:rPr>
                <w:rFonts w:ascii="Times New Roman" w:eastAsia="Times New Roman" w:hAnsi="Times New Roman" w:cs="Times New Roman"/>
                <w:sz w:val="24"/>
                <w:szCs w:val="24"/>
                <w:lang w:eastAsia="fr-FR"/>
              </w:rPr>
              <w:br/>
            </w:r>
            <w:r>
              <w:rPr>
                <w:rFonts w:ascii="Times New Roman" w:eastAsia="Times New Roman" w:hAnsi="Times New Roman" w:cs="Times New Roman"/>
                <w:sz w:val="24"/>
                <w:szCs w:val="24"/>
                <w:lang w:eastAsia="fr-FR"/>
              </w:rPr>
              <w:br/>
              <w:t>spécifiques</w:t>
            </w:r>
          </w:p>
        </w:tc>
        <w:tc>
          <w:tcPr>
            <w:tcW w:w="2223" w:type="dxa"/>
            <w:tcBorders>
              <w:top w:val="outset" w:sz="6" w:space="0" w:color="auto"/>
              <w:left w:val="outset" w:sz="6" w:space="0" w:color="auto"/>
              <w:bottom w:val="outset" w:sz="6" w:space="0" w:color="auto"/>
              <w:right w:val="outset" w:sz="6" w:space="0" w:color="auto"/>
            </w:tcBorders>
            <w:shd w:val="clear" w:color="auto" w:fill="C5E0B3" w:themeFill="accent6" w:themeFillTint="66"/>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INDICES MAJORÉS</w:t>
            </w:r>
            <w:r>
              <w:rPr>
                <w:rFonts w:ascii="Times New Roman" w:eastAsia="Times New Roman" w:hAnsi="Times New Roman" w:cs="Times New Roman"/>
                <w:sz w:val="24"/>
                <w:szCs w:val="24"/>
                <w:lang w:eastAsia="fr-FR"/>
              </w:rPr>
              <w:br/>
            </w:r>
            <w:r>
              <w:rPr>
                <w:rFonts w:ascii="Times New Roman" w:eastAsia="Times New Roman" w:hAnsi="Times New Roman" w:cs="Times New Roman"/>
                <w:sz w:val="24"/>
                <w:szCs w:val="24"/>
                <w:lang w:eastAsia="fr-FR"/>
              </w:rPr>
              <w:br/>
              <w:t>spécifiques</w:t>
            </w:r>
          </w:p>
        </w:tc>
      </w:tr>
      <w:tr>
        <w:trPr>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1028</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836</w:t>
            </w:r>
          </w:p>
        </w:tc>
      </w:tr>
      <w:tr>
        <w:trPr>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1029</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837</w:t>
            </w:r>
          </w:p>
        </w:tc>
      </w:tr>
      <w:tr>
        <w:trPr>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1030</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838</w:t>
            </w:r>
          </w:p>
        </w:tc>
      </w:tr>
      <w:tr>
        <w:trPr>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1031</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839</w:t>
            </w:r>
          </w:p>
        </w:tc>
      </w:tr>
    </w:tbl>
    <w:p>
      <w:pPr>
        <w:tabs>
          <w:tab w:val="left" w:pos="2127"/>
        </w:tabs>
        <w:spacing w:after="0" w:line="240" w:lineRule="auto"/>
        <w:jc w:val="both"/>
        <w:rPr>
          <w:sz w:val="28"/>
          <w:szCs w:val="32"/>
        </w:rPr>
      </w:pPr>
      <w:r>
        <w:rPr>
          <w:sz w:val="28"/>
          <w:szCs w:val="32"/>
        </w:rPr>
        <w:tab/>
        <w:t>(…)</w:t>
      </w:r>
    </w:p>
    <w:tbl>
      <w:tblPr>
        <w:tblW w:w="4528"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60"/>
        <w:gridCol w:w="2268"/>
      </w:tblGrid>
      <w:tr>
        <w:trPr>
          <w:trHeight w:val="567"/>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 xml:space="preserve"> 2097</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1593</w:t>
            </w:r>
          </w:p>
        </w:tc>
      </w:tr>
      <w:tr>
        <w:trPr>
          <w:trHeight w:val="567"/>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2098</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1594</w:t>
            </w:r>
          </w:p>
        </w:tc>
      </w:tr>
      <w:tr>
        <w:trPr>
          <w:trHeight w:val="552"/>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2099</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1595</w:t>
            </w:r>
          </w:p>
        </w:tc>
      </w:tr>
      <w:tr>
        <w:trPr>
          <w:trHeight w:val="567"/>
          <w:tblCellSpacing w:w="15" w:type="dxa"/>
        </w:trPr>
        <w:tc>
          <w:tcPr>
            <w:tcW w:w="2215"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2100</w:t>
            </w:r>
          </w:p>
        </w:tc>
        <w:tc>
          <w:tcPr>
            <w:tcW w:w="2223" w:type="dxa"/>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1596</w:t>
            </w:r>
          </w:p>
        </w:tc>
      </w:tr>
      <w:bookmarkEnd w:id="34"/>
    </w:tbl>
    <w:p>
      <w:pPr>
        <w:pStyle w:val="NormalWeb"/>
        <w:spacing w:before="0" w:beforeAutospacing="0" w:after="0" w:afterAutospacing="0"/>
        <w:jc w:val="both"/>
        <w:rPr>
          <w:rFonts w:ascii="Marianne" w:hAnsi="Marianne"/>
          <w:sz w:val="22"/>
          <w:szCs w:val="22"/>
          <w:lang w:eastAsia="en-US"/>
        </w:rPr>
      </w:pPr>
    </w:p>
    <w:p>
      <w:pPr>
        <w:pStyle w:val="NormalWeb"/>
        <w:spacing w:before="0" w:beforeAutospacing="0" w:after="0" w:afterAutospacing="0"/>
        <w:jc w:val="both"/>
        <w:rPr>
          <w:rFonts w:ascii="Marianne" w:hAnsi="Marianne"/>
          <w:sz w:val="22"/>
          <w:szCs w:val="22"/>
          <w:lang w:eastAsia="en-US"/>
        </w:rPr>
      </w:pPr>
    </w:p>
    <w:p>
      <w:pPr>
        <w:pStyle w:val="NormalWeb"/>
        <w:spacing w:before="0" w:beforeAutospacing="0" w:after="0" w:afterAutospacing="0"/>
        <w:jc w:val="both"/>
        <w:rPr>
          <w:rFonts w:ascii="Marianne" w:hAnsi="Marianne"/>
          <w:sz w:val="22"/>
          <w:szCs w:val="22"/>
          <w:lang w:eastAsia="en-US"/>
        </w:rPr>
      </w:pPr>
      <w:r>
        <w:rPr>
          <w:rFonts w:ascii="Marianne" w:hAnsi="Marianne"/>
          <w:sz w:val="22"/>
          <w:szCs w:val="22"/>
          <w:lang w:eastAsia="en-US"/>
        </w:rPr>
        <w:t xml:space="preserve">Certains grades d'encadrement supérieur (dits A+) comportent des échelons dont le traitement indiciaire est supérieur à celui de l'indice majoré 835. À chacun de ces échelons correspond un groupe et éventuellement un chevron. À chaque chevron de chaque groupe correspond un montant de traitement brut annuel fixé réglementairement. Ces traitements sont dits hors échelle. </w:t>
      </w:r>
    </w:p>
    <w:p>
      <w:pPr>
        <w:pStyle w:val="NormalWeb"/>
        <w:spacing w:before="0" w:beforeAutospacing="0" w:after="0" w:afterAutospacing="0"/>
        <w:jc w:val="both"/>
        <w:rPr>
          <w:rFonts w:ascii="Marianne" w:hAnsi="Marianne"/>
          <w:sz w:val="22"/>
          <w:szCs w:val="22"/>
          <w:lang w:eastAsia="en-US"/>
        </w:rPr>
      </w:pPr>
    </w:p>
    <w:p>
      <w:pPr>
        <w:pStyle w:val="NormalWeb"/>
        <w:spacing w:before="0" w:beforeAutospacing="0" w:after="0" w:afterAutospacing="0"/>
        <w:jc w:val="both"/>
        <w:rPr>
          <w:rFonts w:ascii="Marianne" w:hAnsi="Marianne"/>
          <w:sz w:val="22"/>
          <w:szCs w:val="22"/>
          <w:lang w:eastAsia="en-US"/>
        </w:rPr>
      </w:pPr>
      <w:r>
        <w:rPr>
          <w:rFonts w:ascii="Marianne" w:hAnsi="Marianne"/>
          <w:sz w:val="22"/>
          <w:szCs w:val="22"/>
          <w:lang w:eastAsia="en-US"/>
        </w:rPr>
        <w:t>Les groupes hors échelle sont au nombre de huit : A, B, B bis, C, D, E, F et G.</w:t>
      </w:r>
    </w:p>
    <w:p>
      <w:pPr>
        <w:pStyle w:val="NormalWeb"/>
        <w:spacing w:before="0" w:beforeAutospacing="0" w:after="0" w:afterAutospacing="0"/>
        <w:jc w:val="both"/>
        <w:rPr>
          <w:rFonts w:ascii="Marianne" w:hAnsi="Marianne"/>
          <w:sz w:val="22"/>
          <w:szCs w:val="22"/>
          <w:lang w:eastAsia="en-US"/>
        </w:rPr>
      </w:pPr>
    </w:p>
    <w:p>
      <w:pPr>
        <w:pStyle w:val="NormalWeb"/>
        <w:spacing w:before="0" w:beforeAutospacing="0" w:after="0" w:afterAutospacing="0"/>
        <w:jc w:val="both"/>
        <w:rPr>
          <w:rFonts w:ascii="Marianne" w:hAnsi="Marianne"/>
          <w:sz w:val="22"/>
          <w:szCs w:val="22"/>
          <w:lang w:eastAsia="en-US"/>
        </w:rPr>
      </w:pPr>
      <w:r>
        <w:rPr>
          <w:rFonts w:ascii="Marianne" w:hAnsi="Marianne"/>
          <w:sz w:val="22"/>
          <w:szCs w:val="22"/>
          <w:lang w:eastAsia="en-US"/>
        </w:rPr>
        <w:t xml:space="preserve">Les groupes de A à D bénéficient de trois chevrons chacun, le groupe E bénéficie de deux chevrons et les groupes F et G ne bénéficient que d’un seul chevron. </w:t>
      </w:r>
    </w:p>
    <w:p>
      <w:pPr>
        <w:pStyle w:val="NormalWeb"/>
        <w:spacing w:before="0" w:beforeAutospacing="0" w:after="0" w:afterAutospacing="0"/>
        <w:jc w:val="both"/>
        <w:rPr>
          <w:sz w:val="22"/>
        </w:rPr>
      </w:pPr>
    </w:p>
    <w:p>
      <w:pPr>
        <w:pStyle w:val="NormalWeb"/>
        <w:spacing w:before="0" w:beforeAutospacing="0" w:after="0" w:afterAutospacing="0"/>
        <w:jc w:val="both"/>
        <w:rPr>
          <w:rFonts w:ascii="Marianne" w:hAnsi="Marianne"/>
          <w:sz w:val="22"/>
          <w:szCs w:val="22"/>
          <w:lang w:eastAsia="en-US"/>
        </w:rPr>
      </w:pPr>
      <w:hyperlink r:id="rId31" w:history="1">
        <w:r>
          <w:rPr>
            <w:rStyle w:val="Lienhypertexte"/>
            <w:sz w:val="22"/>
          </w:rPr>
          <w:t>L</w:t>
        </w:r>
        <w:r>
          <w:rPr>
            <w:rStyle w:val="Lienhypertexte"/>
            <w:rFonts w:ascii="Marianne" w:hAnsi="Marianne"/>
            <w:sz w:val="22"/>
            <w:szCs w:val="22"/>
          </w:rPr>
          <w:t>’article 6 du décret 85-1148</w:t>
        </w:r>
      </w:hyperlink>
      <w:r>
        <w:rPr>
          <w:rFonts w:ascii="Marianne" w:hAnsi="Marianne"/>
          <w:sz w:val="22"/>
          <w:szCs w:val="22"/>
        </w:rPr>
        <w:t xml:space="preserve"> fixe, </w:t>
      </w:r>
      <w:r>
        <w:rPr>
          <w:rFonts w:ascii="Marianne" w:hAnsi="Marianne"/>
          <w:sz w:val="22"/>
          <w:szCs w:val="22"/>
          <w:lang w:eastAsia="en-US"/>
        </w:rPr>
        <w:t>à compter du 1er janvier 2024, les traitements annuels correspondant à chacun des groupes hors échelle.</w:t>
      </w:r>
    </w:p>
    <w:p>
      <w:pPr>
        <w:rPr>
          <w:rFonts w:cs="Calibri"/>
          <w:sz w:val="22"/>
        </w:rPr>
      </w:pPr>
    </w:p>
    <w:p>
      <w:pPr>
        <w:rPr>
          <w:rFonts w:cs="Calibri"/>
          <w:sz w:val="22"/>
        </w:rPr>
      </w:pPr>
    </w:p>
    <w:p>
      <w:pPr>
        <w:rPr>
          <w:rFonts w:cs="Calibri"/>
          <w:sz w:val="22"/>
        </w:rPr>
      </w:pPr>
    </w:p>
    <w:p>
      <w:pPr>
        <w:rPr>
          <w:rFonts w:cs="Calibri"/>
          <w:sz w:val="22"/>
        </w:rPr>
      </w:pP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68"/>
        <w:gridCol w:w="1895"/>
        <w:gridCol w:w="1895"/>
        <w:gridCol w:w="1910"/>
      </w:tblGrid>
      <w:tr>
        <w:trPr>
          <w:tblCellSpacing w:w="15" w:type="dxa"/>
        </w:trPr>
        <w:tc>
          <w:tcPr>
            <w:tcW w:w="0" w:type="auto"/>
            <w:gridSpan w:val="4"/>
            <w:tcBorders>
              <w:top w:val="outset" w:sz="6" w:space="0" w:color="auto"/>
              <w:left w:val="outset" w:sz="6" w:space="0" w:color="auto"/>
              <w:bottom w:val="outset" w:sz="6" w:space="0" w:color="auto"/>
              <w:right w:val="outset" w:sz="6" w:space="0" w:color="auto"/>
            </w:tcBorders>
            <w:shd w:val="clear" w:color="auto" w:fill="C5E0B3" w:themeFill="accent6" w:themeFillTint="66"/>
            <w:vAlign w:val="center"/>
            <w:hideMark/>
          </w:tcPr>
          <w:p>
            <w:pPr>
              <w:spacing w:after="0" w:line="240" w:lineRule="auto"/>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lastRenderedPageBreak/>
              <w:br/>
            </w:r>
            <w:r>
              <w:rPr>
                <w:rFonts w:ascii="Times New Roman" w:eastAsia="Times New Roman" w:hAnsi="Times New Roman" w:cs="Times New Roman"/>
                <w:b/>
                <w:bCs/>
                <w:sz w:val="24"/>
                <w:szCs w:val="24"/>
                <w:shd w:val="clear" w:color="auto" w:fill="C5E0B3" w:themeFill="accent6" w:themeFillTint="66"/>
                <w:lang w:eastAsia="fr-FR"/>
              </w:rPr>
              <w:t>TRAITEMENTS ET SOLDES ANNUELS BRUTS</w:t>
            </w:r>
          </w:p>
        </w:tc>
      </w:tr>
      <w:tr>
        <w:trPr>
          <w:tblCellSpacing w:w="15" w:type="dxa"/>
        </w:trPr>
        <w:tc>
          <w:tcPr>
            <w:tcW w:w="0" w:type="auto"/>
            <w:gridSpan w:val="4"/>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br/>
              <w:t>soumis à retenue pour pension à compter du 1er janvier 2024 (en euros)</w:t>
            </w:r>
          </w:p>
        </w:tc>
      </w:tr>
      <w:tr>
        <w:trPr>
          <w:tblCellSpacing w:w="15" w:type="dxa"/>
        </w:trPr>
        <w:tc>
          <w:tcPr>
            <w:tcW w:w="0" w:type="auto"/>
            <w:vMerge w:val="restart"/>
            <w:tcBorders>
              <w:top w:val="outset" w:sz="6" w:space="0" w:color="auto"/>
              <w:left w:val="outset" w:sz="6" w:space="0" w:color="auto"/>
              <w:bottom w:val="outset" w:sz="6" w:space="0" w:color="auto"/>
              <w:right w:val="outset" w:sz="6" w:space="0" w:color="auto"/>
            </w:tcBorders>
            <w:shd w:val="clear" w:color="auto" w:fill="C5E0B3" w:themeFill="accent6" w:themeFillTint="66"/>
            <w:vAlign w:val="center"/>
            <w:hideMark/>
          </w:tcPr>
          <w:p>
            <w:pPr>
              <w:spacing w:after="0" w:line="240" w:lineRule="auto"/>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br/>
              <w:t>Groupes</w:t>
            </w:r>
          </w:p>
        </w:tc>
        <w:tc>
          <w:tcPr>
            <w:tcW w:w="0" w:type="auto"/>
            <w:gridSpan w:val="3"/>
            <w:tcBorders>
              <w:top w:val="outset" w:sz="6" w:space="0" w:color="auto"/>
              <w:left w:val="outset" w:sz="6" w:space="0" w:color="auto"/>
              <w:bottom w:val="outset" w:sz="6" w:space="0" w:color="auto"/>
              <w:right w:val="outset" w:sz="6" w:space="0" w:color="auto"/>
            </w:tcBorders>
            <w:shd w:val="clear" w:color="auto" w:fill="C5E0B3" w:themeFill="accent6" w:themeFillTint="66"/>
            <w:vAlign w:val="center"/>
            <w:hideMark/>
          </w:tcPr>
          <w:p>
            <w:pPr>
              <w:spacing w:after="0" w:line="240" w:lineRule="auto"/>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br/>
              <w:t>Chevrons</w:t>
            </w:r>
          </w:p>
        </w:tc>
      </w:tr>
      <w:tr>
        <w:trPr>
          <w:tblCellSpacing w:w="15" w:type="dxa"/>
        </w:trPr>
        <w:tc>
          <w:tcPr>
            <w:tcW w:w="0" w:type="auto"/>
            <w:vMerge/>
            <w:tcBorders>
              <w:top w:val="outset" w:sz="6" w:space="0" w:color="auto"/>
              <w:left w:val="outset" w:sz="6" w:space="0" w:color="auto"/>
              <w:bottom w:val="outset" w:sz="6" w:space="0" w:color="auto"/>
              <w:right w:val="outset" w:sz="6" w:space="0" w:color="auto"/>
            </w:tcBorders>
            <w:shd w:val="clear" w:color="auto" w:fill="C5E0B3" w:themeFill="accent6" w:themeFillTint="66"/>
            <w:vAlign w:val="center"/>
            <w:hideMark/>
          </w:tcPr>
          <w:p>
            <w:pPr>
              <w:spacing w:after="0" w:line="240" w:lineRule="auto"/>
              <w:rPr>
                <w:rFonts w:ascii="Times New Roman" w:eastAsia="Times New Roman" w:hAnsi="Times New Roman" w:cs="Times New Roman"/>
                <w:b/>
                <w:bCs/>
                <w:sz w:val="24"/>
                <w:szCs w:val="24"/>
                <w:lang w:eastAsia="fr-FR"/>
              </w:rPr>
            </w:pPr>
          </w:p>
        </w:tc>
        <w:tc>
          <w:tcPr>
            <w:tcW w:w="0" w:type="auto"/>
            <w:tcBorders>
              <w:top w:val="outset" w:sz="6" w:space="0" w:color="auto"/>
              <w:left w:val="outset" w:sz="6" w:space="0" w:color="auto"/>
              <w:bottom w:val="outset" w:sz="6" w:space="0" w:color="auto"/>
              <w:right w:val="outset" w:sz="6" w:space="0" w:color="auto"/>
            </w:tcBorders>
            <w:shd w:val="clear" w:color="auto" w:fill="C5E0B3" w:themeFill="accent6" w:themeFillTint="66"/>
            <w:vAlign w:val="center"/>
            <w:hideMark/>
          </w:tcPr>
          <w:p>
            <w:pPr>
              <w:spacing w:after="0" w:line="240" w:lineRule="auto"/>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br/>
              <w:t>I</w:t>
            </w:r>
          </w:p>
        </w:tc>
        <w:tc>
          <w:tcPr>
            <w:tcW w:w="0" w:type="auto"/>
            <w:tcBorders>
              <w:top w:val="outset" w:sz="6" w:space="0" w:color="auto"/>
              <w:left w:val="outset" w:sz="6" w:space="0" w:color="auto"/>
              <w:bottom w:val="outset" w:sz="6" w:space="0" w:color="auto"/>
              <w:right w:val="outset" w:sz="6" w:space="0" w:color="auto"/>
            </w:tcBorders>
            <w:shd w:val="clear" w:color="auto" w:fill="C5E0B3" w:themeFill="accent6" w:themeFillTint="66"/>
            <w:vAlign w:val="center"/>
            <w:hideMark/>
          </w:tcPr>
          <w:p>
            <w:pPr>
              <w:spacing w:after="0" w:line="240" w:lineRule="auto"/>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br/>
              <w:t>II</w:t>
            </w:r>
          </w:p>
        </w:tc>
        <w:tc>
          <w:tcPr>
            <w:tcW w:w="0" w:type="auto"/>
            <w:tcBorders>
              <w:top w:val="outset" w:sz="6" w:space="0" w:color="auto"/>
              <w:left w:val="outset" w:sz="6" w:space="0" w:color="auto"/>
              <w:bottom w:val="outset" w:sz="6" w:space="0" w:color="auto"/>
              <w:right w:val="outset" w:sz="6" w:space="0" w:color="auto"/>
            </w:tcBorders>
            <w:shd w:val="clear" w:color="auto" w:fill="C5E0B3" w:themeFill="accent6" w:themeFillTint="66"/>
            <w:vAlign w:val="center"/>
            <w:hideMark/>
          </w:tcPr>
          <w:p>
            <w:pPr>
              <w:spacing w:after="0" w:line="240" w:lineRule="auto"/>
              <w:jc w:val="center"/>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br/>
              <w:t>III</w:t>
            </w:r>
          </w:p>
        </w:tc>
      </w:tr>
      <w:tr>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A</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52 870,69</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54 938,26</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57 714,71</w:t>
            </w:r>
          </w:p>
        </w:tc>
      </w:tr>
      <w:tr>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B</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57 714,71</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60 136,72</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63 326,68</w:t>
            </w:r>
          </w:p>
        </w:tc>
      </w:tr>
      <w:tr>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B bis</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63 326,68</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64 980,74</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66 693,87</w:t>
            </w:r>
          </w:p>
        </w:tc>
      </w:tr>
      <w:tr>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C</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66 693,87</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68 111,63</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69 588,47</w:t>
            </w:r>
          </w:p>
        </w:tc>
      </w:tr>
      <w:tr>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D</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69 588,47</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72 719,36</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75 850,25</w:t>
            </w:r>
          </w:p>
        </w:tc>
      </w:tr>
      <w:tr>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E</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75 850,25</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78 803,92</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p>
        </w:tc>
      </w:tr>
      <w:tr>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F</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81 698,51</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rPr>
                <w:rFonts w:ascii="Times New Roman" w:eastAsia="Times New Roman" w:hAnsi="Times New Roman" w:cs="Times New Roman"/>
                <w:szCs w:val="20"/>
                <w:lang w:eastAsia="fr-FR"/>
              </w:rPr>
            </w:pPr>
          </w:p>
        </w:tc>
      </w:tr>
      <w:tr>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G</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89 496,20</w:t>
            </w:r>
          </w:p>
        </w:tc>
        <w:tc>
          <w:tcPr>
            <w:tcW w:w="0" w:type="auto"/>
            <w:tcBorders>
              <w:top w:val="outset" w:sz="6" w:space="0" w:color="auto"/>
              <w:left w:val="outset" w:sz="6" w:space="0" w:color="auto"/>
              <w:bottom w:val="outset" w:sz="6" w:space="0" w:color="auto"/>
              <w:right w:val="outset" w:sz="6" w:space="0" w:color="auto"/>
            </w:tcBorders>
            <w:vAlign w:val="center"/>
            <w:hideMark/>
          </w:tcPr>
          <w:p>
            <w:pPr>
              <w:spacing w:after="0" w:line="240" w:lineRule="auto"/>
              <w:jc w:val="center"/>
              <w:rPr>
                <w:rFonts w:ascii="Times New Roman" w:eastAsia="Times New Roman" w:hAnsi="Times New Roman" w:cs="Times New Roman"/>
                <w:sz w:val="24"/>
                <w:szCs w:val="24"/>
                <w:lang w:eastAsia="fr-FR"/>
              </w:rPr>
            </w:pPr>
          </w:p>
        </w:tc>
        <w:tc>
          <w:tcPr>
            <w:tcW w:w="0" w:type="auto"/>
            <w:vAlign w:val="center"/>
            <w:hideMark/>
          </w:tcPr>
          <w:p>
            <w:pPr>
              <w:spacing w:after="0" w:line="240" w:lineRule="auto"/>
              <w:rPr>
                <w:rFonts w:ascii="Times New Roman" w:eastAsia="Times New Roman" w:hAnsi="Times New Roman" w:cs="Times New Roman"/>
                <w:szCs w:val="20"/>
                <w:lang w:eastAsia="fr-FR"/>
              </w:rPr>
            </w:pPr>
          </w:p>
        </w:tc>
      </w:tr>
    </w:tbl>
    <w:p>
      <w:pPr>
        <w:jc w:val="both"/>
        <w:rPr>
          <w:sz w:val="22"/>
          <w:szCs w:val="24"/>
        </w:rPr>
      </w:pPr>
    </w:p>
    <w:p>
      <w:pPr>
        <w:jc w:val="both"/>
        <w:rPr>
          <w:sz w:val="22"/>
        </w:rPr>
      </w:pPr>
    </w:p>
    <w:p>
      <w:pPr>
        <w:jc w:val="both"/>
        <w:rPr>
          <w:sz w:val="22"/>
        </w:rPr>
      </w:pPr>
      <w:r>
        <w:rPr>
          <w:sz w:val="22"/>
        </w:rPr>
        <w:t>La rémunération principale des magistrats est composée du traitement de base et, selon le poste occupé, d’accessoires constitués d’une indemnité de fonction, d’avantages liés à certaines responsabilités et éventuellement de bonifications spécifiques.</w:t>
      </w:r>
    </w:p>
    <w:p>
      <w:pPr>
        <w:jc w:val="both"/>
        <w:rPr>
          <w:sz w:val="22"/>
        </w:rPr>
      </w:pPr>
      <w:r>
        <w:rPr>
          <w:sz w:val="22"/>
        </w:rPr>
        <w:t>L’échelonnement indiciaire applicable aux magistrats diffère selon que les agents relèvent des tribunaux administratifs et des cours administratives d'appel ou de l'ordre judiciaire. Ils sont fixés comme suit :</w:t>
      </w:r>
    </w:p>
    <w:p>
      <w:pPr>
        <w:pStyle w:val="Paragraphedeliste"/>
        <w:numPr>
          <w:ilvl w:val="0"/>
          <w:numId w:val="13"/>
        </w:numPr>
        <w:spacing w:after="0" w:line="240" w:lineRule="auto"/>
        <w:ind w:left="993"/>
        <w:jc w:val="both"/>
        <w:rPr>
          <w:sz w:val="22"/>
          <w:szCs w:val="24"/>
        </w:rPr>
      </w:pPr>
      <w:bookmarkStart w:id="35" w:name="_Hlk221787934"/>
      <w:r>
        <w:rPr>
          <w:sz w:val="22"/>
          <w:szCs w:val="24"/>
        </w:rPr>
        <w:t>tribunaux administratifs et des cours administratives d'appel </w:t>
      </w:r>
      <w:bookmarkEnd w:id="35"/>
      <w:r>
        <w:rPr>
          <w:sz w:val="22"/>
          <w:szCs w:val="24"/>
        </w:rPr>
        <w:t xml:space="preserve">: </w:t>
      </w:r>
    </w:p>
    <w:p>
      <w:pPr>
        <w:pStyle w:val="Paragraphedeliste"/>
        <w:spacing w:after="0" w:line="240" w:lineRule="auto"/>
        <w:ind w:left="993"/>
        <w:jc w:val="both"/>
        <w:rPr>
          <w:b/>
          <w:bCs/>
          <w:color w:val="91AE4F"/>
          <w:sz w:val="22"/>
          <w:szCs w:val="24"/>
        </w:rPr>
      </w:pPr>
    </w:p>
    <w:tbl>
      <w:tblPr>
        <w:tblW w:w="9000" w:type="dxa"/>
        <w:tblCellMar>
          <w:left w:w="70" w:type="dxa"/>
          <w:right w:w="70" w:type="dxa"/>
        </w:tblCellMar>
        <w:tblLook w:val="04A0" w:firstRow="1" w:lastRow="0" w:firstColumn="1" w:lastColumn="0" w:noHBand="0" w:noVBand="1"/>
      </w:tblPr>
      <w:tblGrid>
        <w:gridCol w:w="2960"/>
        <w:gridCol w:w="1363"/>
        <w:gridCol w:w="1797"/>
        <w:gridCol w:w="1242"/>
        <w:gridCol w:w="1638"/>
      </w:tblGrid>
      <w:tr>
        <w:trPr>
          <w:trHeight w:val="315"/>
        </w:trPr>
        <w:tc>
          <w:tcPr>
            <w:tcW w:w="2960" w:type="dxa"/>
            <w:vMerge w:val="restart"/>
            <w:tcBorders>
              <w:top w:val="single" w:sz="4" w:space="0" w:color="auto"/>
              <w:left w:val="single" w:sz="4" w:space="0" w:color="auto"/>
              <w:bottom w:val="single" w:sz="4" w:space="0" w:color="auto"/>
              <w:right w:val="single" w:sz="4" w:space="0" w:color="auto"/>
            </w:tcBorders>
            <w:shd w:val="clear" w:color="000000" w:fill="F2F2F2"/>
            <w:noWrap/>
            <w:vAlign w:val="bottom"/>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 </w:t>
            </w:r>
          </w:p>
        </w:tc>
        <w:tc>
          <w:tcPr>
            <w:tcW w:w="3160" w:type="dxa"/>
            <w:gridSpan w:val="2"/>
            <w:tcBorders>
              <w:top w:val="single" w:sz="4" w:space="0" w:color="auto"/>
              <w:left w:val="nil"/>
              <w:bottom w:val="single" w:sz="4" w:space="0" w:color="auto"/>
              <w:right w:val="single" w:sz="4" w:space="0" w:color="000000"/>
            </w:tcBorders>
            <w:shd w:val="clear" w:color="000000" w:fill="C6E0B4"/>
            <w:noWrap/>
            <w:vAlign w:val="bottom"/>
            <w:hideMark/>
          </w:tcPr>
          <w:p>
            <w:pPr>
              <w:spacing w:after="0" w:line="240" w:lineRule="auto"/>
              <w:jc w:val="center"/>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 xml:space="preserve">Plancher </w:t>
            </w:r>
          </w:p>
        </w:tc>
        <w:tc>
          <w:tcPr>
            <w:tcW w:w="2880" w:type="dxa"/>
            <w:gridSpan w:val="2"/>
            <w:tcBorders>
              <w:top w:val="single" w:sz="4" w:space="0" w:color="auto"/>
              <w:left w:val="nil"/>
              <w:bottom w:val="single" w:sz="4" w:space="0" w:color="auto"/>
              <w:right w:val="single" w:sz="4" w:space="0" w:color="000000"/>
            </w:tcBorders>
            <w:shd w:val="clear" w:color="000000" w:fill="C6E0B4"/>
            <w:noWrap/>
            <w:vAlign w:val="bottom"/>
            <w:hideMark/>
          </w:tcPr>
          <w:p>
            <w:pPr>
              <w:spacing w:after="0" w:line="240" w:lineRule="auto"/>
              <w:jc w:val="center"/>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Plafond</w:t>
            </w:r>
          </w:p>
        </w:tc>
      </w:tr>
      <w:tr>
        <w:trPr>
          <w:trHeight w:val="300"/>
        </w:trPr>
        <w:tc>
          <w:tcPr>
            <w:tcW w:w="2960" w:type="dxa"/>
            <w:vMerge/>
            <w:tcBorders>
              <w:top w:val="single" w:sz="4" w:space="0" w:color="auto"/>
              <w:left w:val="single" w:sz="4" w:space="0" w:color="auto"/>
              <w:bottom w:val="single" w:sz="4" w:space="0" w:color="auto"/>
              <w:right w:val="single" w:sz="4" w:space="0" w:color="auto"/>
            </w:tcBorders>
            <w:vAlign w:val="center"/>
            <w:hideMark/>
          </w:tcPr>
          <w:p>
            <w:pPr>
              <w:spacing w:after="0" w:line="240" w:lineRule="auto"/>
              <w:rPr>
                <w:rFonts w:ascii="Calibri" w:eastAsia="Times New Roman" w:hAnsi="Calibri" w:cs="Calibri"/>
                <w:color w:val="000000"/>
                <w:sz w:val="22"/>
                <w:lang w:eastAsia="fr-FR"/>
              </w:rPr>
            </w:pPr>
          </w:p>
        </w:tc>
        <w:tc>
          <w:tcPr>
            <w:tcW w:w="1363" w:type="dxa"/>
            <w:tcBorders>
              <w:top w:val="nil"/>
              <w:left w:val="nil"/>
              <w:bottom w:val="single" w:sz="4" w:space="0" w:color="auto"/>
              <w:right w:val="single" w:sz="4" w:space="0" w:color="auto"/>
            </w:tcBorders>
            <w:shd w:val="clear" w:color="000000" w:fill="E2EFDA"/>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Echelons</w:t>
            </w:r>
          </w:p>
        </w:tc>
        <w:tc>
          <w:tcPr>
            <w:tcW w:w="1797" w:type="dxa"/>
            <w:tcBorders>
              <w:top w:val="nil"/>
              <w:left w:val="nil"/>
              <w:bottom w:val="single" w:sz="4" w:space="0" w:color="auto"/>
              <w:right w:val="single" w:sz="4" w:space="0" w:color="auto"/>
            </w:tcBorders>
            <w:shd w:val="clear" w:color="000000" w:fill="E2EFDA"/>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Indice bruts</w:t>
            </w:r>
          </w:p>
        </w:tc>
        <w:tc>
          <w:tcPr>
            <w:tcW w:w="1242" w:type="dxa"/>
            <w:tcBorders>
              <w:top w:val="nil"/>
              <w:left w:val="nil"/>
              <w:bottom w:val="single" w:sz="4" w:space="0" w:color="auto"/>
              <w:right w:val="single" w:sz="4" w:space="0" w:color="auto"/>
            </w:tcBorders>
            <w:shd w:val="clear" w:color="000000" w:fill="E2EFDA"/>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Echelons</w:t>
            </w:r>
          </w:p>
        </w:tc>
        <w:tc>
          <w:tcPr>
            <w:tcW w:w="1638" w:type="dxa"/>
            <w:tcBorders>
              <w:top w:val="nil"/>
              <w:left w:val="nil"/>
              <w:bottom w:val="single" w:sz="4" w:space="0" w:color="auto"/>
              <w:right w:val="single" w:sz="4" w:space="0" w:color="auto"/>
            </w:tcBorders>
            <w:shd w:val="clear" w:color="000000" w:fill="E2EFDA"/>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Indice bruts</w:t>
            </w:r>
          </w:p>
        </w:tc>
      </w:tr>
      <w:tr>
        <w:trPr>
          <w:trHeight w:val="315"/>
        </w:trPr>
        <w:tc>
          <w:tcPr>
            <w:tcW w:w="2960" w:type="dxa"/>
            <w:tcBorders>
              <w:top w:val="nil"/>
              <w:left w:val="single" w:sz="4" w:space="0" w:color="auto"/>
              <w:bottom w:val="single" w:sz="4" w:space="0" w:color="auto"/>
              <w:right w:val="single" w:sz="4" w:space="0" w:color="auto"/>
            </w:tcBorders>
            <w:shd w:val="clear" w:color="000000" w:fill="C6E0B4"/>
            <w:noWrap/>
            <w:vAlign w:val="bottom"/>
            <w:hideMark/>
          </w:tcPr>
          <w:p>
            <w:pPr>
              <w:spacing w:after="0" w:line="240" w:lineRule="auto"/>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Président</w:t>
            </w:r>
          </w:p>
        </w:tc>
        <w:tc>
          <w:tcPr>
            <w:tcW w:w="1363"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1</w:t>
            </w:r>
          </w:p>
        </w:tc>
        <w:tc>
          <w:tcPr>
            <w:tcW w:w="1797"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1178</w:t>
            </w:r>
          </w:p>
        </w:tc>
        <w:tc>
          <w:tcPr>
            <w:tcW w:w="1242"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26</w:t>
            </w:r>
          </w:p>
        </w:tc>
        <w:tc>
          <w:tcPr>
            <w:tcW w:w="1638"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1806</w:t>
            </w:r>
          </w:p>
        </w:tc>
      </w:tr>
      <w:tr>
        <w:trPr>
          <w:trHeight w:val="315"/>
        </w:trPr>
        <w:tc>
          <w:tcPr>
            <w:tcW w:w="2960" w:type="dxa"/>
            <w:tcBorders>
              <w:top w:val="nil"/>
              <w:left w:val="single" w:sz="4" w:space="0" w:color="auto"/>
              <w:bottom w:val="single" w:sz="4" w:space="0" w:color="auto"/>
              <w:right w:val="single" w:sz="4" w:space="0" w:color="auto"/>
            </w:tcBorders>
            <w:shd w:val="clear" w:color="000000" w:fill="C6E0B4"/>
            <w:noWrap/>
            <w:vAlign w:val="bottom"/>
            <w:hideMark/>
          </w:tcPr>
          <w:p>
            <w:pPr>
              <w:spacing w:after="0" w:line="240" w:lineRule="auto"/>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Premier conseiller</w:t>
            </w:r>
          </w:p>
        </w:tc>
        <w:tc>
          <w:tcPr>
            <w:tcW w:w="1363"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1</w:t>
            </w:r>
          </w:p>
        </w:tc>
        <w:tc>
          <w:tcPr>
            <w:tcW w:w="1797"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808</w:t>
            </w:r>
          </w:p>
        </w:tc>
        <w:tc>
          <w:tcPr>
            <w:tcW w:w="1242"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32</w:t>
            </w:r>
          </w:p>
        </w:tc>
        <w:tc>
          <w:tcPr>
            <w:tcW w:w="1638"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1806</w:t>
            </w:r>
          </w:p>
        </w:tc>
      </w:tr>
      <w:tr>
        <w:trPr>
          <w:trHeight w:val="315"/>
        </w:trPr>
        <w:tc>
          <w:tcPr>
            <w:tcW w:w="2960" w:type="dxa"/>
            <w:tcBorders>
              <w:top w:val="nil"/>
              <w:left w:val="single" w:sz="4" w:space="0" w:color="auto"/>
              <w:bottom w:val="single" w:sz="4" w:space="0" w:color="auto"/>
              <w:right w:val="single" w:sz="4" w:space="0" w:color="auto"/>
            </w:tcBorders>
            <w:shd w:val="clear" w:color="000000" w:fill="C6E0B4"/>
            <w:noWrap/>
            <w:vAlign w:val="bottom"/>
            <w:hideMark/>
          </w:tcPr>
          <w:p>
            <w:pPr>
              <w:spacing w:after="0" w:line="240" w:lineRule="auto"/>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Conseiller</w:t>
            </w:r>
          </w:p>
        </w:tc>
        <w:tc>
          <w:tcPr>
            <w:tcW w:w="1363"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1</w:t>
            </w:r>
          </w:p>
        </w:tc>
        <w:tc>
          <w:tcPr>
            <w:tcW w:w="1797"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571</w:t>
            </w:r>
          </w:p>
        </w:tc>
        <w:tc>
          <w:tcPr>
            <w:tcW w:w="1242"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30</w:t>
            </w:r>
          </w:p>
        </w:tc>
        <w:tc>
          <w:tcPr>
            <w:tcW w:w="1638"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1336</w:t>
            </w:r>
          </w:p>
        </w:tc>
      </w:tr>
    </w:tbl>
    <w:p>
      <w:pPr>
        <w:spacing w:after="0" w:line="240" w:lineRule="auto"/>
        <w:jc w:val="both"/>
        <w:rPr>
          <w:sz w:val="22"/>
          <w:szCs w:val="24"/>
        </w:rPr>
      </w:pPr>
    </w:p>
    <w:p>
      <w:pPr>
        <w:spacing w:after="0" w:line="240" w:lineRule="auto"/>
        <w:jc w:val="both"/>
        <w:rPr>
          <w:sz w:val="22"/>
          <w:szCs w:val="24"/>
        </w:rPr>
      </w:pPr>
      <w:r>
        <w:rPr>
          <w:sz w:val="22"/>
          <w:szCs w:val="24"/>
        </w:rPr>
        <w:t xml:space="preserve">A l’article 1 du décret n°2023-488 est listé également l’échelonnement indiciaire relatifs aux emplois accessibles par listes d’aptitudes. </w:t>
      </w:r>
    </w:p>
    <w:p>
      <w:pPr>
        <w:spacing w:after="0" w:line="240" w:lineRule="auto"/>
        <w:jc w:val="both"/>
        <w:rPr>
          <w:sz w:val="22"/>
          <w:szCs w:val="24"/>
        </w:rPr>
      </w:pPr>
    </w:p>
    <w:p>
      <w:pPr>
        <w:spacing w:after="0" w:line="240" w:lineRule="auto"/>
        <w:jc w:val="both"/>
        <w:rPr>
          <w:sz w:val="22"/>
          <w:szCs w:val="24"/>
        </w:rPr>
      </w:pPr>
    </w:p>
    <w:p>
      <w:pPr>
        <w:spacing w:after="0" w:line="240" w:lineRule="auto"/>
        <w:jc w:val="both"/>
        <w:rPr>
          <w:sz w:val="22"/>
          <w:szCs w:val="24"/>
        </w:rPr>
      </w:pPr>
    </w:p>
    <w:p>
      <w:pPr>
        <w:spacing w:after="0" w:line="240" w:lineRule="auto"/>
        <w:jc w:val="both"/>
        <w:rPr>
          <w:sz w:val="22"/>
          <w:szCs w:val="24"/>
        </w:rPr>
      </w:pPr>
    </w:p>
    <w:p>
      <w:pPr>
        <w:pStyle w:val="Paragraphedeliste"/>
        <w:numPr>
          <w:ilvl w:val="0"/>
          <w:numId w:val="14"/>
        </w:numPr>
        <w:spacing w:after="0" w:line="240" w:lineRule="auto"/>
        <w:ind w:left="993"/>
        <w:jc w:val="both"/>
        <w:rPr>
          <w:sz w:val="22"/>
          <w:szCs w:val="24"/>
        </w:rPr>
      </w:pPr>
      <w:r>
        <w:rPr>
          <w:sz w:val="22"/>
          <w:szCs w:val="24"/>
        </w:rPr>
        <w:lastRenderedPageBreak/>
        <w:t>ordre judiciaire :</w:t>
      </w:r>
    </w:p>
    <w:p>
      <w:pPr>
        <w:pStyle w:val="Paragraphedeliste"/>
        <w:spacing w:after="0" w:line="240" w:lineRule="auto"/>
        <w:ind w:left="993"/>
        <w:jc w:val="both"/>
        <w:rPr>
          <w:b/>
          <w:bCs/>
          <w:color w:val="91AE4F"/>
          <w:sz w:val="22"/>
          <w:szCs w:val="24"/>
        </w:rPr>
      </w:pPr>
    </w:p>
    <w:tbl>
      <w:tblPr>
        <w:tblW w:w="9000" w:type="dxa"/>
        <w:tblCellMar>
          <w:left w:w="70" w:type="dxa"/>
          <w:right w:w="70" w:type="dxa"/>
        </w:tblCellMar>
        <w:tblLook w:val="04A0" w:firstRow="1" w:lastRow="0" w:firstColumn="1" w:lastColumn="0" w:noHBand="0" w:noVBand="1"/>
      </w:tblPr>
      <w:tblGrid>
        <w:gridCol w:w="2960"/>
        <w:gridCol w:w="1640"/>
        <w:gridCol w:w="1520"/>
        <w:gridCol w:w="1520"/>
        <w:gridCol w:w="1360"/>
      </w:tblGrid>
      <w:tr>
        <w:trPr>
          <w:trHeight w:val="315"/>
        </w:trPr>
        <w:tc>
          <w:tcPr>
            <w:tcW w:w="2960" w:type="dxa"/>
            <w:vMerge w:val="restart"/>
            <w:tcBorders>
              <w:top w:val="single" w:sz="4" w:space="0" w:color="auto"/>
              <w:left w:val="single" w:sz="4" w:space="0" w:color="auto"/>
              <w:bottom w:val="single" w:sz="4" w:space="0" w:color="000000"/>
              <w:right w:val="single" w:sz="4" w:space="0" w:color="auto"/>
            </w:tcBorders>
            <w:shd w:val="clear" w:color="000000" w:fill="F2F2F2"/>
            <w:vAlign w:val="bottom"/>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 </w:t>
            </w:r>
          </w:p>
        </w:tc>
        <w:tc>
          <w:tcPr>
            <w:tcW w:w="3160" w:type="dxa"/>
            <w:gridSpan w:val="2"/>
            <w:tcBorders>
              <w:top w:val="single" w:sz="4" w:space="0" w:color="auto"/>
              <w:left w:val="nil"/>
              <w:bottom w:val="single" w:sz="4" w:space="0" w:color="auto"/>
              <w:right w:val="single" w:sz="4" w:space="0" w:color="000000"/>
            </w:tcBorders>
            <w:shd w:val="clear" w:color="000000" w:fill="C6E0B4"/>
            <w:noWrap/>
            <w:vAlign w:val="bottom"/>
            <w:hideMark/>
          </w:tcPr>
          <w:p>
            <w:pPr>
              <w:spacing w:after="0" w:line="240" w:lineRule="auto"/>
              <w:jc w:val="center"/>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 xml:space="preserve">Plancher </w:t>
            </w:r>
          </w:p>
        </w:tc>
        <w:tc>
          <w:tcPr>
            <w:tcW w:w="2880" w:type="dxa"/>
            <w:gridSpan w:val="2"/>
            <w:tcBorders>
              <w:top w:val="single" w:sz="4" w:space="0" w:color="auto"/>
              <w:left w:val="nil"/>
              <w:bottom w:val="single" w:sz="4" w:space="0" w:color="auto"/>
              <w:right w:val="single" w:sz="4" w:space="0" w:color="000000"/>
            </w:tcBorders>
            <w:shd w:val="clear" w:color="000000" w:fill="C6E0B4"/>
            <w:noWrap/>
            <w:vAlign w:val="bottom"/>
            <w:hideMark/>
          </w:tcPr>
          <w:p>
            <w:pPr>
              <w:spacing w:after="0" w:line="240" w:lineRule="auto"/>
              <w:jc w:val="center"/>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Plafond</w:t>
            </w:r>
          </w:p>
        </w:tc>
      </w:tr>
      <w:tr>
        <w:trPr>
          <w:trHeight w:val="300"/>
        </w:trPr>
        <w:tc>
          <w:tcPr>
            <w:tcW w:w="2960" w:type="dxa"/>
            <w:vMerge/>
            <w:tcBorders>
              <w:top w:val="single" w:sz="4" w:space="0" w:color="auto"/>
              <w:left w:val="single" w:sz="4" w:space="0" w:color="auto"/>
              <w:bottom w:val="single" w:sz="4" w:space="0" w:color="000000"/>
              <w:right w:val="single" w:sz="4" w:space="0" w:color="auto"/>
            </w:tcBorders>
            <w:vAlign w:val="center"/>
            <w:hideMark/>
          </w:tcPr>
          <w:p>
            <w:pPr>
              <w:spacing w:after="0" w:line="240" w:lineRule="auto"/>
              <w:rPr>
                <w:rFonts w:ascii="Calibri" w:eastAsia="Times New Roman" w:hAnsi="Calibri" w:cs="Calibri"/>
                <w:color w:val="000000"/>
                <w:sz w:val="22"/>
                <w:lang w:eastAsia="fr-FR"/>
              </w:rPr>
            </w:pPr>
          </w:p>
        </w:tc>
        <w:tc>
          <w:tcPr>
            <w:tcW w:w="1640" w:type="dxa"/>
            <w:tcBorders>
              <w:top w:val="nil"/>
              <w:left w:val="nil"/>
              <w:bottom w:val="single" w:sz="4" w:space="0" w:color="auto"/>
              <w:right w:val="single" w:sz="4" w:space="0" w:color="auto"/>
            </w:tcBorders>
            <w:shd w:val="clear" w:color="000000" w:fill="E2EFDA"/>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Echelons</w:t>
            </w:r>
          </w:p>
        </w:tc>
        <w:tc>
          <w:tcPr>
            <w:tcW w:w="1520" w:type="dxa"/>
            <w:tcBorders>
              <w:top w:val="nil"/>
              <w:left w:val="nil"/>
              <w:bottom w:val="single" w:sz="4" w:space="0" w:color="auto"/>
              <w:right w:val="single" w:sz="4" w:space="0" w:color="auto"/>
            </w:tcBorders>
            <w:shd w:val="clear" w:color="000000" w:fill="E2EFDA"/>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Indices bruts</w:t>
            </w:r>
          </w:p>
        </w:tc>
        <w:tc>
          <w:tcPr>
            <w:tcW w:w="1520" w:type="dxa"/>
            <w:tcBorders>
              <w:top w:val="nil"/>
              <w:left w:val="nil"/>
              <w:bottom w:val="single" w:sz="4" w:space="0" w:color="auto"/>
              <w:right w:val="single" w:sz="4" w:space="0" w:color="auto"/>
            </w:tcBorders>
            <w:shd w:val="clear" w:color="000000" w:fill="E2EFDA"/>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Echelons</w:t>
            </w:r>
          </w:p>
        </w:tc>
        <w:tc>
          <w:tcPr>
            <w:tcW w:w="1360" w:type="dxa"/>
            <w:tcBorders>
              <w:top w:val="nil"/>
              <w:left w:val="nil"/>
              <w:bottom w:val="single" w:sz="4" w:space="0" w:color="auto"/>
              <w:right w:val="single" w:sz="4" w:space="0" w:color="auto"/>
            </w:tcBorders>
            <w:shd w:val="clear" w:color="000000" w:fill="E2EFDA"/>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Indices bruts</w:t>
            </w:r>
          </w:p>
        </w:tc>
      </w:tr>
      <w:tr>
        <w:trPr>
          <w:trHeight w:val="600"/>
        </w:trPr>
        <w:tc>
          <w:tcPr>
            <w:tcW w:w="2960" w:type="dxa"/>
            <w:tcBorders>
              <w:top w:val="nil"/>
              <w:left w:val="single" w:sz="4" w:space="0" w:color="auto"/>
              <w:bottom w:val="single" w:sz="4" w:space="0" w:color="auto"/>
              <w:right w:val="single" w:sz="4" w:space="0" w:color="auto"/>
            </w:tcBorders>
            <w:shd w:val="clear" w:color="000000" w:fill="A9D08E"/>
            <w:noWrap/>
            <w:vAlign w:val="center"/>
            <w:hideMark/>
          </w:tcPr>
          <w:p>
            <w:pPr>
              <w:spacing w:after="0" w:line="240" w:lineRule="auto"/>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Emplois hors hiérarchie</w:t>
            </w:r>
          </w:p>
        </w:tc>
        <w:tc>
          <w:tcPr>
            <w:tcW w:w="1640" w:type="dxa"/>
            <w:tcBorders>
              <w:top w:val="nil"/>
              <w:left w:val="nil"/>
              <w:bottom w:val="single" w:sz="4" w:space="0" w:color="auto"/>
              <w:right w:val="single" w:sz="4" w:space="0" w:color="auto"/>
            </w:tcBorders>
            <w:shd w:val="clear" w:color="auto" w:fill="auto"/>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En fonction de l'emploi</w:t>
            </w:r>
          </w:p>
        </w:tc>
        <w:tc>
          <w:tcPr>
            <w:tcW w:w="152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HEC</w:t>
            </w:r>
          </w:p>
        </w:tc>
        <w:tc>
          <w:tcPr>
            <w:tcW w:w="1520" w:type="dxa"/>
            <w:tcBorders>
              <w:top w:val="nil"/>
              <w:left w:val="nil"/>
              <w:bottom w:val="single" w:sz="4" w:space="0" w:color="auto"/>
              <w:right w:val="single" w:sz="4" w:space="0" w:color="auto"/>
            </w:tcBorders>
            <w:shd w:val="clear" w:color="auto" w:fill="auto"/>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En fonction de l'emploi</w:t>
            </w:r>
          </w:p>
        </w:tc>
        <w:tc>
          <w:tcPr>
            <w:tcW w:w="136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HEG</w:t>
            </w:r>
          </w:p>
        </w:tc>
      </w:tr>
      <w:tr>
        <w:trPr>
          <w:trHeight w:val="315"/>
        </w:trPr>
        <w:tc>
          <w:tcPr>
            <w:tcW w:w="2960" w:type="dxa"/>
            <w:tcBorders>
              <w:top w:val="nil"/>
              <w:left w:val="single" w:sz="4" w:space="0" w:color="auto"/>
              <w:bottom w:val="single" w:sz="4" w:space="0" w:color="auto"/>
              <w:right w:val="single" w:sz="4" w:space="0" w:color="auto"/>
            </w:tcBorders>
            <w:shd w:val="clear" w:color="000000" w:fill="A9D08E"/>
            <w:noWrap/>
            <w:vAlign w:val="bottom"/>
            <w:hideMark/>
          </w:tcPr>
          <w:p>
            <w:pPr>
              <w:spacing w:after="0" w:line="240" w:lineRule="auto"/>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Magistrats du 1er grade</w:t>
            </w:r>
          </w:p>
        </w:tc>
        <w:tc>
          <w:tcPr>
            <w:tcW w:w="164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1</w:t>
            </w:r>
          </w:p>
        </w:tc>
        <w:tc>
          <w:tcPr>
            <w:tcW w:w="152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813</w:t>
            </w:r>
          </w:p>
        </w:tc>
        <w:tc>
          <w:tcPr>
            <w:tcW w:w="152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8</w:t>
            </w:r>
          </w:p>
        </w:tc>
        <w:tc>
          <w:tcPr>
            <w:tcW w:w="136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HEB bis</w:t>
            </w:r>
          </w:p>
        </w:tc>
      </w:tr>
      <w:tr>
        <w:trPr>
          <w:trHeight w:val="315"/>
        </w:trPr>
        <w:tc>
          <w:tcPr>
            <w:tcW w:w="2960" w:type="dxa"/>
            <w:tcBorders>
              <w:top w:val="nil"/>
              <w:left w:val="single" w:sz="4" w:space="0" w:color="auto"/>
              <w:bottom w:val="single" w:sz="4" w:space="0" w:color="auto"/>
              <w:right w:val="single" w:sz="4" w:space="0" w:color="auto"/>
            </w:tcBorders>
            <w:shd w:val="clear" w:color="000000" w:fill="A9D08E"/>
            <w:noWrap/>
            <w:vAlign w:val="bottom"/>
            <w:hideMark/>
          </w:tcPr>
          <w:p>
            <w:pPr>
              <w:spacing w:after="0" w:line="240" w:lineRule="auto"/>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Magistrats du second grade</w:t>
            </w:r>
          </w:p>
        </w:tc>
        <w:tc>
          <w:tcPr>
            <w:tcW w:w="164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1</w:t>
            </w:r>
          </w:p>
        </w:tc>
        <w:tc>
          <w:tcPr>
            <w:tcW w:w="152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542</w:t>
            </w:r>
          </w:p>
        </w:tc>
        <w:tc>
          <w:tcPr>
            <w:tcW w:w="152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5</w:t>
            </w:r>
          </w:p>
        </w:tc>
        <w:tc>
          <w:tcPr>
            <w:tcW w:w="136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762</w:t>
            </w:r>
          </w:p>
        </w:tc>
      </w:tr>
      <w:tr>
        <w:trPr>
          <w:trHeight w:val="630"/>
        </w:trPr>
        <w:tc>
          <w:tcPr>
            <w:tcW w:w="2960" w:type="dxa"/>
            <w:tcBorders>
              <w:top w:val="nil"/>
              <w:left w:val="single" w:sz="4" w:space="0" w:color="auto"/>
              <w:bottom w:val="single" w:sz="4" w:space="0" w:color="auto"/>
              <w:right w:val="single" w:sz="4" w:space="0" w:color="auto"/>
            </w:tcBorders>
            <w:shd w:val="clear" w:color="000000" w:fill="A9D08E"/>
            <w:vAlign w:val="bottom"/>
            <w:hideMark/>
          </w:tcPr>
          <w:p>
            <w:pPr>
              <w:spacing w:after="0" w:line="240" w:lineRule="auto"/>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Magistrats du second grade provisoire</w:t>
            </w:r>
          </w:p>
        </w:tc>
        <w:tc>
          <w:tcPr>
            <w:tcW w:w="164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1</w:t>
            </w:r>
          </w:p>
        </w:tc>
        <w:tc>
          <w:tcPr>
            <w:tcW w:w="152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542</w:t>
            </w:r>
          </w:p>
        </w:tc>
        <w:tc>
          <w:tcPr>
            <w:tcW w:w="152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10</w:t>
            </w:r>
          </w:p>
        </w:tc>
        <w:tc>
          <w:tcPr>
            <w:tcW w:w="136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1027</w:t>
            </w:r>
          </w:p>
        </w:tc>
      </w:tr>
      <w:tr>
        <w:trPr>
          <w:trHeight w:val="315"/>
        </w:trPr>
        <w:tc>
          <w:tcPr>
            <w:tcW w:w="2960" w:type="dxa"/>
            <w:tcBorders>
              <w:top w:val="nil"/>
              <w:left w:val="single" w:sz="4" w:space="0" w:color="auto"/>
              <w:bottom w:val="single" w:sz="4" w:space="0" w:color="auto"/>
              <w:right w:val="single" w:sz="4" w:space="0" w:color="auto"/>
            </w:tcBorders>
            <w:shd w:val="clear" w:color="000000" w:fill="A9D08E"/>
            <w:noWrap/>
            <w:vAlign w:val="bottom"/>
            <w:hideMark/>
          </w:tcPr>
          <w:p>
            <w:pPr>
              <w:spacing w:after="0" w:line="240" w:lineRule="auto"/>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Auditeurs de justice</w:t>
            </w:r>
          </w:p>
        </w:tc>
        <w:tc>
          <w:tcPr>
            <w:tcW w:w="164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Echelon unique</w:t>
            </w:r>
          </w:p>
        </w:tc>
        <w:tc>
          <w:tcPr>
            <w:tcW w:w="152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395</w:t>
            </w:r>
          </w:p>
        </w:tc>
        <w:tc>
          <w:tcPr>
            <w:tcW w:w="152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Echelon unique</w:t>
            </w:r>
          </w:p>
        </w:tc>
        <w:tc>
          <w:tcPr>
            <w:tcW w:w="1360"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395</w:t>
            </w:r>
          </w:p>
        </w:tc>
      </w:tr>
    </w:tbl>
    <w:p>
      <w:pPr>
        <w:spacing w:after="0" w:line="240" w:lineRule="auto"/>
        <w:jc w:val="both"/>
        <w:rPr>
          <w:color w:val="FF0000"/>
          <w:sz w:val="22"/>
          <w:szCs w:val="24"/>
        </w:rPr>
      </w:pPr>
    </w:p>
    <w:p>
      <w:pPr>
        <w:spacing w:after="0" w:line="240" w:lineRule="auto"/>
        <w:jc w:val="both"/>
        <w:rPr>
          <w:rFonts w:cs="Calibri"/>
          <w:sz w:val="22"/>
          <w:shd w:val="clear" w:color="auto" w:fill="FFFFFF"/>
        </w:rPr>
      </w:pPr>
      <w:r>
        <w:rPr>
          <w:rFonts w:cs="Calibri"/>
          <w:sz w:val="22"/>
          <w:shd w:val="clear" w:color="auto" w:fill="FFFFFF"/>
        </w:rPr>
        <w:t>Les agents classés dans un corps/grade peuvent occuper un emploi fonctionnel et percevoir le traitement afférent à cet emploi.</w:t>
      </w:r>
    </w:p>
    <w:p>
      <w:pPr>
        <w:jc w:val="both"/>
        <w:rPr>
          <w:sz w:val="22"/>
          <w:szCs w:val="24"/>
        </w:rPr>
      </w:pPr>
    </w:p>
    <w:p>
      <w:pPr>
        <w:jc w:val="center"/>
        <w:rPr>
          <w:sz w:val="22"/>
          <w:szCs w:val="24"/>
        </w:rPr>
      </w:pPr>
      <w:r>
        <w:t>*******************************</w:t>
      </w:r>
    </w:p>
    <w:p>
      <w:pPr>
        <w:spacing w:after="120" w:line="240" w:lineRule="auto"/>
        <w:jc w:val="both"/>
      </w:pPr>
    </w:p>
    <w:p>
      <w:pPr>
        <w:spacing w:after="120" w:line="240" w:lineRule="auto"/>
        <w:jc w:val="both"/>
        <w:rPr>
          <w:sz w:val="22"/>
          <w:szCs w:val="24"/>
        </w:rPr>
      </w:pPr>
      <w:hyperlink r:id="rId32" w:history="1">
        <w:r>
          <w:rPr>
            <w:rStyle w:val="Lienhypertexte"/>
            <w:sz w:val="22"/>
            <w:szCs w:val="24"/>
          </w:rPr>
          <w:t>L’article 2 du décret n°85-1148</w:t>
        </w:r>
      </w:hyperlink>
      <w:r>
        <w:rPr>
          <w:sz w:val="22"/>
          <w:szCs w:val="24"/>
        </w:rPr>
        <w:t xml:space="preserve"> du 24 octobre 1985 prévoit que, </w:t>
      </w:r>
      <w:r>
        <w:rPr>
          <w:i/>
          <w:iCs/>
          <w:sz w:val="22"/>
          <w:szCs w:val="24"/>
        </w:rPr>
        <w:t>« Les traitements […] sont calculés en multipliant le centième de la valeur du traitement […] par l’indice majoré correspondant à leur grade ou emplois, et échelon. </w:t>
      </w:r>
      <w:r>
        <w:rPr>
          <w:sz w:val="22"/>
          <w:szCs w:val="24"/>
        </w:rPr>
        <w:t>»</w:t>
      </w:r>
    </w:p>
    <w:p>
      <w:pPr>
        <w:jc w:val="both"/>
        <w:rPr>
          <w:sz w:val="22"/>
          <w:szCs w:val="24"/>
        </w:rPr>
      </w:pPr>
      <w:hyperlink r:id="rId33" w:history="1">
        <w:r>
          <w:rPr>
            <w:rStyle w:val="Lienhypertexte"/>
            <w:sz w:val="22"/>
            <w:szCs w:val="24"/>
          </w:rPr>
          <w:t>L’article 3</w:t>
        </w:r>
      </w:hyperlink>
      <w:r>
        <w:rPr>
          <w:sz w:val="22"/>
          <w:szCs w:val="24"/>
        </w:rPr>
        <w:t xml:space="preserve"> du décret précité mentionne que </w:t>
      </w:r>
      <w:r>
        <w:rPr>
          <w:i/>
          <w:iCs/>
          <w:sz w:val="22"/>
          <w:szCs w:val="24"/>
        </w:rPr>
        <w:t xml:space="preserve">« La valeur annuelle du traitement […] afférent à l’indice 100 majoré et soumis aux retenues pour pension, est fixée à 5 907,34 € […] » </w:t>
      </w:r>
      <w:r>
        <w:rPr>
          <w:sz w:val="22"/>
          <w:szCs w:val="24"/>
        </w:rPr>
        <w:t>(barème au 1</w:t>
      </w:r>
      <w:r>
        <w:rPr>
          <w:sz w:val="22"/>
          <w:szCs w:val="24"/>
          <w:vertAlign w:val="superscript"/>
        </w:rPr>
        <w:t>er</w:t>
      </w:r>
      <w:r>
        <w:rPr>
          <w:sz w:val="22"/>
          <w:szCs w:val="24"/>
        </w:rPr>
        <w:t xml:space="preserve"> juillet 2023 et susceptible d’être révisé en fonction de l’évolution de la valeur du point d’indice). </w:t>
      </w:r>
    </w:p>
    <w:p>
      <w:pPr>
        <w:rPr>
          <w:sz w:val="22"/>
          <w:szCs w:val="24"/>
        </w:rPr>
      </w:pPr>
      <w:r>
        <w:rPr>
          <w:noProof/>
          <w:sz w:val="22"/>
          <w:szCs w:val="24"/>
        </w:rPr>
        <mc:AlternateContent>
          <mc:Choice Requires="wps">
            <w:drawing>
              <wp:anchor distT="0" distB="0" distL="114300" distR="114300" simplePos="0" relativeHeight="252232704" behindDoc="0" locked="0" layoutInCell="1" allowOverlap="1">
                <wp:simplePos x="0" y="0"/>
                <wp:positionH relativeFrom="margin">
                  <wp:posOffset>12065</wp:posOffset>
                </wp:positionH>
                <wp:positionV relativeFrom="paragraph">
                  <wp:posOffset>265430</wp:posOffset>
                </wp:positionV>
                <wp:extent cx="6076950" cy="2200275"/>
                <wp:effectExtent l="19050" t="19050" r="19050" b="28575"/>
                <wp:wrapNone/>
                <wp:docPr id="49" name="Rectangle : coins arrondis 49"/>
                <wp:cNvGraphicFramePr/>
                <a:graphic xmlns:a="http://schemas.openxmlformats.org/drawingml/2006/main">
                  <a:graphicData uri="http://schemas.microsoft.com/office/word/2010/wordprocessingShape">
                    <wps:wsp>
                      <wps:cNvSpPr/>
                      <wps:spPr>
                        <a:xfrm>
                          <a:off x="0" y="0"/>
                          <a:ext cx="6076950" cy="2200275"/>
                        </a:xfrm>
                        <a:prstGeom prst="roundRect">
                          <a:avLst/>
                        </a:prstGeom>
                        <a:solidFill>
                          <a:schemeClr val="bg1"/>
                        </a:solidFill>
                        <a:ln w="3175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pPr>
                              <w:spacing w:after="0"/>
                              <w:jc w:val="center"/>
                              <w:rPr>
                                <w:b/>
                                <w:bCs/>
                                <w:color w:val="000000" w:themeColor="text1"/>
                                <w:sz w:val="24"/>
                                <w:szCs w:val="24"/>
                                <w:u w:val="single"/>
                              </w:rPr>
                            </w:pPr>
                            <w:r>
                              <w:rPr>
                                <w:b/>
                                <w:bCs/>
                                <w:color w:val="000000" w:themeColor="text1"/>
                                <w:sz w:val="24"/>
                                <w:szCs w:val="24"/>
                                <w:u w:val="single"/>
                              </w:rPr>
                              <w:t>Calcul du traitement brut annuel (TBA)</w:t>
                            </w:r>
                          </w:p>
                          <w:p>
                            <w:pPr>
                              <w:spacing w:after="0"/>
                              <w:jc w:val="center"/>
                              <w:rPr>
                                <w:color w:val="000000" w:themeColor="text1"/>
                                <w:sz w:val="22"/>
                              </w:rPr>
                            </w:pPr>
                            <w:r>
                              <w:rPr>
                                <w:color w:val="000000" w:themeColor="text1"/>
                                <w:sz w:val="22"/>
                              </w:rPr>
                              <w:t>d’un agent accomplissant une modalité de service d’un temps plein</w:t>
                            </w:r>
                          </w:p>
                          <w:p>
                            <w:pPr>
                              <w:spacing w:after="0"/>
                              <w:jc w:val="center"/>
                              <w:rPr>
                                <w:color w:val="000000" w:themeColor="text1"/>
                                <w:sz w:val="22"/>
                              </w:rPr>
                            </w:pPr>
                          </w:p>
                          <w:p>
                            <w:pPr>
                              <w:spacing w:after="0"/>
                              <w:rPr>
                                <w:color w:val="000000" w:themeColor="text1"/>
                                <w:sz w:val="22"/>
                              </w:rPr>
                            </w:pPr>
                            <w:r>
                              <w:rPr>
                                <w:color w:val="000000" w:themeColor="text1"/>
                                <w:sz w:val="22"/>
                              </w:rPr>
                              <w:t>TBA = Valeur annuelle du point fonction publique afférent à l’indice 100 multiplié par l’indice nouveau majoré (INM) divisé par 100 soit :</w:t>
                            </w:r>
                          </w:p>
                          <w:p>
                            <w:pPr>
                              <w:spacing w:after="0"/>
                              <w:rPr>
                                <w:color w:val="000000" w:themeColor="text1"/>
                                <w:sz w:val="22"/>
                              </w:rPr>
                            </w:pPr>
                            <w:r>
                              <w:rPr>
                                <w:color w:val="000000" w:themeColor="text1"/>
                                <w:sz w:val="22"/>
                              </w:rPr>
                              <w:t>TBA = (5907,34 € x INM de l’agent) / 100</w:t>
                            </w:r>
                          </w:p>
                          <w:p>
                            <w:pPr>
                              <w:spacing w:after="0"/>
                              <w:rPr>
                                <w:color w:val="000000" w:themeColor="text1"/>
                                <w:sz w:val="22"/>
                              </w:rPr>
                            </w:pPr>
                          </w:p>
                          <w:p>
                            <w:pPr>
                              <w:spacing w:after="0"/>
                              <w:rPr>
                                <w:color w:val="000000" w:themeColor="text1"/>
                                <w:sz w:val="22"/>
                              </w:rPr>
                            </w:pPr>
                            <w:r>
                              <w:rPr>
                                <w:color w:val="000000" w:themeColor="text1"/>
                                <w:sz w:val="22"/>
                              </w:rPr>
                              <w:t>Calcul du traitement brut mensuel (TBM) :</w:t>
                            </w:r>
                          </w:p>
                          <w:p>
                            <w:pPr>
                              <w:spacing w:after="0"/>
                              <w:rPr>
                                <w:color w:val="000000" w:themeColor="text1"/>
                                <w:sz w:val="22"/>
                              </w:rPr>
                            </w:pPr>
                            <w:r>
                              <w:rPr>
                                <w:color w:val="000000" w:themeColor="text1"/>
                                <w:sz w:val="22"/>
                              </w:rPr>
                              <w:t>TBM = TBA/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 coins arrondis 49" o:spid="_x0000_s1030" style="position:absolute;margin-left:.95pt;margin-top:20.9pt;width:478.5pt;height:173.25pt;z-index:252232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" fillcolor="white [3212]" strokecolor="#538135 [2409]" strokeweight="2.5pt">
                <v:stroke joinstyle="miter"/>
                <v:textbox>
                  <w:txbxContent>
                    <w:p>
                      <w:pPr>
                        <w:spacing w:after="0"/>
                        <w:jc w:val="center"/>
                        <w:rPr>
                          <w:b/>
                          <w:bCs/>
                          <w:color w:val="000000" w:themeColor="text1"/>
                          <w:sz w:val="24"/>
                          <w:szCs w:val="24"/>
                          <w:u w:val="single"/>
                        </w:rPr>
                      </w:pPr>
                      <w:r>
                        <w:rPr>
                          <w:b/>
                          <w:bCs/>
                          <w:color w:val="000000" w:themeColor="text1"/>
                          <w:sz w:val="24"/>
                          <w:szCs w:val="24"/>
                          <w:u w:val="single"/>
                        </w:rPr>
                        <w:t>Calcul du traitement brut annuel (TBA)</w:t>
                      </w:r>
                    </w:p>
                    <w:p>
                      <w:pPr>
                        <w:spacing w:after="0"/>
                        <w:jc w:val="center"/>
                        <w:rPr>
                          <w:color w:val="000000" w:themeColor="text1"/>
                          <w:sz w:val="22"/>
                        </w:rPr>
                      </w:pPr>
                      <w:r>
                        <w:rPr>
                          <w:color w:val="000000" w:themeColor="text1"/>
                          <w:sz w:val="22"/>
                        </w:rPr>
                        <w:t>d’un agent accomplissant une modalité de service d’un temps plein</w:t>
                      </w:r>
                    </w:p>
                    <w:p>
                      <w:pPr>
                        <w:spacing w:after="0"/>
                        <w:jc w:val="center"/>
                        <w:rPr>
                          <w:color w:val="000000" w:themeColor="text1"/>
                          <w:sz w:val="22"/>
                        </w:rPr>
                      </w:pPr>
                    </w:p>
                    <w:p>
                      <w:pPr>
                        <w:spacing w:after="0"/>
                        <w:rPr>
                          <w:color w:val="000000" w:themeColor="text1"/>
                          <w:sz w:val="22"/>
                        </w:rPr>
                      </w:pPr>
                      <w:r>
                        <w:rPr>
                          <w:color w:val="000000" w:themeColor="text1"/>
                          <w:sz w:val="22"/>
                        </w:rPr>
                        <w:t>TBA = Valeur annuelle du point fonction publique afférent à l’indice 100 multiplié par l’indice nouveau majoré (INM) divisé par 100 soit :</w:t>
                      </w:r>
                    </w:p>
                    <w:p>
                      <w:pPr>
                        <w:spacing w:after="0"/>
                        <w:rPr>
                          <w:color w:val="000000" w:themeColor="text1"/>
                          <w:sz w:val="22"/>
                        </w:rPr>
                      </w:pPr>
                      <w:r>
                        <w:rPr>
                          <w:color w:val="000000" w:themeColor="text1"/>
                          <w:sz w:val="22"/>
                        </w:rPr>
                        <w:t>TBA = (5907,34 € x INM de l’agent) / 100</w:t>
                      </w:r>
                    </w:p>
                    <w:p>
                      <w:pPr>
                        <w:spacing w:after="0"/>
                        <w:rPr>
                          <w:color w:val="000000" w:themeColor="text1"/>
                          <w:sz w:val="22"/>
                        </w:rPr>
                      </w:pPr>
                    </w:p>
                    <w:p>
                      <w:pPr>
                        <w:spacing w:after="0"/>
                        <w:rPr>
                          <w:color w:val="000000" w:themeColor="text1"/>
                          <w:sz w:val="22"/>
                        </w:rPr>
                      </w:pPr>
                      <w:r>
                        <w:rPr>
                          <w:color w:val="000000" w:themeColor="text1"/>
                          <w:sz w:val="22"/>
                        </w:rPr>
                        <w:t>Calcul du traitement brut mensuel (TBM) :</w:t>
                      </w:r>
                    </w:p>
                    <w:p>
                      <w:pPr>
                        <w:spacing w:after="0"/>
                        <w:rPr>
                          <w:color w:val="000000" w:themeColor="text1"/>
                          <w:sz w:val="22"/>
                        </w:rPr>
                      </w:pPr>
                      <w:r>
                        <w:rPr>
                          <w:color w:val="000000" w:themeColor="text1"/>
                          <w:sz w:val="22"/>
                        </w:rPr>
                        <w:t>TBM = TBA/ 12</w:t>
                      </w:r>
                    </w:p>
                  </w:txbxContent>
                </v:textbox>
                <w10:wrap anchorx="margin"/>
              </v:roundrect>
            </w:pict>
          </mc:Fallback>
        </mc:AlternateContent>
      </w:r>
      <w:r>
        <w:rPr>
          <w:sz w:val="22"/>
          <w:szCs w:val="24"/>
        </w:rPr>
        <w:br w:type="page"/>
      </w:r>
    </w:p>
    <w:bookmarkStart w:id="36" w:name="_Toc225170933"/>
    <w:p>
      <w:pPr>
        <w:pStyle w:val="Style2"/>
        <w:ind w:left="426"/>
        <w:rPr>
          <w:szCs w:val="56"/>
        </w:rPr>
      </w:pPr>
      <w:r>
        <w:rPr>
          <w:noProof/>
          <w:szCs w:val="56"/>
        </w:rPr>
        <w:lastRenderedPageBreak/>
        <mc:AlternateContent>
          <mc:Choice Requires="wps">
            <w:drawing>
              <wp:anchor distT="0" distB="0" distL="114300" distR="114300" simplePos="0" relativeHeight="252177408" behindDoc="0" locked="0" layoutInCell="1" allowOverlap="1">
                <wp:simplePos x="0" y="0"/>
                <wp:positionH relativeFrom="column">
                  <wp:posOffset>-310514</wp:posOffset>
                </wp:positionH>
                <wp:positionV relativeFrom="paragraph">
                  <wp:posOffset>50165</wp:posOffset>
                </wp:positionV>
                <wp:extent cx="550684" cy="576000"/>
                <wp:effectExtent l="19050" t="0" r="1905" b="33655"/>
                <wp:wrapNone/>
                <wp:docPr id="13" name="Larm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13" o:spid="_x0000_s1026" alt="&quot;&quot;" style="position:absolute;margin-left:-24.45pt;margin-top:3.95pt;width:43.35pt;height:45.35pt;rotation:11557929fd;z-index:2521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rPr>
          <w:szCs w:val="56"/>
        </w:rPr>
        <w:t>1.2. Populations particulières</w:t>
      </w:r>
      <w:bookmarkEnd w:id="36"/>
      <w:r>
        <w:rPr>
          <w:szCs w:val="56"/>
        </w:rPr>
        <w:t xml:space="preserve">  </w:t>
      </w:r>
    </w:p>
    <w:p>
      <w:pPr>
        <w:rPr>
          <w:rFonts w:eastAsiaTheme="majorEastAsia" w:cstheme="majorBidi"/>
          <w:bCs/>
          <w:color w:val="FFFFFF" w:themeColor="background1"/>
          <w:sz w:val="22"/>
        </w:rPr>
      </w:pPr>
      <w:bookmarkStart w:id="37" w:name="_Hlk205805793"/>
    </w:p>
    <w:bookmarkStart w:id="38" w:name="_Toc225170934"/>
    <w:p>
      <w:pPr>
        <w:keepNext/>
        <w:keepLines/>
        <w:spacing w:before="40" w:after="0" w:line="240" w:lineRule="auto"/>
        <w:ind w:left="360"/>
        <w:outlineLvl w:val="2"/>
        <w:rPr>
          <w:rFonts w:eastAsiaTheme="majorEastAsia" w:cstheme="majorBidi"/>
          <w:bCs/>
          <w:color w:val="FFFFFF" w:themeColor="background1"/>
          <w:sz w:val="36"/>
          <w:szCs w:val="24"/>
        </w:rPr>
      </w:pPr>
      <w:r>
        <w:rPr>
          <w:rFonts w:eastAsiaTheme="majorEastAsia" w:cstheme="majorBidi"/>
          <w:b/>
          <w:noProof/>
          <w:color w:val="FFFFFF" w:themeColor="background1"/>
          <w:sz w:val="36"/>
          <w:szCs w:val="24"/>
        </w:rPr>
        <mc:AlternateContent>
          <mc:Choice Requires="wps">
            <w:drawing>
              <wp:anchor distT="0" distB="0" distL="114300" distR="114300" simplePos="0" relativeHeight="252137472" behindDoc="1" locked="0" layoutInCell="1" allowOverlap="1">
                <wp:simplePos x="0" y="0"/>
                <wp:positionH relativeFrom="margin">
                  <wp:align>right</wp:align>
                </wp:positionH>
                <wp:positionV relativeFrom="paragraph">
                  <wp:posOffset>30537</wp:posOffset>
                </wp:positionV>
                <wp:extent cx="6113088" cy="341194"/>
                <wp:effectExtent l="0" t="0" r="2540" b="1905"/>
                <wp:wrapNone/>
                <wp:docPr id="15" name="Rectangle 1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13088" cy="341194"/>
                        </a:xfrm>
                        <a:prstGeom prst="rect">
                          <a:avLst/>
                        </a:prstGeom>
                        <a:solidFill>
                          <a:srgbClr val="5770BE"/>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o:spid="_x0000_s1026" alt="&quot;&quot;" style="position:absolute;margin-left:430.15pt;margin-top:2.4pt;width:481.35pt;height:26.85pt;z-index:-251179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" fillcolor="#5770be" stroked="f" strokeweight="1pt">
                <w10:wrap anchorx="margin"/>
              </v:rect>
            </w:pict>
          </mc:Fallback>
        </mc:AlternateContent>
      </w:r>
      <w:r>
        <w:rPr>
          <w:rFonts w:eastAsiaTheme="majorEastAsia" w:cstheme="majorBidi"/>
          <w:bCs/>
          <w:color w:val="FFFFFF" w:themeColor="background1"/>
          <w:sz w:val="36"/>
          <w:szCs w:val="24"/>
        </w:rPr>
        <w:t>1.2.1. Elèves</w:t>
      </w:r>
      <w:bookmarkEnd w:id="38"/>
    </w:p>
    <w:bookmarkEnd w:id="37"/>
    <w:p>
      <w:pPr>
        <w:jc w:val="both"/>
        <w:rPr>
          <w:sz w:val="22"/>
          <w:szCs w:val="24"/>
        </w:rPr>
      </w:pPr>
    </w:p>
    <w:p>
      <w:pPr>
        <w:jc w:val="both"/>
        <w:rPr>
          <w:sz w:val="22"/>
          <w:szCs w:val="24"/>
        </w:rPr>
      </w:pPr>
    </w:p>
    <w:p>
      <w:pPr>
        <w:jc w:val="both"/>
        <w:rPr>
          <w:sz w:val="22"/>
          <w:szCs w:val="24"/>
        </w:rPr>
      </w:pPr>
      <w:r>
        <w:rPr>
          <w:sz w:val="22"/>
          <w:szCs w:val="24"/>
        </w:rPr>
        <w:t xml:space="preserve">Dans la fonction publique de l’État, les élèves sont des agents qui, recrutés par concours interne ou externe, sont admis dans une école d’application ou de formation de l’administration. </w:t>
      </w:r>
    </w:p>
    <w:p>
      <w:pPr>
        <w:jc w:val="both"/>
        <w:rPr>
          <w:rFonts w:cs="Times New Roman"/>
          <w:sz w:val="22"/>
        </w:rPr>
      </w:pPr>
      <w:r>
        <w:rPr>
          <w:sz w:val="22"/>
          <w:szCs w:val="24"/>
        </w:rPr>
        <w:t xml:space="preserve">Durant leur scolarité, ils bénéficient du statut de « fonctionnaire élève » mais ne sont pas encore intégrés dans le corps auquel ils ont vocation à accéder. </w:t>
      </w:r>
      <w:r>
        <w:rPr>
          <w:rFonts w:cs="Times New Roman"/>
          <w:sz w:val="22"/>
        </w:rPr>
        <w:t xml:space="preserve">A l’issue de leur période de scolarité, les élèves sont soit affectés en qualité de stagiaire avant la titularisation, soit titularisés dès la sortie de l’école (Exemple : Ingénieurs des ponts, eaux et forêts – IPEF). </w:t>
      </w:r>
    </w:p>
    <w:p>
      <w:pPr>
        <w:jc w:val="both"/>
        <w:rPr>
          <w:sz w:val="22"/>
        </w:rPr>
      </w:pPr>
      <w:r>
        <w:rPr>
          <w:sz w:val="22"/>
        </w:rPr>
        <w:t xml:space="preserve">Durant leur scolarité ils perçoivent une rémunération afférente à un indice brut fixé par voie réglementaire. </w:t>
      </w:r>
    </w:p>
    <w:p>
      <w:pPr>
        <w:jc w:val="both"/>
        <w:rPr>
          <w:sz w:val="22"/>
        </w:rPr>
      </w:pPr>
      <w:r>
        <w:rPr>
          <w:sz w:val="22"/>
        </w:rPr>
        <w:t xml:space="preserve">Cette rémunération comprend un traitement indiciaire, éventuellement complété par des accessoires de rémunération (indemnité de résidence en fonction de l’affectation administrative, supplément familial de traitement au regard de la situation familiale, indemnité de stage). </w:t>
      </w:r>
    </w:p>
    <w:p>
      <w:pPr>
        <w:jc w:val="both"/>
        <w:rPr>
          <w:sz w:val="22"/>
        </w:rPr>
      </w:pPr>
      <w:r>
        <w:rPr>
          <w:sz w:val="22"/>
        </w:rPr>
        <w:t>Les modalités précises d’attribution et de liquidation du traitement sont définies par les textes propres à chaque école ou corps de recrutement, comme par exemple les stagiaires du MEN et les élèves de l’Institut national du service public présentés en exemples ci-dessous.</w:t>
      </w:r>
    </w:p>
    <w:p>
      <w:pPr>
        <w:rPr>
          <w:sz w:val="22"/>
          <w:u w:val="single"/>
        </w:rPr>
      </w:pPr>
    </w:p>
    <w:p>
      <w:pPr>
        <w:jc w:val="both"/>
        <w:rPr>
          <w:rFonts w:cs="Times New Roman"/>
          <w:b/>
          <w:bCs/>
          <w:sz w:val="24"/>
          <w:szCs w:val="24"/>
        </w:rPr>
      </w:pPr>
      <w:r>
        <w:rPr>
          <w:rFonts w:cs="Times New Roman"/>
          <w:b/>
          <w:bCs/>
          <w:sz w:val="24"/>
          <w:szCs w:val="24"/>
        </w:rPr>
        <w:t>1.2.1.1. Bases juridiques</w:t>
      </w:r>
    </w:p>
    <w:p>
      <w:pPr>
        <w:rPr>
          <w:sz w:val="22"/>
          <w:u w:val="single"/>
        </w:rPr>
      </w:pPr>
    </w:p>
    <w:p>
      <w:pPr>
        <w:pStyle w:val="Paragraphedeliste"/>
        <w:numPr>
          <w:ilvl w:val="0"/>
          <w:numId w:val="5"/>
        </w:numPr>
        <w:spacing w:after="0"/>
        <w:jc w:val="both"/>
        <w:rPr>
          <w:sz w:val="22"/>
        </w:rPr>
      </w:pPr>
      <w:r>
        <w:rPr>
          <w:rFonts w:eastAsia="Times New Roman" w:cstheme="minorHAnsi"/>
          <w:sz w:val="22"/>
          <w:u w:val="single"/>
          <w:lang w:eastAsia="fr-FR"/>
        </w:rPr>
        <w:t>CGFP : Code général de la fonction publique : Livre VII : RÉMUNÉRATION ET ACTION SOCIALE</w:t>
      </w:r>
      <w:r>
        <w:rPr>
          <w:rFonts w:eastAsia="Times New Roman" w:cstheme="minorHAnsi"/>
          <w:i/>
          <w:iCs/>
          <w:sz w:val="22"/>
          <w:u w:val="single"/>
          <w:lang w:eastAsia="fr-FR"/>
        </w:rPr>
        <w:t xml:space="preserve">. </w:t>
      </w:r>
      <w:r>
        <w:rPr>
          <w:rFonts w:eastAsia="Times New Roman" w:cstheme="minorHAnsi"/>
          <w:b/>
          <w:bCs/>
          <w:sz w:val="22"/>
          <w:lang w:eastAsia="fr-FR"/>
        </w:rPr>
        <w:t>(Articles L712-1, L712-2 et Article L115-1)</w:t>
      </w:r>
    </w:p>
    <w:p>
      <w:pPr>
        <w:pStyle w:val="Paragraphedeliste"/>
        <w:spacing w:after="0"/>
        <w:jc w:val="both"/>
        <w:rPr>
          <w:sz w:val="22"/>
        </w:rPr>
      </w:pPr>
    </w:p>
    <w:p>
      <w:pPr>
        <w:numPr>
          <w:ilvl w:val="0"/>
          <w:numId w:val="6"/>
        </w:numPr>
        <w:spacing w:after="0" w:line="240" w:lineRule="auto"/>
        <w:jc w:val="both"/>
        <w:rPr>
          <w:rFonts w:eastAsia="Times New Roman" w:cstheme="minorHAnsi"/>
          <w:sz w:val="22"/>
          <w:u w:val="single"/>
          <w:lang w:eastAsia="fr-FR"/>
        </w:rPr>
      </w:pPr>
      <w:r>
        <w:rPr>
          <w:rFonts w:eastAsia="Times New Roman" w:cstheme="minorHAnsi"/>
          <w:sz w:val="22"/>
          <w:u w:val="single"/>
          <w:lang w:eastAsia="fr-FR"/>
        </w:rPr>
        <w:t xml:space="preserve">Décret n° 85-1148 du 24 octobre 1985 modifié relatif à la rémunération des personnels civils et militaires de l'Etat, des personnels des collectivités territoriales et des personnels des établissements publics d'hospitalisation </w:t>
      </w:r>
      <w:r>
        <w:rPr>
          <w:rFonts w:eastAsia="Times New Roman" w:cstheme="minorHAnsi"/>
          <w:b/>
          <w:bCs/>
          <w:sz w:val="22"/>
          <w:u w:val="single"/>
          <w:lang w:eastAsia="fr-FR"/>
        </w:rPr>
        <w:t>(Article 1 précise les populations et article 8)</w:t>
      </w:r>
    </w:p>
    <w:p>
      <w:pPr>
        <w:spacing w:after="0" w:line="240" w:lineRule="auto"/>
        <w:ind w:left="720"/>
        <w:jc w:val="both"/>
        <w:rPr>
          <w:rFonts w:eastAsia="Times New Roman" w:cstheme="minorHAnsi"/>
          <w:sz w:val="22"/>
          <w:u w:val="single"/>
          <w:lang w:eastAsia="fr-FR"/>
        </w:rPr>
      </w:pPr>
    </w:p>
    <w:p>
      <w:pPr>
        <w:numPr>
          <w:ilvl w:val="0"/>
          <w:numId w:val="6"/>
        </w:numPr>
        <w:spacing w:line="240" w:lineRule="auto"/>
        <w:ind w:left="714" w:hanging="357"/>
        <w:jc w:val="both"/>
        <w:rPr>
          <w:rFonts w:eastAsia="Times New Roman" w:cs="Calibri"/>
          <w:sz w:val="22"/>
          <w:lang w:eastAsia="fr-FR"/>
        </w:rPr>
      </w:pPr>
      <w:hyperlink r:id="rId34" w:tgtFrame="_blank" w:tooltip="Décret n°82-1105 du 23 décembre 1982 relatif aux indices de la fonction publique - legifrance.gouv.fr - Nouvelle fenêtre" w:history="1">
        <w:r>
          <w:rPr>
            <w:rFonts w:eastAsia="Times New Roman" w:cs="Calibri"/>
            <w:sz w:val="22"/>
            <w:u w:val="single"/>
            <w:lang w:eastAsia="fr-FR"/>
          </w:rPr>
          <w:t>Décret n°82-1105 du 23 décembre 1982 relatif aux indices de la fonction publique</w:t>
        </w:r>
      </w:hyperlink>
      <w:r>
        <w:rPr>
          <w:rFonts w:eastAsia="Times New Roman" w:cs="Calibri"/>
          <w:sz w:val="22"/>
          <w:u w:val="single"/>
          <w:lang w:eastAsia="fr-FR"/>
        </w:rPr>
        <w:t xml:space="preserve"> </w:t>
      </w:r>
      <w:r>
        <w:rPr>
          <w:rFonts w:eastAsia="Times New Roman" w:cs="Calibri"/>
          <w:b/>
          <w:bCs/>
          <w:sz w:val="22"/>
          <w:lang w:eastAsia="fr-FR"/>
        </w:rPr>
        <w:t>(Article 1 et annexe (Article Barème A)</w:t>
      </w:r>
      <w:r>
        <w:rPr>
          <w:rFonts w:eastAsia="Times New Roman" w:cs="Times New Roman"/>
          <w:b/>
          <w:bCs/>
          <w:sz w:val="22"/>
        </w:rPr>
        <w:t>)</w:t>
      </w:r>
    </w:p>
    <w:p>
      <w:pPr>
        <w:pStyle w:val="Paragraphedeliste"/>
        <w:rPr>
          <w:rFonts w:eastAsia="Times New Roman" w:cs="Calibri"/>
          <w:sz w:val="22"/>
          <w:lang w:eastAsia="fr-FR"/>
        </w:rPr>
      </w:pPr>
    </w:p>
    <w:p>
      <w:pPr>
        <w:jc w:val="both"/>
        <w:rPr>
          <w:rFonts w:cs="Times New Roman"/>
          <w:b/>
          <w:bCs/>
          <w:sz w:val="24"/>
          <w:szCs w:val="24"/>
        </w:rPr>
      </w:pPr>
      <w:r>
        <w:rPr>
          <w:rFonts w:cs="Times New Roman"/>
          <w:b/>
          <w:bCs/>
          <w:sz w:val="24"/>
          <w:szCs w:val="24"/>
        </w:rPr>
        <w:t xml:space="preserve">1.2.1.2. Détermination du Traitement indiciaire </w:t>
      </w:r>
    </w:p>
    <w:p>
      <w:pPr>
        <w:ind w:left="360"/>
        <w:rPr>
          <w:sz w:val="22"/>
          <w:szCs w:val="24"/>
        </w:rPr>
      </w:pPr>
    </w:p>
    <w:p>
      <w:pPr>
        <w:jc w:val="both"/>
        <w:rPr>
          <w:sz w:val="22"/>
          <w:szCs w:val="24"/>
        </w:rPr>
      </w:pPr>
      <w:r>
        <w:rPr>
          <w:sz w:val="22"/>
          <w:szCs w:val="24"/>
        </w:rPr>
        <w:t>Les règles de calcul du traitement indiciaire prévues à l’article 2 du décret n°85-1148 du 24 octobre 1985 et décrites précédemment au 1.1.2. s’appliquent également au calcul du traitement indiciaire des élèves.</w:t>
      </w:r>
    </w:p>
    <w:p>
      <w:pPr>
        <w:jc w:val="both"/>
        <w:rPr>
          <w:sz w:val="22"/>
          <w:szCs w:val="24"/>
        </w:rPr>
      </w:pPr>
      <w:r>
        <w:rPr>
          <w:sz w:val="22"/>
          <w:szCs w:val="24"/>
        </w:rPr>
        <w:t>Toutefois la position d’élèves ne permet pas le bénéfice de la majoration de traitement durant la période d’école, celle-ci s’effectuant en Métropole (pas dans les DOM-TOM).</w:t>
      </w:r>
    </w:p>
    <w:p>
      <w:pPr>
        <w:jc w:val="both"/>
        <w:rPr>
          <w:sz w:val="22"/>
          <w:szCs w:val="24"/>
        </w:rPr>
      </w:pPr>
      <w:r>
        <w:rPr>
          <w:sz w:val="22"/>
          <w:szCs w:val="24"/>
        </w:rPr>
        <w:t>Les dispositifs communs s’appliquent aux élèves fonctionnaires dès leur nomination, hormis la possibilité d’effectuer leur stage à temps partiel durant leur scolarité.</w:t>
      </w:r>
    </w:p>
    <w:tbl>
      <w:tblPr>
        <w:tblW w:w="9664" w:type="dxa"/>
        <w:tblCellMar>
          <w:left w:w="70" w:type="dxa"/>
          <w:right w:w="70" w:type="dxa"/>
        </w:tblCellMar>
        <w:tblLook w:val="04A0" w:firstRow="1" w:lastRow="0" w:firstColumn="1" w:lastColumn="0" w:noHBand="0" w:noVBand="1"/>
      </w:tblPr>
      <w:tblGrid>
        <w:gridCol w:w="9652"/>
        <w:gridCol w:w="12"/>
      </w:tblGrid>
      <w:tr>
        <w:trPr>
          <w:gridAfter w:val="1"/>
          <w:wAfter w:w="12" w:type="dxa"/>
          <w:trHeight w:val="377"/>
        </w:trPr>
        <w:tc>
          <w:tcPr>
            <w:tcW w:w="9652" w:type="dxa"/>
            <w:tcBorders>
              <w:top w:val="nil"/>
              <w:left w:val="nil"/>
              <w:bottom w:val="single" w:sz="12" w:space="0" w:color="548235"/>
              <w:right w:val="nil"/>
            </w:tcBorders>
            <w:shd w:val="clear" w:color="auto" w:fill="auto"/>
            <w:noWrap/>
            <w:vAlign w:val="bottom"/>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lastRenderedPageBreak/>
              <w:t> </w:t>
            </w:r>
          </w:p>
        </w:tc>
      </w:tr>
      <w:tr>
        <w:trPr>
          <w:gridAfter w:val="1"/>
          <w:wAfter w:w="12" w:type="dxa"/>
          <w:trHeight w:val="6503"/>
        </w:trPr>
        <w:tc>
          <w:tcPr>
            <w:tcW w:w="9652" w:type="dxa"/>
            <w:tcBorders>
              <w:top w:val="nil"/>
              <w:left w:val="single" w:sz="12" w:space="0" w:color="548235"/>
              <w:bottom w:val="single" w:sz="12" w:space="0" w:color="548235"/>
              <w:right w:val="single" w:sz="12" w:space="0" w:color="548235"/>
            </w:tcBorders>
            <w:shd w:val="clear" w:color="auto" w:fill="auto"/>
            <w:vAlign w:val="center"/>
            <w:hideMark/>
          </w:tcPr>
          <w:p>
            <w:pPr>
              <w:shd w:val="clear" w:color="auto" w:fill="C5E0B3" w:themeFill="accent6" w:themeFillTint="66"/>
              <w:spacing w:after="0" w:line="240" w:lineRule="auto"/>
              <w:jc w:val="center"/>
              <w:rPr>
                <w:rFonts w:ascii="Calibri" w:eastAsia="Times New Roman" w:hAnsi="Calibri" w:cs="Calibri"/>
                <w:color w:val="000000"/>
                <w:sz w:val="22"/>
                <w:lang w:eastAsia="fr-FR"/>
              </w:rPr>
            </w:pPr>
            <w:r>
              <w:rPr>
                <w:b/>
                <w:bCs/>
                <w:shd w:val="clear" w:color="auto" w:fill="C5E0B3" w:themeFill="accent6" w:themeFillTint="66"/>
              </w:rPr>
              <w:t>Exemple de modalité particulière prise pour les élèves du MEN</w:t>
            </w:r>
            <w:r>
              <w:rPr>
                <w:rFonts w:ascii="Calibri" w:eastAsia="Times New Roman" w:hAnsi="Calibri" w:cs="Calibri"/>
                <w:color w:val="000000"/>
                <w:sz w:val="22"/>
                <w:lang w:eastAsia="fr-FR"/>
              </w:rPr>
              <w:t xml:space="preserve"> </w:t>
            </w:r>
            <w:r>
              <w:rPr>
                <w:rFonts w:ascii="Calibri" w:eastAsia="Times New Roman" w:hAnsi="Calibri" w:cs="Calibri"/>
                <w:color w:val="000000"/>
                <w:sz w:val="22"/>
                <w:lang w:eastAsia="fr-FR"/>
              </w:rPr>
              <w:br/>
            </w:r>
          </w:p>
          <w:p>
            <w:pPr>
              <w:shd w:val="clear" w:color="auto" w:fill="C5E0B3" w:themeFill="accent6" w:themeFillTint="66"/>
              <w:spacing w:after="0" w:line="240" w:lineRule="auto"/>
            </w:pPr>
            <w:r>
              <w:rPr>
                <w:rFonts w:ascii="Calibri" w:eastAsia="Times New Roman" w:hAnsi="Calibri" w:cs="Calibri"/>
                <w:color w:val="000000"/>
                <w:sz w:val="22"/>
                <w:lang w:eastAsia="fr-FR"/>
              </w:rPr>
              <w:br/>
            </w:r>
            <w:hyperlink r:id="rId35" w:history="1">
              <w:r>
                <w:rPr>
                  <w:rStyle w:val="Lienhypertexte"/>
                  <w:shd w:val="clear" w:color="auto" w:fill="C5E0B3" w:themeFill="accent6" w:themeFillTint="66"/>
                </w:rPr>
                <w:t>Décret n° 2025-352 du 17 avril 2025 modifiant les conditions de recrutement et de formation des corps enseignants, du personnel d'éducation et des maîtres de l'enseignement privé sous contrat du ministère chargé de l'éducation nationale</w:t>
              </w:r>
            </w:hyperlink>
            <w:r>
              <w:rPr>
                <w:rFonts w:ascii="Calibri" w:eastAsia="Times New Roman" w:hAnsi="Calibri" w:cs="Calibri"/>
                <w:color w:val="000000"/>
                <w:sz w:val="22"/>
                <w:shd w:val="clear" w:color="auto" w:fill="C5E0B3" w:themeFill="accent6" w:themeFillTint="66"/>
                <w:lang w:eastAsia="fr-FR"/>
              </w:rPr>
              <w:t xml:space="preserve"> </w:t>
            </w:r>
            <w:r>
              <w:rPr>
                <w:shd w:val="clear" w:color="auto" w:fill="C5E0B3" w:themeFill="accent6" w:themeFillTint="66"/>
              </w:rPr>
              <w:t>(Article 39)</w:t>
            </w:r>
            <w:r>
              <w:br/>
            </w:r>
          </w:p>
          <w:p>
            <w:pPr>
              <w:spacing w:after="0" w:line="240" w:lineRule="auto"/>
            </w:pPr>
            <w:r>
              <w:br/>
              <w:t>L’article 1 du décret 2025-352 prévoit que Les candidats admis aux concours externes « […] sont nommés en qualité d'élèves par le directeur académique des services de l'éducation nationale agissant sur délégation du recteur de l'académie de recrutement pour une durée d'un an. Ils bénéficient d'un contrat provisoire d'élève. A l'issue de cette période et sauf en cas d'insuffisance manifeste, ils sont nommés stagiaires par le directeur académique des services de l'éducation nationale […] ».</w:t>
            </w:r>
          </w:p>
          <w:p>
            <w:pPr>
              <w:spacing w:after="0" w:line="240" w:lineRule="auto"/>
            </w:pPr>
            <w:r>
              <w:br/>
              <w:t>L’article 39 du même décret précise que pendant la période effectuée en qualité d'élève, celui-ci perçoit le traitement afférent à l'indice majoré 366 (indice brut 367), comme prévu à l’article 8 du décret 85-1148, y compris si l’indice de l’élève est inférieur à l’indice majoré 366.</w:t>
            </w:r>
          </w:p>
          <w:p>
            <w:pPr>
              <w:spacing w:after="0" w:line="240" w:lineRule="auto"/>
              <w:rPr>
                <w:rFonts w:ascii="Calibri" w:eastAsia="Times New Roman" w:hAnsi="Calibri" w:cs="Calibri"/>
                <w:color w:val="000000"/>
                <w:sz w:val="22"/>
                <w:lang w:eastAsia="fr-FR"/>
              </w:rPr>
            </w:pPr>
            <w:r>
              <w:br/>
              <w:t>Le versement est conditionné à l'assiduité de l'élève.</w:t>
            </w:r>
          </w:p>
        </w:tc>
      </w:tr>
      <w:tr>
        <w:trPr>
          <w:trHeight w:val="311"/>
        </w:trPr>
        <w:tc>
          <w:tcPr>
            <w:tcW w:w="9664" w:type="dxa"/>
            <w:gridSpan w:val="2"/>
            <w:tcBorders>
              <w:top w:val="nil"/>
              <w:left w:val="nil"/>
              <w:bottom w:val="single" w:sz="12" w:space="0" w:color="548235"/>
              <w:right w:val="nil"/>
            </w:tcBorders>
            <w:shd w:val="clear" w:color="auto" w:fill="auto"/>
            <w:noWrap/>
            <w:vAlign w:val="bottom"/>
            <w:hideMark/>
          </w:tcPr>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t> </w:t>
            </w:r>
          </w:p>
          <w:p>
            <w:pPr>
              <w:spacing w:after="0" w:line="240" w:lineRule="auto"/>
              <w:rPr>
                <w:rFonts w:ascii="Calibri" w:eastAsia="Times New Roman" w:hAnsi="Calibri" w:cs="Calibri"/>
                <w:color w:val="000000"/>
                <w:sz w:val="22"/>
                <w:lang w:eastAsia="fr-FR"/>
              </w:rPr>
            </w:pPr>
          </w:p>
        </w:tc>
      </w:tr>
      <w:tr>
        <w:trPr>
          <w:trHeight w:val="3208"/>
        </w:trPr>
        <w:tc>
          <w:tcPr>
            <w:tcW w:w="9664" w:type="dxa"/>
            <w:gridSpan w:val="2"/>
            <w:tcBorders>
              <w:top w:val="nil"/>
              <w:left w:val="single" w:sz="12" w:space="0" w:color="548235"/>
              <w:bottom w:val="single" w:sz="12" w:space="0" w:color="548235"/>
              <w:right w:val="single" w:sz="12" w:space="0" w:color="548235"/>
            </w:tcBorders>
            <w:shd w:val="clear" w:color="auto" w:fill="auto"/>
            <w:vAlign w:val="center"/>
            <w:hideMark/>
          </w:tcPr>
          <w:p>
            <w:pPr>
              <w:shd w:val="clear" w:color="auto" w:fill="C5E0B3" w:themeFill="accent6" w:themeFillTint="66"/>
              <w:spacing w:after="0" w:line="240" w:lineRule="auto"/>
              <w:jc w:val="center"/>
              <w:rPr>
                <w:rFonts w:ascii="Calibri" w:eastAsia="Times New Roman" w:hAnsi="Calibri" w:cs="Calibri"/>
                <w:color w:val="000000"/>
                <w:sz w:val="22"/>
                <w:lang w:eastAsia="fr-FR"/>
              </w:rPr>
            </w:pPr>
            <w:r>
              <w:rPr>
                <w:b/>
                <w:bCs/>
                <w:shd w:val="clear" w:color="auto" w:fill="C5E0B3" w:themeFill="accent6" w:themeFillTint="66"/>
              </w:rPr>
              <w:t>Exemple de modalité particulière prise pour les élèves de l’Institut national du service public</w:t>
            </w:r>
            <w:r>
              <w:rPr>
                <w:rFonts w:ascii="Calibri" w:eastAsia="Times New Roman" w:hAnsi="Calibri" w:cs="Calibri"/>
                <w:color w:val="000000"/>
                <w:sz w:val="22"/>
                <w:lang w:eastAsia="fr-FR"/>
              </w:rPr>
              <w:br/>
            </w:r>
            <w:r>
              <w:rPr>
                <w:rFonts w:ascii="Calibri" w:eastAsia="Times New Roman" w:hAnsi="Calibri" w:cs="Calibri"/>
                <w:color w:val="000000"/>
                <w:sz w:val="22"/>
                <w:lang w:eastAsia="fr-FR"/>
              </w:rPr>
              <w:br/>
            </w:r>
          </w:p>
          <w:p>
            <w:pPr>
              <w:shd w:val="clear" w:color="auto" w:fill="C5E0B3" w:themeFill="accent6" w:themeFillTint="66"/>
              <w:jc w:val="both"/>
              <w:rPr>
                <w:rStyle w:val="Lienhypertexte"/>
              </w:rPr>
            </w:pPr>
            <w:hyperlink r:id="rId36" w:history="1">
              <w:r>
                <w:rPr>
                  <w:rStyle w:val="Lienhypertexte"/>
                </w:rPr>
                <w:t>Décret 2020-1469 du 27 novembre 2020 relatif à la rémunération des élèves de l'Institut national du service public et des stagiaires des cycles préparatoires de l'Institut national du service public</w:t>
              </w:r>
            </w:hyperlink>
          </w:p>
          <w:p>
            <w:pPr>
              <w:spacing w:after="0" w:line="240" w:lineRule="auto"/>
              <w:rPr>
                <w:rFonts w:ascii="Calibri" w:eastAsia="Times New Roman" w:hAnsi="Calibri" w:cs="Calibri"/>
                <w:color w:val="000000"/>
                <w:sz w:val="22"/>
                <w:lang w:eastAsia="fr-FR"/>
              </w:rPr>
            </w:pPr>
            <w:r>
              <w:rPr>
                <w:rFonts w:ascii="Calibri" w:eastAsia="Times New Roman" w:hAnsi="Calibri" w:cs="Calibri"/>
                <w:color w:val="000000"/>
                <w:sz w:val="22"/>
                <w:lang w:eastAsia="fr-FR"/>
              </w:rPr>
              <w:br/>
            </w:r>
            <w:r>
              <w:t>L’article 1 du décret n°2020-1469 indique que « Les élèves de l'Ecole nationale d'administration perçoivent, après service fait, une rémunération comportant le traitement indiciaire afférent à l'indice brut 395. »</w:t>
            </w:r>
          </w:p>
        </w:tc>
      </w:tr>
    </w:tbl>
    <w:p>
      <w:pPr>
        <w:keepNext/>
        <w:keepLines/>
        <w:spacing w:before="40" w:after="0" w:line="240" w:lineRule="auto"/>
        <w:ind w:left="360"/>
        <w:outlineLvl w:val="2"/>
        <w:rPr>
          <w:rFonts w:eastAsiaTheme="majorEastAsia" w:cstheme="majorBidi"/>
          <w:bCs/>
          <w:color w:val="FFFFFF" w:themeColor="background1"/>
          <w:sz w:val="36"/>
          <w:szCs w:val="24"/>
        </w:rPr>
      </w:pPr>
      <w:bookmarkStart w:id="39" w:name="_Toc225170935"/>
    </w:p>
    <w:p>
      <w:pPr>
        <w:rPr>
          <w:rFonts w:eastAsiaTheme="majorEastAsia" w:cstheme="majorBidi"/>
          <w:bCs/>
          <w:color w:val="FFFFFF" w:themeColor="background1"/>
          <w:sz w:val="36"/>
          <w:szCs w:val="24"/>
        </w:rPr>
      </w:pPr>
      <w:r>
        <w:rPr>
          <w:rFonts w:eastAsiaTheme="majorEastAsia" w:cstheme="majorBidi"/>
          <w:bCs/>
          <w:color w:val="FFFFFF" w:themeColor="background1"/>
          <w:sz w:val="36"/>
          <w:szCs w:val="24"/>
        </w:rPr>
        <w:br w:type="page"/>
      </w:r>
    </w:p>
    <w:p>
      <w:pPr>
        <w:keepNext/>
        <w:keepLines/>
        <w:spacing w:before="40" w:after="0" w:line="240" w:lineRule="auto"/>
        <w:ind w:left="360"/>
        <w:outlineLvl w:val="2"/>
        <w:rPr>
          <w:rFonts w:eastAsiaTheme="majorEastAsia" w:cstheme="majorBidi"/>
          <w:bCs/>
          <w:color w:val="FFFFFF" w:themeColor="background1"/>
          <w:sz w:val="36"/>
          <w:szCs w:val="24"/>
        </w:rPr>
      </w:pPr>
      <w:r>
        <w:rPr>
          <w:rFonts w:eastAsiaTheme="majorEastAsia" w:cstheme="majorBidi"/>
          <w:bCs/>
          <w:noProof/>
          <w:color w:val="FFFFFF" w:themeColor="background1"/>
          <w:sz w:val="36"/>
          <w:szCs w:val="24"/>
        </w:rPr>
        <w:lastRenderedPageBreak/>
        <mc:AlternateContent>
          <mc:Choice Requires="wps">
            <w:drawing>
              <wp:anchor distT="0" distB="0" distL="114300" distR="114300" simplePos="0" relativeHeight="252139520" behindDoc="1" locked="0" layoutInCell="1" allowOverlap="1">
                <wp:simplePos x="0" y="0"/>
                <wp:positionH relativeFrom="margin">
                  <wp:align>right</wp:align>
                </wp:positionH>
                <wp:positionV relativeFrom="paragraph">
                  <wp:posOffset>30537</wp:posOffset>
                </wp:positionV>
                <wp:extent cx="6113088" cy="341194"/>
                <wp:effectExtent l="0" t="0" r="2540" b="1905"/>
                <wp:wrapNone/>
                <wp:docPr id="19" name="Rectangle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13088" cy="341194"/>
                        </a:xfrm>
                        <a:prstGeom prst="rect">
                          <a:avLst/>
                        </a:prstGeom>
                        <a:solidFill>
                          <a:srgbClr val="5770BE"/>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9" o:spid="_x0000_s1026" alt="&quot;&quot;" style="position:absolute;margin-left:430.15pt;margin-top:2.4pt;width:481.35pt;height:26.85pt;z-index:-251176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" fillcolor="#5770be" stroked="f" strokeweight="1pt">
                <w10:wrap anchorx="margin"/>
              </v:rect>
            </w:pict>
          </mc:Fallback>
        </mc:AlternateContent>
      </w:r>
      <w:r>
        <w:rPr>
          <w:rFonts w:eastAsiaTheme="majorEastAsia" w:cstheme="majorBidi"/>
          <w:bCs/>
          <w:color w:val="FFFFFF" w:themeColor="background1"/>
          <w:sz w:val="36"/>
          <w:szCs w:val="24"/>
        </w:rPr>
        <w:t>1.2.2. Personnels du culte</w:t>
      </w:r>
      <w:bookmarkEnd w:id="39"/>
    </w:p>
    <w:p>
      <w:pPr>
        <w:rPr>
          <w:sz w:val="22"/>
          <w:szCs w:val="24"/>
          <w:u w:val="single"/>
        </w:rPr>
      </w:pPr>
    </w:p>
    <w:p>
      <w:pPr>
        <w:jc w:val="both"/>
        <w:rPr>
          <w:sz w:val="22"/>
          <w:szCs w:val="24"/>
        </w:rPr>
      </w:pPr>
      <w:r>
        <w:rPr>
          <w:sz w:val="22"/>
          <w:szCs w:val="24"/>
        </w:rPr>
        <w:t>Les personnels membres des cultes catholique, protestant et israélite ou ministres des cultes sont rémunérés par l’État.</w:t>
      </w:r>
    </w:p>
    <w:p>
      <w:pPr>
        <w:jc w:val="both"/>
        <w:rPr>
          <w:sz w:val="22"/>
          <w:szCs w:val="24"/>
        </w:rPr>
      </w:pPr>
      <w:r>
        <w:rPr>
          <w:sz w:val="22"/>
          <w:szCs w:val="24"/>
        </w:rPr>
        <w:t xml:space="preserve">Ces personnels, bien que ne relevant pas du statut général de la fonction publique, sont assimilés à des agents publics pour ce qui concerne leur rémunération et leur gestion administrative. </w:t>
      </w:r>
    </w:p>
    <w:p>
      <w:pPr>
        <w:jc w:val="both"/>
        <w:rPr>
          <w:sz w:val="22"/>
          <w:szCs w:val="24"/>
        </w:rPr>
      </w:pPr>
      <w:r>
        <w:rPr>
          <w:sz w:val="22"/>
          <w:szCs w:val="24"/>
        </w:rPr>
        <w:t xml:space="preserve">À ce titre, ils perçoivent un traitement indiciaire fixé par grille indiciaire. </w:t>
      </w:r>
    </w:p>
    <w:p>
      <w:pPr>
        <w:jc w:val="both"/>
        <w:rPr>
          <w:sz w:val="22"/>
          <w:szCs w:val="24"/>
        </w:rPr>
      </w:pPr>
      <w:r>
        <w:rPr>
          <w:sz w:val="22"/>
          <w:szCs w:val="24"/>
        </w:rPr>
        <w:t>En raison du statut particulier de ces personnels, certaines dispositions spécifiques s’appliquent.</w:t>
      </w:r>
    </w:p>
    <w:p>
      <w:pPr>
        <w:jc w:val="both"/>
        <w:rPr>
          <w:sz w:val="22"/>
          <w:szCs w:val="24"/>
        </w:rPr>
      </w:pPr>
      <w:r>
        <w:rPr>
          <w:sz w:val="22"/>
          <w:szCs w:val="24"/>
        </w:rPr>
        <w:t xml:space="preserve">Cette partie présente les règles applicables en matière de traitement brut. </w:t>
      </w:r>
    </w:p>
    <w:p>
      <w:pPr>
        <w:rPr>
          <w:sz w:val="22"/>
          <w:szCs w:val="24"/>
          <w:u w:val="single"/>
        </w:rPr>
      </w:pPr>
    </w:p>
    <w:p>
      <w:pPr>
        <w:rPr>
          <w:sz w:val="22"/>
          <w:szCs w:val="24"/>
          <w:u w:val="single"/>
        </w:rPr>
      </w:pPr>
    </w:p>
    <w:p>
      <w:pPr>
        <w:jc w:val="both"/>
        <w:rPr>
          <w:rFonts w:cs="Times New Roman"/>
          <w:b/>
          <w:bCs/>
          <w:sz w:val="24"/>
          <w:szCs w:val="24"/>
        </w:rPr>
      </w:pPr>
      <w:r>
        <w:rPr>
          <w:rFonts w:cs="Times New Roman"/>
          <w:b/>
          <w:bCs/>
          <w:sz w:val="24"/>
          <w:szCs w:val="24"/>
        </w:rPr>
        <w:t xml:space="preserve">1.2.2.1 Bases juridiques </w:t>
      </w:r>
    </w:p>
    <w:p>
      <w:pPr>
        <w:rPr>
          <w:sz w:val="22"/>
          <w:szCs w:val="24"/>
          <w:u w:val="single"/>
        </w:rPr>
      </w:pPr>
    </w:p>
    <w:p>
      <w:pPr>
        <w:pStyle w:val="Paragraphedeliste"/>
        <w:numPr>
          <w:ilvl w:val="0"/>
          <w:numId w:val="10"/>
        </w:numPr>
        <w:ind w:left="709"/>
        <w:jc w:val="both"/>
        <w:rPr>
          <w:sz w:val="22"/>
          <w:szCs w:val="24"/>
          <w:u w:val="single"/>
        </w:rPr>
      </w:pPr>
      <w:hyperlink r:id="rId37" w:history="1">
        <w:r>
          <w:rPr>
            <w:rStyle w:val="Lienhypertexte"/>
            <w:sz w:val="22"/>
            <w:szCs w:val="24"/>
          </w:rPr>
          <w:t>Décret n° 2007-1341 du 11 septembre 2007 modifiant la loi locale du 15 novembre 1909 relative aux traitements et pensions des ministres des cultes rétribués par l'Etat et de leurs veuves et orphelins</w:t>
        </w:r>
      </w:hyperlink>
    </w:p>
    <w:p>
      <w:pPr>
        <w:pStyle w:val="Paragraphedeliste"/>
        <w:ind w:left="709"/>
        <w:jc w:val="both"/>
        <w:rPr>
          <w:sz w:val="22"/>
          <w:szCs w:val="24"/>
          <w:u w:val="single"/>
        </w:rPr>
      </w:pPr>
    </w:p>
    <w:p>
      <w:pPr>
        <w:pStyle w:val="Paragraphedeliste"/>
        <w:numPr>
          <w:ilvl w:val="0"/>
          <w:numId w:val="10"/>
        </w:numPr>
        <w:spacing w:after="0" w:line="240" w:lineRule="auto"/>
        <w:ind w:left="709"/>
        <w:jc w:val="both"/>
        <w:rPr>
          <w:rStyle w:val="Lienhypertexte"/>
          <w:color w:val="auto"/>
          <w:sz w:val="22"/>
          <w:szCs w:val="24"/>
        </w:rPr>
      </w:pPr>
      <w:hyperlink r:id="rId38" w:history="1">
        <w:r>
          <w:rPr>
            <w:rStyle w:val="Lienhypertexte"/>
            <w:sz w:val="22"/>
            <w:szCs w:val="24"/>
          </w:rPr>
          <w:t>Décret n°2007-1445 du 8 octobre 2007 relatif à la fixation du classement indiciaire des personnels des cultes d'Alsace et de Moselle</w:t>
        </w:r>
      </w:hyperlink>
    </w:p>
    <w:p>
      <w:pPr>
        <w:spacing w:after="0" w:line="240" w:lineRule="auto"/>
        <w:jc w:val="both"/>
        <w:rPr>
          <w:sz w:val="22"/>
          <w:szCs w:val="24"/>
          <w:u w:val="single"/>
        </w:rPr>
      </w:pPr>
    </w:p>
    <w:p>
      <w:pPr>
        <w:pStyle w:val="Paragraphedeliste"/>
        <w:numPr>
          <w:ilvl w:val="0"/>
          <w:numId w:val="10"/>
        </w:numPr>
        <w:spacing w:after="0" w:line="240" w:lineRule="auto"/>
        <w:ind w:left="709"/>
        <w:jc w:val="both"/>
        <w:rPr>
          <w:sz w:val="22"/>
          <w:szCs w:val="24"/>
          <w:u w:val="single"/>
        </w:rPr>
      </w:pPr>
      <w:hyperlink r:id="rId39" w:history="1">
        <w:r>
          <w:rPr>
            <w:rStyle w:val="Lienhypertexte"/>
            <w:sz w:val="22"/>
            <w:szCs w:val="24"/>
          </w:rPr>
          <w:t>Arrêté du 8 octobre 2007 fixant les échelonnements indiciaires des personnels des cultes d'Alsace et de Moselle</w:t>
        </w:r>
      </w:hyperlink>
      <w:r>
        <w:rPr>
          <w:sz w:val="22"/>
          <w:szCs w:val="24"/>
          <w:u w:val="single"/>
        </w:rPr>
        <w:t xml:space="preserve"> </w:t>
      </w:r>
    </w:p>
    <w:p>
      <w:pPr>
        <w:rPr>
          <w:color w:val="91AE4F"/>
          <w:sz w:val="22"/>
          <w:szCs w:val="24"/>
          <w:u w:val="single"/>
        </w:rPr>
      </w:pPr>
    </w:p>
    <w:p>
      <w:pPr>
        <w:rPr>
          <w:sz w:val="22"/>
          <w:szCs w:val="24"/>
          <w:u w:val="single"/>
        </w:rPr>
      </w:pPr>
    </w:p>
    <w:p>
      <w:pPr>
        <w:rPr>
          <w:sz w:val="22"/>
          <w:szCs w:val="24"/>
          <w:u w:val="single"/>
        </w:rPr>
      </w:pPr>
    </w:p>
    <w:p>
      <w:pPr>
        <w:jc w:val="both"/>
        <w:rPr>
          <w:rFonts w:cs="Times New Roman"/>
          <w:b/>
          <w:bCs/>
          <w:sz w:val="24"/>
          <w:szCs w:val="24"/>
        </w:rPr>
      </w:pPr>
      <w:r>
        <w:rPr>
          <w:rFonts w:cs="Times New Roman"/>
          <w:b/>
          <w:bCs/>
          <w:sz w:val="24"/>
          <w:szCs w:val="24"/>
        </w:rPr>
        <w:t>1.2.2.2. Détermination du Traitement indiciaire</w:t>
      </w:r>
    </w:p>
    <w:p>
      <w:pPr>
        <w:jc w:val="both"/>
        <w:rPr>
          <w:rFonts w:cs="Times New Roman"/>
          <w:b/>
          <w:bCs/>
          <w:sz w:val="24"/>
          <w:szCs w:val="24"/>
        </w:rPr>
      </w:pPr>
    </w:p>
    <w:p>
      <w:pPr>
        <w:jc w:val="both"/>
        <w:rPr>
          <w:sz w:val="22"/>
          <w:szCs w:val="24"/>
        </w:rPr>
      </w:pPr>
      <w:r>
        <w:rPr>
          <w:sz w:val="22"/>
          <w:szCs w:val="24"/>
        </w:rPr>
        <w:t>Le décret n°2007-1341 du 11 septembre 2007</w:t>
      </w:r>
      <w:r>
        <w:t xml:space="preserve"> </w:t>
      </w:r>
      <w:r>
        <w:rPr>
          <w:sz w:val="22"/>
          <w:szCs w:val="24"/>
        </w:rPr>
        <w:t xml:space="preserve">modifiant la loi locale du 15 novembre 1909 prévoit en son article 2 que </w:t>
      </w:r>
      <w:r>
        <w:rPr>
          <w:i/>
          <w:iCs/>
          <w:sz w:val="22"/>
          <w:szCs w:val="24"/>
        </w:rPr>
        <w:t>« Les ministres des cultes régis par la loi du 18 germinal an X et l'ordonnance royale du 25 mai 1844 perçoivent un traitement de l'Etat selon un classement indiciaire fixé par décret et par référence aux indices prévus pour le classement hiérarchique des grades et emplois des personnels civils et militaires de l'Etat.</w:t>
      </w:r>
      <w:r>
        <w:rPr>
          <w:sz w:val="22"/>
          <w:szCs w:val="24"/>
        </w:rPr>
        <w:t> »</w:t>
      </w:r>
    </w:p>
    <w:p>
      <w:pPr>
        <w:jc w:val="both"/>
        <w:rPr>
          <w:sz w:val="22"/>
          <w:u w:val="single"/>
        </w:rPr>
      </w:pPr>
    </w:p>
    <w:p>
      <w:pPr>
        <w:tabs>
          <w:tab w:val="left" w:pos="1155"/>
        </w:tabs>
        <w:jc w:val="both"/>
        <w:rPr>
          <w:i/>
          <w:iCs/>
          <w:sz w:val="22"/>
        </w:rPr>
      </w:pPr>
      <w:r>
        <w:rPr>
          <w:sz w:val="22"/>
        </w:rPr>
        <w:t xml:space="preserve">L’article 1 du décret 2007-1445 prévoit </w:t>
      </w:r>
      <w:r>
        <w:rPr>
          <w:i/>
          <w:iCs/>
          <w:sz w:val="22"/>
        </w:rPr>
        <w:t>« Le classement indiciaire des personnels des cultes d'Alsace et de Moselle affiliés au régime local des pensions de retraite est fixé par référence aux indices prévus par le décret 48-1108 du 10 juillet 1948 portant classement hiérarchique des grades et emplois des personnels civils et militaires de l'Etat relevant du régime général des retraites modifié et les décrets 2005-1229 et 2005-1228 du 29 septembre 2005. »</w:t>
      </w:r>
    </w:p>
    <w:p>
      <w:pPr>
        <w:tabs>
          <w:tab w:val="left" w:pos="1155"/>
        </w:tabs>
        <w:jc w:val="both"/>
        <w:rPr>
          <w:i/>
          <w:iCs/>
          <w:sz w:val="22"/>
        </w:rPr>
      </w:pPr>
      <w:r>
        <w:rPr>
          <w:sz w:val="22"/>
        </w:rPr>
        <w:t>L’article 4 précise que</w:t>
      </w:r>
      <w:r>
        <w:rPr>
          <w:i/>
          <w:iCs/>
          <w:sz w:val="22"/>
        </w:rPr>
        <w:t xml:space="preserve"> « Les dispositions relatives au minimum garanti de rémunération des fonctionnaires et agents de l'Etat sont applicables aux personnels des cultes d'Alsace et de Moselle. »</w:t>
      </w:r>
    </w:p>
    <w:p>
      <w:pPr>
        <w:jc w:val="both"/>
        <w:rPr>
          <w:sz w:val="22"/>
          <w:szCs w:val="24"/>
          <w:u w:val="single"/>
        </w:rPr>
      </w:pPr>
      <w:r>
        <w:rPr>
          <w:sz w:val="22"/>
          <w:szCs w:val="24"/>
        </w:rPr>
        <w:lastRenderedPageBreak/>
        <w:t xml:space="preserve">L’article 2 de l’arrêté du 8 octobre 2007 indique que </w:t>
      </w:r>
      <w:r>
        <w:rPr>
          <w:i/>
          <w:iCs/>
          <w:sz w:val="22"/>
          <w:szCs w:val="24"/>
        </w:rPr>
        <w:t>« La rémunération des personnels en activité qui, en raison du temps de service accompli, seraient reclassés à un niveau indiciaire inférieur à celui qu'ils ont atteint est fixée dans l'échelonnement défini à l'article 1</w:t>
      </w:r>
      <w:r>
        <w:rPr>
          <w:i/>
          <w:iCs/>
          <w:sz w:val="22"/>
          <w:szCs w:val="24"/>
          <w:vertAlign w:val="superscript"/>
        </w:rPr>
        <w:t>er</w:t>
      </w:r>
      <w:r>
        <w:rPr>
          <w:i/>
          <w:iCs/>
          <w:sz w:val="22"/>
          <w:szCs w:val="24"/>
        </w:rPr>
        <w:t xml:space="preserve"> de l’arrêté cité, à l'indice égal ou immédiatement supérieur à l'indice détenu par ces personnels. »</w:t>
      </w:r>
    </w:p>
    <w:p>
      <w:pPr>
        <w:jc w:val="both"/>
        <w:rPr>
          <w:sz w:val="22"/>
          <w:szCs w:val="24"/>
        </w:rPr>
      </w:pPr>
    </w:p>
    <w:p>
      <w:pPr>
        <w:jc w:val="both"/>
        <w:rPr>
          <w:sz w:val="22"/>
          <w:szCs w:val="24"/>
        </w:rPr>
      </w:pPr>
      <w:r>
        <w:rPr>
          <w:sz w:val="22"/>
          <w:szCs w:val="24"/>
        </w:rPr>
        <w:t>Le classement indiciaire des personnels des cultes d'Alsace et de Moselle affiliés au régime local des pensions de retraite est fixé comme suit :</w:t>
      </w:r>
    </w:p>
    <w:tbl>
      <w:tblPr>
        <w:tblW w:w="7664" w:type="dxa"/>
        <w:tblCellMar>
          <w:left w:w="70" w:type="dxa"/>
          <w:right w:w="70" w:type="dxa"/>
        </w:tblCellMar>
        <w:tblLook w:val="04A0" w:firstRow="1" w:lastRow="0" w:firstColumn="1" w:lastColumn="0" w:noHBand="0" w:noVBand="1"/>
      </w:tblPr>
      <w:tblGrid>
        <w:gridCol w:w="3707"/>
        <w:gridCol w:w="2053"/>
        <w:gridCol w:w="1904"/>
      </w:tblGrid>
      <w:tr>
        <w:trPr>
          <w:trHeight w:val="390"/>
        </w:trPr>
        <w:tc>
          <w:tcPr>
            <w:tcW w:w="3707" w:type="dxa"/>
            <w:vMerge w:val="restart"/>
            <w:tcBorders>
              <w:top w:val="single" w:sz="4" w:space="0" w:color="auto"/>
              <w:left w:val="single" w:sz="4" w:space="0" w:color="auto"/>
              <w:bottom w:val="single" w:sz="4" w:space="0" w:color="auto"/>
              <w:right w:val="single" w:sz="4" w:space="0" w:color="auto"/>
            </w:tcBorders>
            <w:shd w:val="clear" w:color="000000" w:fill="F2F2F2"/>
            <w:noWrap/>
            <w:vAlign w:val="bottom"/>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 </w:t>
            </w:r>
          </w:p>
        </w:tc>
        <w:tc>
          <w:tcPr>
            <w:tcW w:w="2053" w:type="dxa"/>
            <w:tcBorders>
              <w:top w:val="single" w:sz="4" w:space="0" w:color="auto"/>
              <w:left w:val="nil"/>
              <w:bottom w:val="single" w:sz="4" w:space="0" w:color="auto"/>
              <w:right w:val="single" w:sz="4" w:space="0" w:color="auto"/>
            </w:tcBorders>
            <w:shd w:val="clear" w:color="000000" w:fill="A9D08E"/>
            <w:vAlign w:val="center"/>
            <w:hideMark/>
          </w:tcPr>
          <w:p>
            <w:pPr>
              <w:spacing w:after="0" w:line="240" w:lineRule="auto"/>
              <w:jc w:val="center"/>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Plancher</w:t>
            </w:r>
          </w:p>
        </w:tc>
        <w:tc>
          <w:tcPr>
            <w:tcW w:w="1903" w:type="dxa"/>
            <w:tcBorders>
              <w:top w:val="single" w:sz="4" w:space="0" w:color="auto"/>
              <w:left w:val="nil"/>
              <w:bottom w:val="single" w:sz="4" w:space="0" w:color="auto"/>
              <w:right w:val="single" w:sz="4" w:space="0" w:color="auto"/>
            </w:tcBorders>
            <w:shd w:val="clear" w:color="000000" w:fill="A9D08E"/>
            <w:vAlign w:val="center"/>
            <w:hideMark/>
          </w:tcPr>
          <w:p>
            <w:pPr>
              <w:spacing w:after="0" w:line="240" w:lineRule="auto"/>
              <w:jc w:val="center"/>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Plafond</w:t>
            </w:r>
          </w:p>
        </w:tc>
      </w:tr>
      <w:tr>
        <w:trPr>
          <w:trHeight w:val="539"/>
        </w:trPr>
        <w:tc>
          <w:tcPr>
            <w:tcW w:w="3707" w:type="dxa"/>
            <w:vMerge/>
            <w:tcBorders>
              <w:top w:val="single" w:sz="4" w:space="0" w:color="auto"/>
              <w:left w:val="single" w:sz="4" w:space="0" w:color="auto"/>
              <w:bottom w:val="single" w:sz="4" w:space="0" w:color="auto"/>
              <w:right w:val="single" w:sz="4" w:space="0" w:color="auto"/>
            </w:tcBorders>
            <w:vAlign w:val="center"/>
            <w:hideMark/>
          </w:tcPr>
          <w:p>
            <w:pPr>
              <w:spacing w:after="0" w:line="240" w:lineRule="auto"/>
              <w:rPr>
                <w:rFonts w:ascii="Calibri" w:eastAsia="Times New Roman" w:hAnsi="Calibri" w:cs="Calibri"/>
                <w:color w:val="000000"/>
                <w:sz w:val="22"/>
                <w:lang w:eastAsia="fr-FR"/>
              </w:rPr>
            </w:pPr>
          </w:p>
        </w:tc>
        <w:tc>
          <w:tcPr>
            <w:tcW w:w="3957" w:type="dxa"/>
            <w:gridSpan w:val="2"/>
            <w:tcBorders>
              <w:top w:val="single" w:sz="4" w:space="0" w:color="auto"/>
              <w:left w:val="nil"/>
              <w:bottom w:val="single" w:sz="4" w:space="0" w:color="auto"/>
              <w:right w:val="single" w:sz="4" w:space="0" w:color="000000"/>
            </w:tcBorders>
            <w:shd w:val="clear" w:color="000000" w:fill="E2EFDA"/>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 xml:space="preserve">Indices bruts </w:t>
            </w:r>
          </w:p>
        </w:tc>
      </w:tr>
      <w:tr>
        <w:trPr>
          <w:trHeight w:val="390"/>
        </w:trPr>
        <w:tc>
          <w:tcPr>
            <w:tcW w:w="3707" w:type="dxa"/>
            <w:tcBorders>
              <w:top w:val="nil"/>
              <w:left w:val="single" w:sz="4" w:space="0" w:color="auto"/>
              <w:bottom w:val="single" w:sz="4" w:space="0" w:color="auto"/>
              <w:right w:val="single" w:sz="4" w:space="0" w:color="auto"/>
            </w:tcBorders>
            <w:shd w:val="clear" w:color="000000" w:fill="A9D08E"/>
            <w:vAlign w:val="bottom"/>
            <w:hideMark/>
          </w:tcPr>
          <w:p>
            <w:pPr>
              <w:spacing w:after="0" w:line="240" w:lineRule="auto"/>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Culte catholique</w:t>
            </w:r>
          </w:p>
        </w:tc>
        <w:tc>
          <w:tcPr>
            <w:tcW w:w="2053"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Echelle 3</w:t>
            </w:r>
          </w:p>
        </w:tc>
        <w:tc>
          <w:tcPr>
            <w:tcW w:w="1903"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Hors-échelle A</w:t>
            </w:r>
          </w:p>
        </w:tc>
      </w:tr>
      <w:tr>
        <w:trPr>
          <w:trHeight w:val="390"/>
        </w:trPr>
        <w:tc>
          <w:tcPr>
            <w:tcW w:w="3707" w:type="dxa"/>
            <w:tcBorders>
              <w:top w:val="nil"/>
              <w:left w:val="single" w:sz="4" w:space="0" w:color="auto"/>
              <w:bottom w:val="single" w:sz="4" w:space="0" w:color="auto"/>
              <w:right w:val="single" w:sz="4" w:space="0" w:color="auto"/>
            </w:tcBorders>
            <w:shd w:val="clear" w:color="000000" w:fill="A9D08E"/>
            <w:noWrap/>
            <w:vAlign w:val="bottom"/>
            <w:hideMark/>
          </w:tcPr>
          <w:p>
            <w:pPr>
              <w:spacing w:after="0" w:line="240" w:lineRule="auto"/>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Culte protestants</w:t>
            </w:r>
          </w:p>
        </w:tc>
        <w:tc>
          <w:tcPr>
            <w:tcW w:w="2053"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Echelle 3</w:t>
            </w:r>
          </w:p>
        </w:tc>
        <w:tc>
          <w:tcPr>
            <w:tcW w:w="1903"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755</w:t>
            </w:r>
          </w:p>
        </w:tc>
      </w:tr>
      <w:tr>
        <w:trPr>
          <w:trHeight w:val="390"/>
        </w:trPr>
        <w:tc>
          <w:tcPr>
            <w:tcW w:w="3707" w:type="dxa"/>
            <w:tcBorders>
              <w:top w:val="nil"/>
              <w:left w:val="single" w:sz="4" w:space="0" w:color="auto"/>
              <w:bottom w:val="single" w:sz="4" w:space="0" w:color="auto"/>
              <w:right w:val="single" w:sz="4" w:space="0" w:color="auto"/>
            </w:tcBorders>
            <w:shd w:val="clear" w:color="000000" w:fill="A9D08E"/>
            <w:vAlign w:val="bottom"/>
            <w:hideMark/>
          </w:tcPr>
          <w:p>
            <w:pPr>
              <w:spacing w:after="0" w:line="240" w:lineRule="auto"/>
              <w:rPr>
                <w:rFonts w:ascii="Calibri" w:eastAsia="Times New Roman" w:hAnsi="Calibri" w:cs="Calibri"/>
                <w:b/>
                <w:bCs/>
                <w:color w:val="000000"/>
                <w:sz w:val="24"/>
                <w:szCs w:val="24"/>
                <w:lang w:eastAsia="fr-FR"/>
              </w:rPr>
            </w:pPr>
            <w:r>
              <w:rPr>
                <w:rFonts w:ascii="Calibri" w:eastAsia="Times New Roman" w:hAnsi="Calibri" w:cs="Calibri"/>
                <w:b/>
                <w:bCs/>
                <w:color w:val="000000"/>
                <w:sz w:val="24"/>
                <w:szCs w:val="24"/>
                <w:lang w:eastAsia="fr-FR"/>
              </w:rPr>
              <w:t>Culte israélite</w:t>
            </w:r>
          </w:p>
        </w:tc>
        <w:tc>
          <w:tcPr>
            <w:tcW w:w="2053"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423-672</w:t>
            </w:r>
          </w:p>
        </w:tc>
        <w:tc>
          <w:tcPr>
            <w:tcW w:w="1903" w:type="dxa"/>
            <w:tcBorders>
              <w:top w:val="nil"/>
              <w:left w:val="nil"/>
              <w:bottom w:val="single" w:sz="4" w:space="0" w:color="auto"/>
              <w:right w:val="single" w:sz="4" w:space="0" w:color="auto"/>
            </w:tcBorders>
            <w:shd w:val="clear" w:color="auto" w:fill="auto"/>
            <w:noWrap/>
            <w:vAlign w:val="center"/>
            <w:hideMark/>
          </w:tcPr>
          <w:p>
            <w:pPr>
              <w:spacing w:after="0" w:line="240" w:lineRule="auto"/>
              <w:jc w:val="center"/>
              <w:rPr>
                <w:rFonts w:ascii="Calibri" w:eastAsia="Times New Roman" w:hAnsi="Calibri" w:cs="Calibri"/>
                <w:color w:val="000000"/>
                <w:sz w:val="22"/>
                <w:lang w:eastAsia="fr-FR"/>
              </w:rPr>
            </w:pPr>
            <w:r>
              <w:rPr>
                <w:rFonts w:ascii="Calibri" w:eastAsia="Times New Roman" w:hAnsi="Calibri" w:cs="Calibri"/>
                <w:color w:val="000000"/>
                <w:sz w:val="22"/>
                <w:lang w:eastAsia="fr-FR"/>
              </w:rPr>
              <w:t>672-712</w:t>
            </w:r>
          </w:p>
        </w:tc>
      </w:tr>
    </w:tbl>
    <w:p>
      <w:pPr>
        <w:jc w:val="both"/>
        <w:rPr>
          <w:sz w:val="22"/>
          <w:szCs w:val="24"/>
        </w:rPr>
      </w:pPr>
    </w:p>
    <w:p>
      <w:pPr>
        <w:rPr>
          <w:sz w:val="22"/>
          <w:szCs w:val="24"/>
          <w:u w:val="single"/>
        </w:rPr>
      </w:pPr>
    </w:p>
    <w:p>
      <w:pPr>
        <w:rPr>
          <w:sz w:val="22"/>
          <w:szCs w:val="24"/>
          <w:highlight w:val="red"/>
        </w:rPr>
      </w:pPr>
      <w:r>
        <w:rPr>
          <w:sz w:val="22"/>
          <w:szCs w:val="24"/>
          <w:highlight w:val="red"/>
        </w:rPr>
        <w:br w:type="page"/>
      </w:r>
    </w:p>
    <w:bookmarkStart w:id="40" w:name="_Toc225170936"/>
    <w:bookmarkStart w:id="41" w:name="_Hlk208307166"/>
    <w:p>
      <w:pPr>
        <w:pStyle w:val="Style2"/>
        <w:ind w:left="426"/>
        <w:rPr>
          <w:szCs w:val="56"/>
        </w:rPr>
      </w:pPr>
      <w:r>
        <w:rPr>
          <w:noProof/>
          <w:szCs w:val="56"/>
        </w:rPr>
        <w:lastRenderedPageBreak/>
        <mc:AlternateContent>
          <mc:Choice Requires="wps">
            <w:drawing>
              <wp:anchor distT="0" distB="0" distL="114300" distR="114300" simplePos="0" relativeHeight="252141568" behindDoc="0" locked="0" layoutInCell="1" allowOverlap="1">
                <wp:simplePos x="0" y="0"/>
                <wp:positionH relativeFrom="column">
                  <wp:posOffset>-310514</wp:posOffset>
                </wp:positionH>
                <wp:positionV relativeFrom="paragraph">
                  <wp:posOffset>50165</wp:posOffset>
                </wp:positionV>
                <wp:extent cx="550684" cy="576000"/>
                <wp:effectExtent l="19050" t="0" r="1905" b="33655"/>
                <wp:wrapNone/>
                <wp:docPr id="11" name="Larm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11" o:spid="_x0000_s1026" alt="&quot;&quot;" style="position:absolute;margin-left:-24.45pt;margin-top:3.95pt;width:43.35pt;height:45.35pt;rotation:11557929fd;z-index:25214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rPr>
          <w:szCs w:val="56"/>
        </w:rPr>
        <w:t xml:space="preserve">1.3. </w:t>
      </w:r>
      <w:bookmarkStart w:id="42" w:name="_Hlk207727355"/>
      <w:r>
        <w:rPr>
          <w:szCs w:val="56"/>
        </w:rPr>
        <w:t>Emoluments assimilés au traitement indiciaire</w:t>
      </w:r>
      <w:bookmarkEnd w:id="42"/>
      <w:r>
        <w:rPr>
          <w:noProof/>
          <w:szCs w:val="56"/>
        </w:rPr>
        <mc:AlternateContent>
          <mc:Choice Requires="wps">
            <w:drawing>
              <wp:anchor distT="0" distB="0" distL="114300" distR="114300" simplePos="0" relativeHeight="252083200" behindDoc="0" locked="0" layoutInCell="1" allowOverlap="1">
                <wp:simplePos x="0" y="0"/>
                <wp:positionH relativeFrom="column">
                  <wp:posOffset>-310514</wp:posOffset>
                </wp:positionH>
                <wp:positionV relativeFrom="paragraph">
                  <wp:posOffset>50165</wp:posOffset>
                </wp:positionV>
                <wp:extent cx="550684" cy="576000"/>
                <wp:effectExtent l="19050" t="0" r="1905" b="33655"/>
                <wp:wrapNone/>
                <wp:docPr id="12" name="Larm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12" o:spid="_x0000_s1026" alt="&quot;&quot;" style="position:absolute;margin-left:-24.45pt;margin-top:3.95pt;width:43.35pt;height:45.35pt;rotation:11557929fd;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bookmarkEnd w:id="40"/>
    </w:p>
    <w:bookmarkEnd w:id="41"/>
    <w:p>
      <w:pPr>
        <w:rPr>
          <w:sz w:val="22"/>
          <w:szCs w:val="24"/>
          <w:u w:val="single"/>
        </w:rPr>
      </w:pPr>
    </w:p>
    <w:p>
      <w:pPr>
        <w:rPr>
          <w:sz w:val="22"/>
          <w:szCs w:val="24"/>
          <w:u w:val="single"/>
        </w:rPr>
      </w:pPr>
    </w:p>
    <w:p>
      <w:pPr>
        <w:jc w:val="both"/>
        <w:rPr>
          <w:sz w:val="22"/>
          <w:szCs w:val="24"/>
        </w:rPr>
      </w:pPr>
      <w:r>
        <w:rPr>
          <w:sz w:val="22"/>
          <w:szCs w:val="24"/>
        </w:rPr>
        <w:t>Cette section vise à recenser certaines composantes de la rémunération principale des fonctionnaires constituant des émoluments assimilés au traitement indiciaire.</w:t>
      </w:r>
    </w:p>
    <w:p>
      <w:pPr>
        <w:jc w:val="both"/>
        <w:rPr>
          <w:sz w:val="22"/>
          <w:szCs w:val="24"/>
        </w:rPr>
      </w:pPr>
      <w:r>
        <w:rPr>
          <w:sz w:val="22"/>
          <w:szCs w:val="24"/>
        </w:rPr>
        <w:t xml:space="preserve">La présentation de cette partie s’articulera entre les composantes relevant du chapitre statutaire et celles du chapitre indemnitaire. </w:t>
      </w:r>
    </w:p>
    <w:p>
      <w:pPr>
        <w:jc w:val="both"/>
        <w:rPr>
          <w:sz w:val="22"/>
          <w:szCs w:val="24"/>
        </w:rPr>
      </w:pPr>
      <w:r>
        <w:rPr>
          <w:sz w:val="22"/>
          <w:szCs w:val="24"/>
        </w:rPr>
        <w:t xml:space="preserve">Les composantes statutaires sont identifiées par un code BJ au format 10XXXX et constituent un complément au traitement indiciaire </w:t>
      </w:r>
    </w:p>
    <w:p>
      <w:pPr>
        <w:pStyle w:val="Paragraphedeliste"/>
        <w:jc w:val="both"/>
        <w:rPr>
          <w:sz w:val="22"/>
          <w:szCs w:val="24"/>
        </w:rPr>
      </w:pPr>
      <w:r>
        <w:rPr>
          <w:sz w:val="22"/>
          <w:szCs w:val="24"/>
        </w:rPr>
        <w:t xml:space="preserve">soit sous forme de point d’indice : Nouvelle Bonification Indiciaire (NBI) </w:t>
      </w:r>
    </w:p>
    <w:p>
      <w:pPr>
        <w:pStyle w:val="Paragraphedeliste"/>
        <w:jc w:val="both"/>
        <w:rPr>
          <w:sz w:val="22"/>
          <w:szCs w:val="24"/>
        </w:rPr>
      </w:pPr>
      <w:r>
        <w:rPr>
          <w:sz w:val="22"/>
          <w:szCs w:val="24"/>
        </w:rPr>
        <w:t>soit sous forme de pourcentage du traitement : Indemnité de résidence</w:t>
      </w:r>
    </w:p>
    <w:p>
      <w:pPr>
        <w:jc w:val="both"/>
        <w:rPr>
          <w:sz w:val="22"/>
          <w:szCs w:val="24"/>
        </w:rPr>
      </w:pPr>
    </w:p>
    <w:p>
      <w:pPr>
        <w:jc w:val="both"/>
        <w:rPr>
          <w:sz w:val="22"/>
          <w:szCs w:val="24"/>
        </w:rPr>
      </w:pPr>
      <w:r>
        <w:rPr>
          <w:sz w:val="22"/>
          <w:szCs w:val="24"/>
        </w:rPr>
        <w:t>Les composantes indemnitaires sont identifiées par un code BJ au format 20XXXX et constituent un complément financier par rapport à la rémunération globale</w:t>
      </w:r>
    </w:p>
    <w:p>
      <w:pPr>
        <w:pStyle w:val="Paragraphedeliste"/>
        <w:numPr>
          <w:ilvl w:val="0"/>
          <w:numId w:val="3"/>
        </w:numPr>
        <w:jc w:val="both"/>
        <w:rPr>
          <w:sz w:val="22"/>
          <w:szCs w:val="24"/>
        </w:rPr>
      </w:pPr>
      <w:bookmarkStart w:id="43" w:name="_Hlk223362120"/>
      <w:r>
        <w:rPr>
          <w:sz w:val="22"/>
          <w:szCs w:val="24"/>
        </w:rPr>
        <w:t>Majorations de traitement</w:t>
      </w:r>
    </w:p>
    <w:p>
      <w:pPr>
        <w:pStyle w:val="Paragraphedeliste"/>
        <w:numPr>
          <w:ilvl w:val="0"/>
          <w:numId w:val="3"/>
        </w:numPr>
        <w:jc w:val="both"/>
        <w:rPr>
          <w:sz w:val="22"/>
          <w:szCs w:val="24"/>
        </w:rPr>
      </w:pPr>
      <w:r>
        <w:rPr>
          <w:sz w:val="22"/>
          <w:szCs w:val="24"/>
        </w:rPr>
        <w:t>Indemnité différentielle au SMIC</w:t>
      </w:r>
    </w:p>
    <w:p>
      <w:pPr>
        <w:pStyle w:val="Paragraphedeliste"/>
        <w:numPr>
          <w:ilvl w:val="0"/>
          <w:numId w:val="3"/>
        </w:numPr>
        <w:jc w:val="both"/>
        <w:rPr>
          <w:sz w:val="22"/>
          <w:szCs w:val="24"/>
        </w:rPr>
      </w:pPr>
      <w:r>
        <w:rPr>
          <w:sz w:val="22"/>
          <w:szCs w:val="24"/>
        </w:rPr>
        <w:t xml:space="preserve">Indemnité de résidence à l’étranger </w:t>
      </w:r>
    </w:p>
    <w:bookmarkEnd w:id="43"/>
    <w:p>
      <w:pPr>
        <w:pStyle w:val="Paragraphedeliste"/>
        <w:jc w:val="both"/>
        <w:rPr>
          <w:sz w:val="22"/>
          <w:szCs w:val="24"/>
        </w:rPr>
      </w:pPr>
    </w:p>
    <w:p>
      <w:pPr>
        <w:jc w:val="both"/>
        <w:rPr>
          <w:sz w:val="22"/>
          <w:szCs w:val="24"/>
        </w:rPr>
      </w:pPr>
      <w:r>
        <w:rPr>
          <w:sz w:val="22"/>
          <w:szCs w:val="24"/>
        </w:rPr>
        <w:t xml:space="preserve">Les indemnités du périmètre statutaire feront l’objet d’une présentation générale dans ce guide. </w:t>
      </w:r>
    </w:p>
    <w:p>
      <w:pPr>
        <w:jc w:val="both"/>
        <w:rPr>
          <w:sz w:val="22"/>
          <w:szCs w:val="24"/>
        </w:rPr>
      </w:pPr>
      <w:r>
        <w:rPr>
          <w:sz w:val="22"/>
          <w:szCs w:val="24"/>
        </w:rPr>
        <w:t>La description exhaustive des indemnités indemnitaire est disponible dans les recueils RDP publiés sur le portail BARRI.</w:t>
      </w:r>
    </w:p>
    <w:p>
      <w:pPr>
        <w:spacing w:after="0"/>
        <w:rPr>
          <w:sz w:val="22"/>
          <w:szCs w:val="24"/>
        </w:rPr>
      </w:pPr>
      <w:bookmarkStart w:id="44" w:name="_Hlk222996851"/>
    </w:p>
    <w:p>
      <w:pPr>
        <w:spacing w:after="0"/>
        <w:rPr>
          <w:sz w:val="22"/>
          <w:szCs w:val="24"/>
        </w:rPr>
      </w:pPr>
    </w:p>
    <w:p>
      <w:pPr>
        <w:spacing w:after="0"/>
        <w:rPr>
          <w:sz w:val="22"/>
          <w:szCs w:val="24"/>
        </w:rPr>
      </w:pPr>
    </w:p>
    <w:p>
      <w:pPr>
        <w:pStyle w:val="Paragraphedeliste"/>
        <w:shd w:val="clear" w:color="auto" w:fill="91AE4F"/>
        <w:ind w:left="0"/>
        <w:jc w:val="center"/>
        <w:rPr>
          <w:b/>
          <w:bCs/>
          <w:i/>
          <w:iCs/>
          <w:color w:val="FFFFFF" w:themeColor="background1"/>
          <w:sz w:val="24"/>
          <w:szCs w:val="24"/>
        </w:rPr>
      </w:pPr>
      <w:r>
        <w:rPr>
          <w:b/>
          <w:bCs/>
          <w:i/>
          <w:iCs/>
          <w:color w:val="FFFFFF" w:themeColor="background1"/>
          <w:sz w:val="24"/>
          <w:szCs w:val="24"/>
        </w:rPr>
        <w:t>Les recueils des fiches RdP sont accessibles sur le Portail BARRI</w:t>
      </w:r>
    </w:p>
    <w:p>
      <w:pPr>
        <w:pStyle w:val="Paragraphedeliste"/>
        <w:shd w:val="clear" w:color="auto" w:fill="91AE4F"/>
        <w:ind w:left="0"/>
        <w:jc w:val="center"/>
        <w:rPr>
          <w:b/>
          <w:bCs/>
          <w:i/>
          <w:iCs/>
          <w:color w:val="FFFFFF" w:themeColor="background1"/>
          <w:sz w:val="24"/>
          <w:szCs w:val="24"/>
        </w:rPr>
      </w:pPr>
      <w:r>
        <w:rPr>
          <w:b/>
          <w:bCs/>
          <w:i/>
          <w:iCs/>
          <w:color w:val="FFFFFF" w:themeColor="background1"/>
          <w:sz w:val="24"/>
          <w:szCs w:val="24"/>
        </w:rPr>
        <w:t xml:space="preserve">depuis le lien figurant dans le chapitre </w:t>
      </w:r>
      <w:hyperlink w:anchor="POURALLERPLUSLOIN" w:history="1">
        <w:r>
          <w:rPr>
            <w:rStyle w:val="Lienhypertexte"/>
            <w:b/>
            <w:bCs/>
            <w:i/>
            <w:iCs/>
            <w:sz w:val="24"/>
            <w:szCs w:val="24"/>
          </w:rPr>
          <w:t>«  Pour aller plus loin »</w:t>
        </w:r>
      </w:hyperlink>
    </w:p>
    <w:bookmarkEnd w:id="44"/>
    <w:p>
      <w:pPr>
        <w:rPr>
          <w:sz w:val="22"/>
          <w:szCs w:val="24"/>
        </w:rPr>
      </w:pPr>
      <w:r>
        <w:rPr>
          <w:sz w:val="22"/>
          <w:szCs w:val="24"/>
        </w:rPr>
        <w:br w:type="page"/>
      </w:r>
    </w:p>
    <w:bookmarkStart w:id="45" w:name="_Toc225170937"/>
    <w:p>
      <w:pPr>
        <w:keepNext/>
        <w:keepLines/>
        <w:spacing w:before="40" w:after="0" w:line="240" w:lineRule="auto"/>
        <w:ind w:left="360"/>
        <w:outlineLvl w:val="2"/>
        <w:rPr>
          <w:rFonts w:eastAsiaTheme="majorEastAsia" w:cstheme="majorBidi"/>
          <w:bCs/>
          <w:color w:val="FFFFFF" w:themeColor="background1"/>
          <w:sz w:val="36"/>
          <w:szCs w:val="24"/>
        </w:rPr>
      </w:pPr>
      <w:r>
        <w:rPr>
          <w:rFonts w:eastAsiaTheme="majorEastAsia" w:cstheme="majorBidi"/>
          <w:bCs/>
          <w:noProof/>
          <w:color w:val="FFFFFF" w:themeColor="background1"/>
          <w:sz w:val="36"/>
          <w:szCs w:val="24"/>
        </w:rPr>
        <w:lastRenderedPageBreak/>
        <mc:AlternateContent>
          <mc:Choice Requires="wps">
            <w:drawing>
              <wp:anchor distT="0" distB="0" distL="114300" distR="114300" simplePos="0" relativeHeight="252143616" behindDoc="1" locked="0" layoutInCell="1" allowOverlap="1">
                <wp:simplePos x="0" y="0"/>
                <wp:positionH relativeFrom="margin">
                  <wp:align>right</wp:align>
                </wp:positionH>
                <wp:positionV relativeFrom="paragraph">
                  <wp:posOffset>30537</wp:posOffset>
                </wp:positionV>
                <wp:extent cx="6113088" cy="341194"/>
                <wp:effectExtent l="0" t="0" r="2540" b="1905"/>
                <wp:wrapNone/>
                <wp:docPr id="43" name="Rectangle 4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13088" cy="341194"/>
                        </a:xfrm>
                        <a:prstGeom prst="rect">
                          <a:avLst/>
                        </a:prstGeom>
                        <a:solidFill>
                          <a:srgbClr val="5770BE"/>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3" o:spid="_x0000_s1026" alt="&quot;&quot;" style="position:absolute;margin-left:430.15pt;margin-top:2.4pt;width:481.35pt;height:26.85pt;z-index:-2511728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" fillcolor="#5770be" stroked="f" strokeweight="1pt">
                <w10:wrap anchorx="margin"/>
              </v:rect>
            </w:pict>
          </mc:Fallback>
        </mc:AlternateContent>
      </w:r>
      <w:r>
        <w:rPr>
          <w:rFonts w:eastAsiaTheme="majorEastAsia" w:cstheme="majorBidi"/>
          <w:bCs/>
          <w:color w:val="FFFFFF" w:themeColor="background1"/>
          <w:sz w:val="36"/>
          <w:szCs w:val="24"/>
        </w:rPr>
        <w:t>1.3.1. Nouvelle Bonification Indiciaire - NBI</w:t>
      </w:r>
      <w:bookmarkEnd w:id="45"/>
    </w:p>
    <w:p>
      <w:pPr>
        <w:jc w:val="both"/>
        <w:rPr>
          <w:sz w:val="22"/>
          <w:szCs w:val="24"/>
        </w:rPr>
      </w:pPr>
    </w:p>
    <w:p>
      <w:pPr>
        <w:jc w:val="both"/>
        <w:rPr>
          <w:sz w:val="22"/>
          <w:szCs w:val="24"/>
        </w:rPr>
      </w:pPr>
      <w:r>
        <w:rPr>
          <w:sz w:val="22"/>
          <w:szCs w:val="24"/>
        </w:rPr>
        <w:t xml:space="preserve">Instituée par la loi 91-73 du 18 janvier 1991, la nouvelle bonification indiciaire (NBI) est attribuée aux fonctionnaires (stagiaires ou titulaires) et figure dans le bulletin de paye sous le code 101070. </w:t>
      </w:r>
    </w:p>
    <w:p>
      <w:pPr>
        <w:jc w:val="both"/>
        <w:rPr>
          <w:sz w:val="22"/>
          <w:szCs w:val="24"/>
        </w:rPr>
      </w:pPr>
      <w:r>
        <w:rPr>
          <w:sz w:val="22"/>
          <w:szCs w:val="24"/>
        </w:rPr>
        <w:t>Elle vise à valoriser les agents occupant certains emplois de la fonction publique qui comportent une responsabilité ou une technicité particulière.</w:t>
      </w:r>
    </w:p>
    <w:p>
      <w:pPr>
        <w:jc w:val="both"/>
        <w:rPr>
          <w:sz w:val="22"/>
          <w:szCs w:val="24"/>
        </w:rPr>
      </w:pPr>
      <w:r>
        <w:rPr>
          <w:sz w:val="22"/>
          <w:szCs w:val="24"/>
        </w:rPr>
        <w:t>Les emplois donnant droit à la NBI sont listés, dans chaque fonction publique, par décrets ou arrêtés ministériels.</w:t>
      </w:r>
    </w:p>
    <w:p>
      <w:pPr>
        <w:jc w:val="both"/>
        <w:rPr>
          <w:sz w:val="22"/>
          <w:szCs w:val="24"/>
        </w:rPr>
      </w:pPr>
      <w:r>
        <w:rPr>
          <w:sz w:val="22"/>
          <w:szCs w:val="24"/>
        </w:rPr>
        <w:t>La NBI est un complément de rémunération qui consiste en l'attribution de points d'indice majoré supplémentaires.</w:t>
      </w:r>
    </w:p>
    <w:p>
      <w:pPr>
        <w:jc w:val="both"/>
        <w:rPr>
          <w:sz w:val="22"/>
          <w:szCs w:val="24"/>
        </w:rPr>
      </w:pPr>
      <w:r>
        <w:rPr>
          <w:sz w:val="22"/>
          <w:szCs w:val="24"/>
        </w:rPr>
        <w:t>Sa particularité est de permettre à son bénéficiaire de percevoir un supplément de pension à retraite en fonction du nombre d'années de perception et du montant de la bonification et à ce titre n’est pas assimilée à une prime ou indemnité.</w:t>
      </w:r>
    </w:p>
    <w:p>
      <w:pPr>
        <w:jc w:val="both"/>
        <w:rPr>
          <w:color w:val="91AE4F"/>
          <w:sz w:val="22"/>
          <w:szCs w:val="24"/>
        </w:rPr>
      </w:pPr>
    </w:p>
    <w:p>
      <w:pPr>
        <w:jc w:val="both"/>
        <w:rPr>
          <w:rFonts w:cs="Times New Roman"/>
          <w:b/>
          <w:bCs/>
          <w:sz w:val="24"/>
          <w:szCs w:val="24"/>
        </w:rPr>
      </w:pPr>
      <w:r>
        <w:rPr>
          <w:rFonts w:cs="Times New Roman"/>
          <w:b/>
          <w:bCs/>
          <w:sz w:val="24"/>
          <w:szCs w:val="24"/>
        </w:rPr>
        <w:t xml:space="preserve">1.3.2.1. Bases juridiques </w:t>
      </w:r>
    </w:p>
    <w:p>
      <w:pPr>
        <w:pStyle w:val="Paragraphedeliste"/>
        <w:rPr>
          <w:sz w:val="22"/>
          <w:szCs w:val="24"/>
          <w:u w:val="double"/>
        </w:rPr>
      </w:pPr>
    </w:p>
    <w:p>
      <w:pPr>
        <w:numPr>
          <w:ilvl w:val="0"/>
          <w:numId w:val="4"/>
        </w:numPr>
        <w:contextualSpacing/>
        <w:jc w:val="both"/>
        <w:rPr>
          <w:rStyle w:val="Lienhypertexte"/>
          <w:color w:val="auto"/>
          <w:sz w:val="22"/>
          <w:szCs w:val="24"/>
        </w:rPr>
      </w:pPr>
      <w:hyperlink r:id="rId40" w:history="1">
        <w:r>
          <w:rPr>
            <w:rStyle w:val="Lienhypertexte"/>
            <w:sz w:val="22"/>
            <w:szCs w:val="24"/>
          </w:rPr>
          <w:t>Décret n° 2020-710 du 10 juin 2020 fixant les conditions d'attribution de la nouvelle bonification indiciaire aux personnels exerçant des fonctions supérieures de direction, d'encadrement ou d'expertise</w:t>
        </w:r>
      </w:hyperlink>
    </w:p>
    <w:p>
      <w:pPr>
        <w:ind w:left="720"/>
        <w:contextualSpacing/>
        <w:jc w:val="both"/>
        <w:rPr>
          <w:sz w:val="22"/>
          <w:szCs w:val="24"/>
          <w:u w:val="single"/>
        </w:rPr>
      </w:pPr>
    </w:p>
    <w:p>
      <w:pPr>
        <w:numPr>
          <w:ilvl w:val="0"/>
          <w:numId w:val="4"/>
        </w:numPr>
        <w:contextualSpacing/>
        <w:jc w:val="both"/>
        <w:rPr>
          <w:sz w:val="22"/>
          <w:szCs w:val="24"/>
          <w:u w:val="single"/>
        </w:rPr>
      </w:pPr>
      <w:hyperlink r:id="rId41" w:history="1">
        <w:r>
          <w:rPr>
            <w:rStyle w:val="Lienhypertexte"/>
            <w:sz w:val="22"/>
            <w:szCs w:val="24"/>
          </w:rPr>
          <w:t>Décret n°93-522 du 26 mars 1993 relatif aux conditions de mise en œuvre de la nouvelle bonification indiciaire dans la fonction publique de l'Etat</w:t>
        </w:r>
      </w:hyperlink>
    </w:p>
    <w:p>
      <w:pPr>
        <w:pStyle w:val="Paragraphedeliste"/>
        <w:ind w:left="1080"/>
        <w:jc w:val="both"/>
        <w:rPr>
          <w:rFonts w:cs="Times New Roman"/>
          <w:b/>
          <w:bCs/>
          <w:sz w:val="24"/>
          <w:szCs w:val="24"/>
        </w:rPr>
      </w:pPr>
    </w:p>
    <w:p>
      <w:pPr>
        <w:jc w:val="both"/>
        <w:rPr>
          <w:rFonts w:cs="Times New Roman"/>
          <w:b/>
          <w:bCs/>
          <w:sz w:val="24"/>
          <w:szCs w:val="24"/>
        </w:rPr>
      </w:pPr>
      <w:r>
        <w:rPr>
          <w:rFonts w:cs="Times New Roman"/>
          <w:b/>
          <w:bCs/>
          <w:sz w:val="24"/>
          <w:szCs w:val="24"/>
        </w:rPr>
        <w:t>1.3.2.2. Détermination de l’indemnité</w:t>
      </w:r>
    </w:p>
    <w:p>
      <w:pPr>
        <w:spacing w:after="120" w:line="240" w:lineRule="auto"/>
        <w:jc w:val="both"/>
        <w:rPr>
          <w:sz w:val="22"/>
          <w:szCs w:val="24"/>
        </w:rPr>
      </w:pPr>
    </w:p>
    <w:p>
      <w:pPr>
        <w:spacing w:after="120" w:line="240" w:lineRule="auto"/>
        <w:jc w:val="both"/>
        <w:rPr>
          <w:i/>
          <w:iCs/>
          <w:sz w:val="22"/>
          <w:szCs w:val="24"/>
        </w:rPr>
      </w:pPr>
      <w:hyperlink r:id="rId42" w:history="1">
        <w:r>
          <w:rPr>
            <w:rStyle w:val="Lienhypertexte"/>
            <w:sz w:val="22"/>
            <w:szCs w:val="24"/>
          </w:rPr>
          <w:t>L’article 1 du décret 2020-710</w:t>
        </w:r>
      </w:hyperlink>
      <w:r>
        <w:rPr>
          <w:sz w:val="22"/>
          <w:szCs w:val="24"/>
        </w:rPr>
        <w:t xml:space="preserve"> prévoit que la NBI </w:t>
      </w:r>
      <w:r>
        <w:rPr>
          <w:i/>
          <w:iCs/>
          <w:sz w:val="22"/>
          <w:szCs w:val="24"/>
        </w:rPr>
        <w:t xml:space="preserve">« […] peut être versée mensuellement, […], aux agents exerçant des fonctions supérieures de direction, d'encadrement ou d'expertise. ». </w:t>
      </w:r>
    </w:p>
    <w:p>
      <w:pPr>
        <w:jc w:val="both"/>
        <w:rPr>
          <w:sz w:val="22"/>
          <w:szCs w:val="24"/>
        </w:rPr>
      </w:pPr>
      <w:r>
        <w:rPr>
          <w:sz w:val="22"/>
          <w:szCs w:val="24"/>
        </w:rPr>
        <w:t>En sont exclus :</w:t>
      </w:r>
    </w:p>
    <w:p>
      <w:pPr>
        <w:pStyle w:val="Paragraphedeliste"/>
        <w:numPr>
          <w:ilvl w:val="0"/>
          <w:numId w:val="3"/>
        </w:numPr>
        <w:jc w:val="both"/>
        <w:rPr>
          <w:sz w:val="22"/>
          <w:szCs w:val="24"/>
        </w:rPr>
      </w:pPr>
      <w:r>
        <w:rPr>
          <w:sz w:val="22"/>
          <w:szCs w:val="24"/>
        </w:rPr>
        <w:t>les agents chargés d'assurer la suppléance ou l'intérim des fonctions y ouvrant droit</w:t>
      </w:r>
    </w:p>
    <w:p>
      <w:pPr>
        <w:pStyle w:val="Paragraphedeliste"/>
        <w:numPr>
          <w:ilvl w:val="0"/>
          <w:numId w:val="3"/>
        </w:numPr>
        <w:jc w:val="both"/>
        <w:rPr>
          <w:sz w:val="22"/>
          <w:szCs w:val="24"/>
        </w:rPr>
      </w:pPr>
      <w:r>
        <w:rPr>
          <w:sz w:val="22"/>
          <w:szCs w:val="24"/>
        </w:rPr>
        <w:t xml:space="preserve">les agents bénéficiant d'autres bonifications indiciaires </w:t>
      </w:r>
    </w:p>
    <w:p>
      <w:pPr>
        <w:jc w:val="both"/>
        <w:rPr>
          <w:sz w:val="22"/>
          <w:szCs w:val="24"/>
        </w:rPr>
      </w:pPr>
    </w:p>
    <w:p>
      <w:pPr>
        <w:jc w:val="both"/>
        <w:rPr>
          <w:sz w:val="22"/>
          <w:szCs w:val="24"/>
        </w:rPr>
      </w:pPr>
      <w:r>
        <w:rPr>
          <w:sz w:val="22"/>
          <w:szCs w:val="24"/>
        </w:rPr>
        <w:t>Si les fonctions exercées ouvrent droit à plusieurs NBI, c'est la NBI comportant le nombre de points majorés le plus élevé qui est attribuée.</w:t>
      </w:r>
    </w:p>
    <w:p>
      <w:pPr>
        <w:jc w:val="both"/>
        <w:rPr>
          <w:sz w:val="22"/>
          <w:szCs w:val="24"/>
        </w:rPr>
      </w:pPr>
    </w:p>
    <w:p>
      <w:pPr>
        <w:jc w:val="both"/>
        <w:rPr>
          <w:sz w:val="22"/>
          <w:szCs w:val="24"/>
        </w:rPr>
      </w:pPr>
      <w:hyperlink r:id="rId43" w:history="1">
        <w:r>
          <w:rPr>
            <w:rStyle w:val="Lienhypertexte"/>
            <w:sz w:val="22"/>
            <w:szCs w:val="24"/>
          </w:rPr>
          <w:t>L’article 2 du même décret</w:t>
        </w:r>
      </w:hyperlink>
      <w:r>
        <w:rPr>
          <w:sz w:val="22"/>
          <w:szCs w:val="24"/>
        </w:rPr>
        <w:t xml:space="preserve"> précise que « </w:t>
      </w:r>
      <w:r>
        <w:rPr>
          <w:i/>
          <w:iCs/>
          <w:sz w:val="22"/>
          <w:szCs w:val="24"/>
        </w:rPr>
        <w:t>Le montant global en points d'indice majoré de la nouvelle bonification indiciaire est fixé, pour chaque département ministériel, par arrêté conjoint du ou des ministres intéressés et des ministres chargés du budget et de la fonction publique. »</w:t>
      </w:r>
    </w:p>
    <w:p>
      <w:pPr>
        <w:jc w:val="both"/>
        <w:rPr>
          <w:sz w:val="22"/>
          <w:szCs w:val="24"/>
        </w:rPr>
      </w:pPr>
      <w:r>
        <w:rPr>
          <w:sz w:val="22"/>
          <w:szCs w:val="24"/>
        </w:rPr>
        <w:t>La NBI consiste en l'attribution de points d'indice majoré supplémentaires qui s’ajoutent au traitement indiciaire ou de base de l'agent :</w:t>
      </w:r>
    </w:p>
    <w:p>
      <w:pPr>
        <w:pStyle w:val="Paragraphedeliste"/>
        <w:numPr>
          <w:ilvl w:val="0"/>
          <w:numId w:val="3"/>
        </w:numPr>
        <w:jc w:val="both"/>
        <w:rPr>
          <w:sz w:val="22"/>
          <w:szCs w:val="24"/>
        </w:rPr>
      </w:pPr>
      <w:r>
        <w:rPr>
          <w:sz w:val="22"/>
          <w:szCs w:val="24"/>
        </w:rPr>
        <w:lastRenderedPageBreak/>
        <w:t>pour le calcul de l'indemnité de résidence et du supplément familial de traitement</w:t>
      </w:r>
    </w:p>
    <w:p>
      <w:pPr>
        <w:pStyle w:val="Paragraphedeliste"/>
        <w:numPr>
          <w:ilvl w:val="0"/>
          <w:numId w:val="3"/>
        </w:numPr>
        <w:jc w:val="both"/>
        <w:rPr>
          <w:sz w:val="22"/>
          <w:szCs w:val="24"/>
        </w:rPr>
      </w:pPr>
      <w:r>
        <w:rPr>
          <w:sz w:val="22"/>
          <w:szCs w:val="24"/>
        </w:rPr>
        <w:t>pour le calcul des majorations accordées aux agents en service dans les départements d'outre-mer et dans les territoires d'outre-mer.</w:t>
      </w:r>
    </w:p>
    <w:p>
      <w:pPr>
        <w:pStyle w:val="Paragraphedeliste"/>
        <w:numPr>
          <w:ilvl w:val="0"/>
          <w:numId w:val="3"/>
        </w:numPr>
        <w:jc w:val="both"/>
        <w:rPr>
          <w:sz w:val="22"/>
          <w:szCs w:val="24"/>
        </w:rPr>
      </w:pPr>
      <w:r>
        <w:rPr>
          <w:sz w:val="22"/>
          <w:szCs w:val="24"/>
        </w:rPr>
        <w:t>pour le calcul de l'indemnité exceptionnelle pour les agents placés, en cessation progressive d'activité sur des emplois ouvrant droit à une nouvelle bonification indiciaire</w:t>
      </w:r>
    </w:p>
    <w:p>
      <w:pPr>
        <w:jc w:val="both"/>
        <w:rPr>
          <w:sz w:val="22"/>
          <w:szCs w:val="24"/>
        </w:rPr>
      </w:pPr>
      <w:r>
        <w:rPr>
          <w:sz w:val="22"/>
          <w:szCs w:val="24"/>
        </w:rPr>
        <w:t>Elle continue d'être versée, dans les mêmes proportions que le traitement indiciaire, pendant les congés annuels et bonifiés, congé de maladie, congé de maternité ou d'adoption, congé de naissance ou adoption, congé de paternité et d'accueil de l'enfant, congé de longue maladie (CLM) (tant que l’agent n’est pas remplacé dans ses fonctions).</w:t>
      </w:r>
    </w:p>
    <w:p>
      <w:pPr>
        <w:jc w:val="both"/>
        <w:rPr>
          <w:sz w:val="22"/>
          <w:szCs w:val="24"/>
        </w:rPr>
      </w:pPr>
      <w:r>
        <w:rPr>
          <w:sz w:val="22"/>
          <w:szCs w:val="24"/>
        </w:rPr>
        <w:t>La NBI est réduite dans les mêmes proportions que le traitement indiciaire en cas de travail à temps partiel ou dans l’exercice d’un emploi à temps non complet ou incomplet.</w:t>
      </w:r>
    </w:p>
    <w:p>
      <w:pPr>
        <w:jc w:val="both"/>
        <w:rPr>
          <w:sz w:val="22"/>
          <w:szCs w:val="24"/>
        </w:rPr>
      </w:pPr>
      <w:r>
        <w:rPr>
          <w:sz w:val="22"/>
          <w:szCs w:val="24"/>
        </w:rPr>
        <w:t>La NBI cesse d'être versée dans le cas où l’agent est placé en congé de longue durée (CLD) ou en congé pour invalidité temporaire imputable au service (Citis), ou s’il n’exerce définitivement plus les fonctions y ouvrant droit.</w:t>
      </w:r>
    </w:p>
    <w:p>
      <w:pPr>
        <w:jc w:val="both"/>
        <w:rPr>
          <w:sz w:val="22"/>
          <w:szCs w:val="24"/>
        </w:rPr>
      </w:pPr>
    </w:p>
    <w:p>
      <w:pPr>
        <w:jc w:val="both"/>
        <w:rPr>
          <w:sz w:val="22"/>
          <w:szCs w:val="24"/>
        </w:rPr>
      </w:pPr>
      <w:r>
        <w:rPr>
          <w:noProof/>
          <w:sz w:val="22"/>
          <w:szCs w:val="24"/>
        </w:rPr>
        <mc:AlternateContent>
          <mc:Choice Requires="wps">
            <w:drawing>
              <wp:anchor distT="0" distB="0" distL="114300" distR="114300" simplePos="0" relativeHeight="252234752" behindDoc="0" locked="0" layoutInCell="1" allowOverlap="1">
                <wp:simplePos x="0" y="0"/>
                <wp:positionH relativeFrom="margin">
                  <wp:align>left</wp:align>
                </wp:positionH>
                <wp:positionV relativeFrom="paragraph">
                  <wp:posOffset>14605</wp:posOffset>
                </wp:positionV>
                <wp:extent cx="6067425" cy="1609725"/>
                <wp:effectExtent l="19050" t="19050" r="28575" b="28575"/>
                <wp:wrapNone/>
                <wp:docPr id="20" name="Rectangle : coins arrondis 20"/>
                <wp:cNvGraphicFramePr/>
                <a:graphic xmlns:a="http://schemas.openxmlformats.org/drawingml/2006/main">
                  <a:graphicData uri="http://schemas.microsoft.com/office/word/2010/wordprocessingShape">
                    <wps:wsp>
                      <wps:cNvSpPr/>
                      <wps:spPr>
                        <a:xfrm>
                          <a:off x="0" y="0"/>
                          <a:ext cx="6067425" cy="1609725"/>
                        </a:xfrm>
                        <a:prstGeom prst="roundRect">
                          <a:avLst/>
                        </a:prstGeom>
                        <a:solidFill>
                          <a:sysClr val="window" lastClr="FFFFFF"/>
                        </a:solidFill>
                        <a:ln w="31750" cap="flat" cmpd="sng" algn="ctr">
                          <a:solidFill>
                            <a:srgbClr val="70AD47">
                              <a:lumMod val="75000"/>
                            </a:srgbClr>
                          </a:solidFill>
                          <a:prstDash val="solid"/>
                          <a:miter lim="800000"/>
                        </a:ln>
                        <a:effectLst/>
                      </wps:spPr>
                      <wps:txbx>
                        <w:txbxContent>
                          <w:p>
                            <w:pPr>
                              <w:spacing w:after="0"/>
                              <w:jc w:val="center"/>
                              <w:rPr>
                                <w:color w:val="000000" w:themeColor="text1"/>
                                <w:sz w:val="22"/>
                              </w:rPr>
                            </w:pPr>
                            <w:r>
                              <w:rPr>
                                <w:b/>
                                <w:bCs/>
                                <w:color w:val="000000" w:themeColor="text1"/>
                                <w:sz w:val="24"/>
                                <w:szCs w:val="24"/>
                                <w:u w:val="single"/>
                              </w:rPr>
                              <w:t>Calcul de la NBI mensuelle :</w:t>
                            </w:r>
                          </w:p>
                          <w:p>
                            <w:pPr>
                              <w:spacing w:after="0"/>
                              <w:jc w:val="center"/>
                              <w:rPr>
                                <w:color w:val="000000" w:themeColor="text1"/>
                                <w:sz w:val="22"/>
                              </w:rPr>
                            </w:pPr>
                          </w:p>
                          <w:p>
                            <w:pPr>
                              <w:spacing w:after="0"/>
                              <w:rPr>
                                <w:color w:val="000000" w:themeColor="text1"/>
                                <w:sz w:val="22"/>
                              </w:rPr>
                            </w:pPr>
                            <w:r>
                              <w:rPr>
                                <w:color w:val="000000" w:themeColor="text1"/>
                                <w:sz w:val="22"/>
                              </w:rPr>
                              <w:t>NBI mensuelle = Valeur annuelle du point fonction publique afférent à l’indice 100 X nombre de points NBI /100/12 soit :</w:t>
                            </w:r>
                          </w:p>
                          <w:p>
                            <w:pPr>
                              <w:spacing w:after="0"/>
                              <w:rPr>
                                <w:color w:val="000000" w:themeColor="text1"/>
                                <w:sz w:val="22"/>
                              </w:rPr>
                            </w:pPr>
                          </w:p>
                          <w:p>
                            <w:pPr>
                              <w:spacing w:after="0"/>
                              <w:rPr>
                                <w:color w:val="000000" w:themeColor="text1"/>
                                <w:sz w:val="22"/>
                              </w:rPr>
                            </w:pPr>
                            <w:r>
                              <w:rPr>
                                <w:color w:val="000000" w:themeColor="text1"/>
                                <w:sz w:val="22"/>
                              </w:rPr>
                              <w:t>NBI mensuelle = (5907,34 € x nombre de points NBI) / 100 / 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 coins arrondis 20" o:spid="_x0000_s1031" style="position:absolute;left:0;text-align:left;margin-left:0;margin-top:1.15pt;width:477.75pt;height:126.75pt;z-index:252234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" fillcolor="window" strokecolor="#548235" strokeweight="2.5pt">
                <v:stroke joinstyle="miter"/>
                <v:textbox>
                  <w:txbxContent>
                    <w:p>
                      <w:pPr>
                        <w:spacing w:after="0"/>
                        <w:jc w:val="center"/>
                        <w:rPr>
                          <w:color w:val="000000" w:themeColor="text1"/>
                          <w:sz w:val="22"/>
                        </w:rPr>
                      </w:pPr>
                      <w:r>
                        <w:rPr>
                          <w:b/>
                          <w:bCs/>
                          <w:color w:val="000000" w:themeColor="text1"/>
                          <w:sz w:val="24"/>
                          <w:szCs w:val="24"/>
                          <w:u w:val="single"/>
                        </w:rPr>
                        <w:t>Calcul de la NBI mensuelle :</w:t>
                      </w:r>
                    </w:p>
                    <w:p>
                      <w:pPr>
                        <w:spacing w:after="0"/>
                        <w:jc w:val="center"/>
                        <w:rPr>
                          <w:color w:val="000000" w:themeColor="text1"/>
                          <w:sz w:val="22"/>
                        </w:rPr>
                      </w:pPr>
                    </w:p>
                    <w:p>
                      <w:pPr>
                        <w:spacing w:after="0"/>
                        <w:rPr>
                          <w:color w:val="000000" w:themeColor="text1"/>
                          <w:sz w:val="22"/>
                        </w:rPr>
                      </w:pPr>
                      <w:r>
                        <w:rPr>
                          <w:color w:val="000000" w:themeColor="text1"/>
                          <w:sz w:val="22"/>
                        </w:rPr>
                        <w:t>NBI mensuelle = Valeur annuelle du point fonction publique afférent à l’indice 100 X nombre de points NBI /100/12 soit :</w:t>
                      </w:r>
                    </w:p>
                    <w:p>
                      <w:pPr>
                        <w:spacing w:after="0"/>
                        <w:rPr>
                          <w:color w:val="000000" w:themeColor="text1"/>
                          <w:sz w:val="22"/>
                        </w:rPr>
                      </w:pPr>
                    </w:p>
                    <w:p>
                      <w:pPr>
                        <w:spacing w:after="0"/>
                        <w:rPr>
                          <w:color w:val="000000" w:themeColor="text1"/>
                          <w:sz w:val="22"/>
                        </w:rPr>
                      </w:pPr>
                      <w:r>
                        <w:rPr>
                          <w:color w:val="000000" w:themeColor="text1"/>
                          <w:sz w:val="22"/>
                        </w:rPr>
                        <w:t>NBI mensuelle = (5907,34 € x nombre de points NBI) / 100 / 12</w:t>
                      </w:r>
                    </w:p>
                  </w:txbxContent>
                </v:textbox>
                <w10:wrap anchorx="margin"/>
              </v:roundrect>
            </w:pict>
          </mc:Fallback>
        </mc:AlternateContent>
      </w:r>
    </w:p>
    <w:p>
      <w:pPr>
        <w:jc w:val="both"/>
        <w:rPr>
          <w:sz w:val="22"/>
          <w:szCs w:val="24"/>
        </w:rPr>
      </w:pPr>
    </w:p>
    <w:p>
      <w:pPr>
        <w:jc w:val="both"/>
        <w:rPr>
          <w:sz w:val="22"/>
          <w:szCs w:val="24"/>
        </w:rPr>
      </w:pPr>
    </w:p>
    <w:p>
      <w:pPr>
        <w:jc w:val="both"/>
        <w:rPr>
          <w:sz w:val="22"/>
          <w:szCs w:val="24"/>
        </w:rPr>
      </w:pPr>
    </w:p>
    <w:p>
      <w:pPr>
        <w:jc w:val="both"/>
        <w:rPr>
          <w:sz w:val="22"/>
          <w:szCs w:val="24"/>
        </w:rPr>
      </w:pPr>
    </w:p>
    <w:p>
      <w:pPr>
        <w:jc w:val="both"/>
        <w:rPr>
          <w:sz w:val="22"/>
          <w:szCs w:val="24"/>
        </w:rPr>
      </w:pPr>
    </w:p>
    <w:p>
      <w:pPr>
        <w:jc w:val="both"/>
        <w:rPr>
          <w:sz w:val="22"/>
          <w:szCs w:val="24"/>
        </w:rPr>
      </w:pPr>
    </w:p>
    <w:tbl>
      <w:tblPr>
        <w:tblW w:w="9815" w:type="dxa"/>
        <w:tblCellMar>
          <w:left w:w="70" w:type="dxa"/>
          <w:right w:w="70" w:type="dxa"/>
        </w:tblCellMar>
        <w:tblLook w:val="04A0" w:firstRow="1" w:lastRow="0" w:firstColumn="1" w:lastColumn="0" w:noHBand="0" w:noVBand="1"/>
      </w:tblPr>
      <w:tblGrid>
        <w:gridCol w:w="9801"/>
        <w:gridCol w:w="14"/>
      </w:tblGrid>
      <w:tr>
        <w:trPr>
          <w:gridAfter w:val="1"/>
          <w:wAfter w:w="14" w:type="dxa"/>
          <w:trHeight w:val="359"/>
        </w:trPr>
        <w:tc>
          <w:tcPr>
            <w:tcW w:w="9801" w:type="dxa"/>
            <w:tcBorders>
              <w:top w:val="single" w:sz="4" w:space="0" w:color="auto"/>
              <w:left w:val="single" w:sz="4" w:space="0" w:color="auto"/>
              <w:bottom w:val="nil"/>
              <w:right w:val="single" w:sz="4" w:space="0" w:color="auto"/>
            </w:tcBorders>
            <w:shd w:val="clear" w:color="auto" w:fill="C5E0B3" w:themeFill="accent6" w:themeFillTint="66"/>
            <w:noWrap/>
            <w:vAlign w:val="bottom"/>
            <w:hideMark/>
          </w:tcPr>
          <w:p>
            <w:pPr>
              <w:jc w:val="center"/>
              <w:rPr>
                <w:b/>
                <w:bCs/>
                <w:u w:val="single"/>
              </w:rPr>
            </w:pPr>
            <w:bookmarkStart w:id="46" w:name="_Hlk208328606"/>
            <w:bookmarkStart w:id="47" w:name="_Hlk222920875"/>
            <w:r>
              <w:rPr>
                <w:b/>
                <w:bCs/>
                <w:sz w:val="22"/>
                <w:szCs w:val="24"/>
                <w:u w:val="single"/>
              </w:rPr>
              <w:t>Exemple d’attribution de la NBI pour les magistrats de l’ordre judiciaire :</w:t>
            </w:r>
          </w:p>
          <w:p>
            <w:pPr>
              <w:spacing w:after="0" w:line="240" w:lineRule="auto"/>
              <w:rPr>
                <w:rFonts w:ascii="Calibri" w:eastAsia="Times New Roman" w:hAnsi="Calibri" w:cs="Calibri"/>
                <w:color w:val="000000"/>
                <w:sz w:val="22"/>
                <w:lang w:eastAsia="fr-FR"/>
              </w:rPr>
            </w:pPr>
          </w:p>
        </w:tc>
      </w:tr>
      <w:tr>
        <w:trPr>
          <w:gridAfter w:val="1"/>
          <w:wAfter w:w="14" w:type="dxa"/>
          <w:trHeight w:val="359"/>
        </w:trPr>
        <w:tc>
          <w:tcPr>
            <w:tcW w:w="9801" w:type="dxa"/>
            <w:tcBorders>
              <w:top w:val="nil"/>
              <w:left w:val="single" w:sz="4" w:space="0" w:color="auto"/>
              <w:bottom w:val="nil"/>
              <w:right w:val="single" w:sz="4" w:space="0" w:color="auto"/>
            </w:tcBorders>
            <w:shd w:val="clear" w:color="auto" w:fill="C5E0B3" w:themeFill="accent6" w:themeFillTint="66"/>
            <w:noWrap/>
            <w:vAlign w:val="bottom"/>
          </w:tcPr>
          <w:p>
            <w:pPr>
              <w:contextualSpacing/>
              <w:jc w:val="both"/>
              <w:rPr>
                <w:sz w:val="22"/>
                <w:szCs w:val="24"/>
                <w:u w:val="single"/>
              </w:rPr>
            </w:pPr>
            <w:hyperlink r:id="rId44" w:history="1">
              <w:r>
                <w:rPr>
                  <w:rStyle w:val="Lienhypertexte"/>
                  <w:sz w:val="22"/>
                  <w:szCs w:val="24"/>
                </w:rPr>
                <w:t>Arrêté du 10 octobre 2022 fixant pour les magistrats de l'ordre judiciaire la liste des emplois éligibles à la nouvelle bonification indiciaire et le montant de la nouvelle bonification indiciaire attribué à chacun d'eux</w:t>
              </w:r>
            </w:hyperlink>
          </w:p>
          <w:p>
            <w:pPr>
              <w:jc w:val="both"/>
              <w:rPr>
                <w:rFonts w:ascii="Calibri" w:eastAsia="Times New Roman" w:hAnsi="Calibri" w:cs="Calibri"/>
                <w:color w:val="000000"/>
                <w:sz w:val="22"/>
                <w:lang w:eastAsia="fr-FR"/>
              </w:rPr>
            </w:pPr>
          </w:p>
        </w:tc>
      </w:tr>
      <w:tr>
        <w:trPr>
          <w:gridAfter w:val="1"/>
          <w:wAfter w:w="14" w:type="dxa"/>
          <w:trHeight w:val="341"/>
        </w:trPr>
        <w:tc>
          <w:tcPr>
            <w:tcW w:w="9801" w:type="dxa"/>
            <w:tcBorders>
              <w:top w:val="nil"/>
              <w:left w:val="single" w:sz="4" w:space="0" w:color="auto"/>
              <w:bottom w:val="nil"/>
              <w:right w:val="single" w:sz="4" w:space="0" w:color="auto"/>
            </w:tcBorders>
            <w:shd w:val="clear" w:color="auto" w:fill="auto"/>
            <w:noWrap/>
            <w:vAlign w:val="bottom"/>
            <w:hideMark/>
          </w:tcPr>
          <w:p>
            <w:pPr>
              <w:jc w:val="both"/>
              <w:rPr>
                <w:sz w:val="22"/>
                <w:szCs w:val="24"/>
              </w:rPr>
            </w:pPr>
            <w:r>
              <w:rPr>
                <w:sz w:val="22"/>
                <w:szCs w:val="24"/>
              </w:rPr>
              <w:t xml:space="preserve">Conformément à ce que prévoit le cas général, le Ministère de la Justice a précisé à </w:t>
            </w:r>
            <w:hyperlink r:id="rId45" w:history="1">
              <w:r>
                <w:rPr>
                  <w:rStyle w:val="Lienhypertexte"/>
                  <w:sz w:val="22"/>
                  <w:szCs w:val="24"/>
                </w:rPr>
                <w:t>l’annexe de l’arrêté du 10 octobre 2022</w:t>
              </w:r>
            </w:hyperlink>
            <w:r>
              <w:rPr>
                <w:sz w:val="22"/>
                <w:szCs w:val="24"/>
              </w:rPr>
              <w:t xml:space="preserve"> la liste des emplois éligibles au versement d’une NBI et le montant de la NBI en points d’indice majoré.</w:t>
            </w:r>
          </w:p>
          <w:p>
            <w:pPr>
              <w:spacing w:after="0" w:line="240" w:lineRule="auto"/>
              <w:rPr>
                <w:rFonts w:ascii="Calibri" w:eastAsia="Times New Roman" w:hAnsi="Calibri" w:cs="Calibri"/>
                <w:color w:val="000000"/>
                <w:sz w:val="22"/>
                <w:lang w:eastAsia="fr-FR"/>
              </w:rPr>
            </w:pPr>
          </w:p>
        </w:tc>
      </w:tr>
      <w:tr>
        <w:trPr>
          <w:gridAfter w:val="1"/>
          <w:wAfter w:w="14" w:type="dxa"/>
          <w:trHeight w:val="341"/>
        </w:trPr>
        <w:tc>
          <w:tcPr>
            <w:tcW w:w="9801" w:type="dxa"/>
            <w:tcBorders>
              <w:top w:val="nil"/>
              <w:left w:val="single" w:sz="4" w:space="0" w:color="auto"/>
              <w:bottom w:val="single" w:sz="4" w:space="0" w:color="auto"/>
              <w:right w:val="single" w:sz="4" w:space="0" w:color="auto"/>
            </w:tcBorders>
            <w:shd w:val="clear" w:color="auto" w:fill="auto"/>
            <w:noWrap/>
            <w:vAlign w:val="bottom"/>
            <w:hideMark/>
          </w:tcPr>
          <w:p>
            <w:pPr>
              <w:jc w:val="both"/>
              <w:rPr>
                <w:rFonts w:ascii="Calibri" w:eastAsia="Times New Roman" w:hAnsi="Calibri" w:cs="Calibri"/>
                <w:color w:val="000000"/>
                <w:sz w:val="22"/>
                <w:lang w:eastAsia="fr-FR"/>
              </w:rPr>
            </w:pPr>
            <w:r>
              <w:rPr>
                <w:sz w:val="22"/>
                <w:szCs w:val="24"/>
              </w:rPr>
              <w:t>Pour ce ministère les emplois sont repartis en fonction des juridictions (cours de cassation, cours d’appel, tribunal supérieur d’appel, tribunaux judiciaires et de première instance, école nationale des greffes et inspection générale de la justice.</w:t>
            </w:r>
          </w:p>
        </w:tc>
      </w:tr>
      <w:tr>
        <w:trPr>
          <w:trHeight w:val="403"/>
        </w:trPr>
        <w:tc>
          <w:tcPr>
            <w:tcW w:w="9815" w:type="dxa"/>
            <w:gridSpan w:val="2"/>
            <w:tcBorders>
              <w:top w:val="single" w:sz="4" w:space="0" w:color="auto"/>
              <w:left w:val="single" w:sz="4" w:space="0" w:color="auto"/>
              <w:bottom w:val="nil"/>
              <w:right w:val="single" w:sz="4" w:space="0" w:color="auto"/>
            </w:tcBorders>
            <w:shd w:val="clear" w:color="auto" w:fill="C5E0B3" w:themeFill="accent6" w:themeFillTint="66"/>
            <w:noWrap/>
            <w:vAlign w:val="bottom"/>
            <w:hideMark/>
          </w:tcPr>
          <w:p>
            <w:pPr>
              <w:jc w:val="center"/>
              <w:rPr>
                <w:b/>
                <w:bCs/>
                <w:sz w:val="22"/>
                <w:szCs w:val="24"/>
                <w:u w:val="single"/>
              </w:rPr>
            </w:pPr>
            <w:bookmarkStart w:id="48" w:name="_Hlk205891689"/>
            <w:bookmarkEnd w:id="46"/>
            <w:r>
              <w:rPr>
                <w:b/>
                <w:bCs/>
                <w:sz w:val="22"/>
                <w:szCs w:val="24"/>
                <w:u w:val="single"/>
              </w:rPr>
              <w:t>Exemple d’attribution de la NBI au Ministère de l’éducation nationale :</w:t>
            </w:r>
          </w:p>
          <w:p>
            <w:pPr>
              <w:spacing w:after="0" w:line="240" w:lineRule="auto"/>
              <w:rPr>
                <w:rFonts w:ascii="Calibri" w:eastAsia="Times New Roman" w:hAnsi="Calibri" w:cs="Calibri"/>
                <w:color w:val="000000"/>
                <w:sz w:val="22"/>
                <w:lang w:eastAsia="fr-FR"/>
              </w:rPr>
            </w:pPr>
          </w:p>
        </w:tc>
      </w:tr>
      <w:tr>
        <w:trPr>
          <w:trHeight w:val="403"/>
        </w:trPr>
        <w:tc>
          <w:tcPr>
            <w:tcW w:w="9815" w:type="dxa"/>
            <w:gridSpan w:val="2"/>
            <w:tcBorders>
              <w:top w:val="nil"/>
              <w:left w:val="single" w:sz="4" w:space="0" w:color="auto"/>
              <w:bottom w:val="nil"/>
              <w:right w:val="single" w:sz="4" w:space="0" w:color="auto"/>
            </w:tcBorders>
            <w:shd w:val="clear" w:color="auto" w:fill="C5E0B3" w:themeFill="accent6" w:themeFillTint="66"/>
            <w:noWrap/>
            <w:vAlign w:val="bottom"/>
          </w:tcPr>
          <w:p>
            <w:pPr>
              <w:contextualSpacing/>
              <w:jc w:val="both"/>
              <w:rPr>
                <w:sz w:val="22"/>
                <w:szCs w:val="24"/>
                <w:u w:val="single"/>
              </w:rPr>
            </w:pPr>
            <w:hyperlink r:id="rId46" w:history="1">
              <w:r>
                <w:rPr>
                  <w:rStyle w:val="Lienhypertexte"/>
                  <w:sz w:val="22"/>
                  <w:szCs w:val="24"/>
                </w:rPr>
                <w:t>Décret n°91-1229 du 6 décembre 1991 instituant la nouvelle bonification indiciaire dans les services du ministère de l'éducation nationale</w:t>
              </w:r>
            </w:hyperlink>
          </w:p>
          <w:p>
            <w:pPr>
              <w:jc w:val="both"/>
              <w:rPr>
                <w:rFonts w:ascii="Calibri" w:eastAsia="Times New Roman" w:hAnsi="Calibri" w:cs="Calibri"/>
                <w:color w:val="000000"/>
                <w:sz w:val="22"/>
                <w:lang w:eastAsia="fr-FR"/>
              </w:rPr>
            </w:pPr>
          </w:p>
        </w:tc>
      </w:tr>
      <w:tr>
        <w:trPr>
          <w:trHeight w:val="383"/>
        </w:trPr>
        <w:tc>
          <w:tcPr>
            <w:tcW w:w="9815" w:type="dxa"/>
            <w:gridSpan w:val="2"/>
            <w:tcBorders>
              <w:top w:val="nil"/>
              <w:left w:val="single" w:sz="4" w:space="0" w:color="auto"/>
              <w:bottom w:val="nil"/>
              <w:right w:val="single" w:sz="4" w:space="0" w:color="auto"/>
            </w:tcBorders>
            <w:shd w:val="clear" w:color="auto" w:fill="auto"/>
            <w:noWrap/>
            <w:vAlign w:val="bottom"/>
            <w:hideMark/>
          </w:tcPr>
          <w:p>
            <w:pPr>
              <w:jc w:val="both"/>
              <w:rPr>
                <w:sz w:val="22"/>
                <w:szCs w:val="24"/>
              </w:rPr>
            </w:pPr>
            <w:r>
              <w:rPr>
                <w:sz w:val="22"/>
                <w:szCs w:val="24"/>
              </w:rPr>
              <w:t xml:space="preserve">Conformément à ce que prévoit le cas général, le Ministère de l’éducation nationale a précisé à </w:t>
            </w:r>
            <w:hyperlink r:id="rId47" w:history="1">
              <w:r>
                <w:rPr>
                  <w:rStyle w:val="Lienhypertexte"/>
                  <w:sz w:val="22"/>
                  <w:szCs w:val="24"/>
                </w:rPr>
                <w:t>l’annexe du décret 91-1229</w:t>
              </w:r>
            </w:hyperlink>
            <w:r>
              <w:rPr>
                <w:sz w:val="22"/>
                <w:szCs w:val="24"/>
              </w:rPr>
              <w:t xml:space="preserve"> la liste des fonctions éligibles au versement d’une NBI.</w:t>
            </w:r>
          </w:p>
          <w:p>
            <w:pPr>
              <w:spacing w:after="0" w:line="240" w:lineRule="auto"/>
              <w:rPr>
                <w:rFonts w:ascii="Calibri" w:eastAsia="Times New Roman" w:hAnsi="Calibri" w:cs="Calibri"/>
                <w:color w:val="000000"/>
                <w:sz w:val="22"/>
                <w:lang w:eastAsia="fr-FR"/>
              </w:rPr>
            </w:pPr>
          </w:p>
        </w:tc>
      </w:tr>
      <w:tr>
        <w:trPr>
          <w:trHeight w:val="383"/>
        </w:trPr>
        <w:tc>
          <w:tcPr>
            <w:tcW w:w="9815" w:type="dxa"/>
            <w:gridSpan w:val="2"/>
            <w:tcBorders>
              <w:top w:val="nil"/>
              <w:left w:val="single" w:sz="4" w:space="0" w:color="auto"/>
              <w:bottom w:val="single" w:sz="4" w:space="0" w:color="auto"/>
              <w:right w:val="single" w:sz="4" w:space="0" w:color="auto"/>
            </w:tcBorders>
            <w:shd w:val="clear" w:color="auto" w:fill="auto"/>
            <w:noWrap/>
            <w:vAlign w:val="bottom"/>
            <w:hideMark/>
          </w:tcPr>
          <w:p>
            <w:pPr>
              <w:jc w:val="both"/>
              <w:rPr>
                <w:rFonts w:ascii="Calibri" w:eastAsia="Times New Roman" w:hAnsi="Calibri" w:cs="Calibri"/>
                <w:color w:val="000000"/>
                <w:sz w:val="22"/>
                <w:lang w:eastAsia="fr-FR"/>
              </w:rPr>
            </w:pPr>
            <w:r>
              <w:rPr>
                <w:sz w:val="22"/>
                <w:szCs w:val="24"/>
              </w:rPr>
              <w:t>Pour ce ministère la règle de non cumul entre NBI n’est pas opposable aux directeurs d’école.</w:t>
            </w:r>
            <w:r>
              <w:rPr>
                <w:rFonts w:ascii="Calibri" w:eastAsia="Times New Roman" w:hAnsi="Calibri" w:cs="Calibri"/>
                <w:color w:val="000000"/>
                <w:sz w:val="22"/>
                <w:lang w:eastAsia="fr-FR"/>
              </w:rPr>
              <w:t> </w:t>
            </w:r>
          </w:p>
        </w:tc>
      </w:tr>
      <w:bookmarkEnd w:id="47"/>
      <w:bookmarkEnd w:id="48"/>
      <w:tr>
        <w:trPr>
          <w:trHeight w:val="359"/>
        </w:trPr>
        <w:tc>
          <w:tcPr>
            <w:tcW w:w="9815" w:type="dxa"/>
            <w:gridSpan w:val="2"/>
            <w:tcBorders>
              <w:top w:val="single" w:sz="4" w:space="0" w:color="auto"/>
              <w:left w:val="single" w:sz="4" w:space="0" w:color="auto"/>
              <w:bottom w:val="nil"/>
              <w:right w:val="single" w:sz="4" w:space="0" w:color="auto"/>
            </w:tcBorders>
            <w:shd w:val="clear" w:color="auto" w:fill="C5E0B3" w:themeFill="accent6" w:themeFillTint="66"/>
            <w:noWrap/>
            <w:vAlign w:val="bottom"/>
          </w:tcPr>
          <w:p>
            <w:pPr>
              <w:spacing w:after="0" w:line="240" w:lineRule="auto"/>
              <w:jc w:val="center"/>
              <w:rPr>
                <w:b/>
                <w:bCs/>
                <w:sz w:val="22"/>
                <w:szCs w:val="24"/>
                <w:u w:val="single"/>
              </w:rPr>
            </w:pPr>
            <w:r>
              <w:rPr>
                <w:b/>
                <w:bCs/>
                <w:sz w:val="22"/>
                <w:szCs w:val="24"/>
                <w:u w:val="single"/>
              </w:rPr>
              <w:lastRenderedPageBreak/>
              <w:t> Cas particulier de la BI liquidée au Ministère de l’Education Nationale</w:t>
            </w:r>
          </w:p>
        </w:tc>
      </w:tr>
      <w:tr>
        <w:trPr>
          <w:trHeight w:val="359"/>
        </w:trPr>
        <w:tc>
          <w:tcPr>
            <w:tcW w:w="9815" w:type="dxa"/>
            <w:gridSpan w:val="2"/>
            <w:tcBorders>
              <w:top w:val="nil"/>
              <w:left w:val="single" w:sz="4" w:space="0" w:color="auto"/>
              <w:bottom w:val="nil"/>
              <w:right w:val="single" w:sz="4" w:space="0" w:color="auto"/>
            </w:tcBorders>
            <w:shd w:val="clear" w:color="auto" w:fill="C5E0B3" w:themeFill="accent6" w:themeFillTint="66"/>
            <w:noWrap/>
            <w:vAlign w:val="bottom"/>
          </w:tcPr>
          <w:p>
            <w:pPr>
              <w:jc w:val="both"/>
              <w:rPr>
                <w:rFonts w:ascii="Calibri" w:eastAsia="Times New Roman" w:hAnsi="Calibri" w:cs="Calibri"/>
                <w:color w:val="000000"/>
                <w:sz w:val="22"/>
                <w:lang w:eastAsia="fr-FR"/>
              </w:rPr>
            </w:pPr>
          </w:p>
          <w:p>
            <w:pPr>
              <w:jc w:val="both"/>
              <w:rPr>
                <w:sz w:val="22"/>
                <w:szCs w:val="24"/>
              </w:rPr>
            </w:pPr>
            <w:r>
              <w:rPr>
                <w:sz w:val="22"/>
                <w:szCs w:val="24"/>
              </w:rPr>
              <w:t>LOI n° 2016-1917 du 29 décembre 2016 de finances pour 2017 (Article 129)</w:t>
            </w:r>
          </w:p>
          <w:p>
            <w:pPr>
              <w:jc w:val="both"/>
              <w:rPr>
                <w:sz w:val="22"/>
                <w:szCs w:val="24"/>
              </w:rPr>
            </w:pPr>
            <w:r>
              <w:rPr>
                <w:sz w:val="22"/>
                <w:szCs w:val="24"/>
              </w:rPr>
              <w:t>Décret n° 2017-789 du 5 mai 2017 fixant l'échelonnement indiciaire de certains personnels enseignants, d'éducation et de psychologues de l'éducation nationale relevant du ministre chargé de l'éducation nationale</w:t>
            </w:r>
          </w:p>
          <w:p>
            <w:pPr>
              <w:jc w:val="both"/>
              <w:rPr>
                <w:sz w:val="22"/>
                <w:szCs w:val="24"/>
              </w:rPr>
            </w:pPr>
            <w:r>
              <w:rPr>
                <w:sz w:val="22"/>
                <w:szCs w:val="24"/>
              </w:rPr>
              <w:t>Décret n°88-342 du 11 avril 1988 fixant le régime de rémunération applicable à certains emplois de direction d'établissements d'enseignement ou de formation relevant du ministre de l'éducation nationale</w:t>
            </w:r>
          </w:p>
          <w:p>
            <w:pPr>
              <w:jc w:val="both"/>
              <w:rPr>
                <w:sz w:val="22"/>
                <w:szCs w:val="24"/>
              </w:rPr>
            </w:pPr>
            <w:r>
              <w:rPr>
                <w:sz w:val="22"/>
                <w:szCs w:val="24"/>
              </w:rPr>
              <w:t>Décret n°83-50 du 26 janvier 1983 fixant le régime de rémunération applicable aux instituteurs et professeurs des écoles nommés sur certains emplois ou exerçant certaines fonctions</w:t>
            </w:r>
          </w:p>
          <w:p>
            <w:pPr>
              <w:jc w:val="both"/>
              <w:rPr>
                <w:rFonts w:ascii="Calibri" w:eastAsia="Times New Roman" w:hAnsi="Calibri" w:cs="Calibri"/>
                <w:color w:val="000000"/>
                <w:sz w:val="22"/>
                <w:lang w:eastAsia="fr-FR"/>
              </w:rPr>
            </w:pPr>
            <w:r>
              <w:rPr>
                <w:sz w:val="22"/>
                <w:szCs w:val="24"/>
              </w:rPr>
              <w:t>Décret n°81-482 du 8 mai 1981 fixant les conditions de nomination et d'avancement dans certains emplois de direction d'établissement d'enseignement ou de formation relevant du ministre de l'éducation</w:t>
            </w:r>
          </w:p>
        </w:tc>
      </w:tr>
      <w:tr>
        <w:trPr>
          <w:trHeight w:val="341"/>
        </w:trPr>
        <w:tc>
          <w:tcPr>
            <w:tcW w:w="9815" w:type="dxa"/>
            <w:gridSpan w:val="2"/>
            <w:tcBorders>
              <w:top w:val="nil"/>
              <w:left w:val="single" w:sz="4" w:space="0" w:color="auto"/>
              <w:bottom w:val="nil"/>
              <w:right w:val="single" w:sz="4" w:space="0" w:color="auto"/>
            </w:tcBorders>
            <w:shd w:val="clear" w:color="auto" w:fill="auto"/>
            <w:noWrap/>
            <w:vAlign w:val="bottom"/>
          </w:tcPr>
          <w:p>
            <w:pPr>
              <w:jc w:val="both"/>
              <w:rPr>
                <w:rFonts w:ascii="Calibri" w:eastAsia="Times New Roman" w:hAnsi="Calibri" w:cs="Calibri"/>
                <w:color w:val="000000"/>
                <w:sz w:val="22"/>
                <w:lang w:eastAsia="fr-FR"/>
              </w:rPr>
            </w:pPr>
          </w:p>
        </w:tc>
      </w:tr>
      <w:tr>
        <w:trPr>
          <w:trHeight w:val="341"/>
        </w:trPr>
        <w:tc>
          <w:tcPr>
            <w:tcW w:w="9815" w:type="dxa"/>
            <w:gridSpan w:val="2"/>
            <w:tcBorders>
              <w:top w:val="nil"/>
              <w:left w:val="single" w:sz="4" w:space="0" w:color="auto"/>
              <w:bottom w:val="single" w:sz="4" w:space="0" w:color="auto"/>
              <w:right w:val="single" w:sz="4" w:space="0" w:color="auto"/>
            </w:tcBorders>
            <w:shd w:val="clear" w:color="auto" w:fill="auto"/>
            <w:noWrap/>
            <w:vAlign w:val="bottom"/>
          </w:tcPr>
          <w:p>
            <w:pPr>
              <w:jc w:val="both"/>
              <w:rPr>
                <w:sz w:val="22"/>
                <w:szCs w:val="24"/>
              </w:rPr>
            </w:pPr>
            <w:r>
              <w:rPr>
                <w:sz w:val="22"/>
                <w:szCs w:val="24"/>
              </w:rPr>
              <w:t>Au Ministère de l’education Nationale, certains agents bénéficient d’une bonification indiciaire (BI) à ne pas confondre avec la NBI.</w:t>
            </w:r>
          </w:p>
          <w:p>
            <w:pPr>
              <w:jc w:val="both"/>
              <w:rPr>
                <w:sz w:val="22"/>
                <w:szCs w:val="24"/>
              </w:rPr>
            </w:pPr>
            <w:r>
              <w:rPr>
                <w:sz w:val="22"/>
                <w:szCs w:val="24"/>
              </w:rPr>
              <w:t>La Bonification Indiciaire (BI) est liée à la nomination dans un emploi à titre définitif.</w:t>
            </w:r>
          </w:p>
          <w:p>
            <w:pPr>
              <w:jc w:val="both"/>
              <w:rPr>
                <w:sz w:val="22"/>
                <w:szCs w:val="24"/>
              </w:rPr>
            </w:pPr>
            <w:r>
              <w:rPr>
                <w:sz w:val="22"/>
                <w:szCs w:val="24"/>
              </w:rPr>
              <w:t>Les principales populations bénéficiant de la BI au MEN sont les chefs d’établissement et leurs adjoints ainsi que les directeurs d’école.</w:t>
            </w:r>
          </w:p>
          <w:p>
            <w:pPr>
              <w:jc w:val="both"/>
              <w:rPr>
                <w:sz w:val="22"/>
                <w:szCs w:val="24"/>
              </w:rPr>
            </w:pPr>
            <w:r>
              <w:rPr>
                <w:sz w:val="22"/>
                <w:szCs w:val="24"/>
              </w:rPr>
              <w:t>Il existe aussi des BI pour les professeurs des écoles et instituteurs spécialisés exerçant les fonctions de directeurs d’école.</w:t>
            </w:r>
          </w:p>
          <w:p>
            <w:pPr>
              <w:jc w:val="both"/>
              <w:rPr>
                <w:sz w:val="22"/>
                <w:szCs w:val="24"/>
              </w:rPr>
            </w:pPr>
            <w:r>
              <w:rPr>
                <w:sz w:val="22"/>
                <w:szCs w:val="24"/>
              </w:rPr>
              <w:t>Depuis le 1er septembre 2017, les professeurs certifiés bi-admissibles, les professeurs d’éducation physique et sportive bi-admissibles et les professeurs de lycée professionnel bi-admissibles ont fait l’objet d’une procédure de reclassement à la classe normale de leur corps et bénéficient d’une bonification indiciaire prévue par l’article 129 de la loi n°2016-1917.</w:t>
            </w:r>
          </w:p>
          <w:p>
            <w:pPr>
              <w:jc w:val="both"/>
              <w:rPr>
                <w:sz w:val="22"/>
                <w:szCs w:val="24"/>
              </w:rPr>
            </w:pPr>
            <w:r>
              <w:rPr>
                <w:sz w:val="22"/>
                <w:szCs w:val="24"/>
              </w:rPr>
              <w:t>La bonification indiciaire est également déterminée en fonction de la catégorie dans laquelle est classé l'établissement.</w:t>
            </w:r>
          </w:p>
          <w:p>
            <w:pPr>
              <w:jc w:val="both"/>
              <w:rPr>
                <w:sz w:val="22"/>
                <w:szCs w:val="24"/>
              </w:rPr>
            </w:pPr>
            <w:r>
              <w:rPr>
                <w:sz w:val="22"/>
                <w:szCs w:val="24"/>
              </w:rPr>
              <w:t>La bonification indiciaire s’ajoute à l’indice INM de l’agent.</w:t>
            </w:r>
          </w:p>
          <w:p>
            <w:pPr>
              <w:jc w:val="both"/>
              <w:rPr>
                <w:sz w:val="22"/>
                <w:szCs w:val="24"/>
              </w:rPr>
            </w:pPr>
            <w:r>
              <w:rPr>
                <w:sz w:val="22"/>
                <w:szCs w:val="24"/>
              </w:rPr>
              <w:t>Le calcul du traitement brut mensuel (TBM) est augmenté de la BI pour déterminer le montant total du Traitement brut :</w:t>
            </w:r>
          </w:p>
          <w:p>
            <w:pPr>
              <w:jc w:val="both"/>
              <w:rPr>
                <w:sz w:val="22"/>
                <w:szCs w:val="24"/>
              </w:rPr>
            </w:pPr>
            <w:r>
              <w:rPr>
                <w:sz w:val="22"/>
                <w:szCs w:val="24"/>
              </w:rPr>
              <w:t>TBM = Valeur annuelle du point fonction publique afférent à l’indice 100 X (indice nouveau majoré (INM) + nombre de points de BI) divisé par 100 divisé par 12 soit :</w:t>
            </w:r>
          </w:p>
          <w:p>
            <w:pPr>
              <w:jc w:val="both"/>
              <w:rPr>
                <w:sz w:val="22"/>
                <w:szCs w:val="24"/>
              </w:rPr>
            </w:pPr>
            <w:r>
              <w:rPr>
                <w:sz w:val="22"/>
                <w:szCs w:val="24"/>
              </w:rPr>
              <w:t>TBM = 5907,34 € x (INM de l’agent + BI de l’agent) / 100 / 12</w:t>
            </w:r>
          </w:p>
          <w:p>
            <w:pPr>
              <w:jc w:val="both"/>
              <w:rPr>
                <w:rFonts w:ascii="Calibri" w:eastAsia="Times New Roman" w:hAnsi="Calibri" w:cs="Calibri"/>
                <w:color w:val="000000"/>
                <w:sz w:val="22"/>
                <w:lang w:eastAsia="fr-FR"/>
              </w:rPr>
            </w:pPr>
            <w:r>
              <w:rPr>
                <w:sz w:val="22"/>
                <w:szCs w:val="24"/>
              </w:rPr>
              <w:t>Les informations PAYSAGE sont identiques à celles précisées au</w:t>
            </w:r>
            <w:r>
              <w:rPr>
                <w:rFonts w:ascii="Calibri" w:eastAsia="Times New Roman" w:hAnsi="Calibri" w:cs="Calibri"/>
                <w:color w:val="000000"/>
                <w:sz w:val="22"/>
                <w:lang w:eastAsia="fr-FR"/>
              </w:rPr>
              <w:t xml:space="preserve"> </w:t>
            </w:r>
            <w:r>
              <w:rPr>
                <w:sz w:val="22"/>
                <w:szCs w:val="24"/>
              </w:rPr>
              <w:t>Chapitre dispositions communes</w:t>
            </w:r>
          </w:p>
        </w:tc>
      </w:tr>
    </w:tbl>
    <w:p>
      <w:pPr>
        <w:rPr>
          <w:sz w:val="22"/>
          <w:szCs w:val="24"/>
        </w:rPr>
      </w:pPr>
      <w:r>
        <w:rPr>
          <w:sz w:val="22"/>
          <w:szCs w:val="24"/>
        </w:rPr>
        <w:br w:type="page"/>
      </w:r>
    </w:p>
    <w:bookmarkStart w:id="49" w:name="_Toc225170938"/>
    <w:p>
      <w:pPr>
        <w:keepNext/>
        <w:keepLines/>
        <w:spacing w:before="40" w:after="0" w:line="240" w:lineRule="auto"/>
        <w:ind w:left="360"/>
        <w:outlineLvl w:val="2"/>
        <w:rPr>
          <w:rFonts w:eastAsiaTheme="majorEastAsia" w:cstheme="majorBidi"/>
          <w:bCs/>
          <w:color w:val="FFFFFF" w:themeColor="background1"/>
          <w:sz w:val="36"/>
          <w:szCs w:val="24"/>
        </w:rPr>
      </w:pPr>
      <w:r>
        <w:rPr>
          <w:rFonts w:eastAsiaTheme="majorEastAsia" w:cstheme="majorBidi"/>
          <w:bCs/>
          <w:noProof/>
          <w:color w:val="FFFFFF" w:themeColor="background1"/>
          <w:sz w:val="36"/>
          <w:szCs w:val="24"/>
        </w:rPr>
        <w:lastRenderedPageBreak/>
        <mc:AlternateContent>
          <mc:Choice Requires="wps">
            <w:drawing>
              <wp:anchor distT="0" distB="0" distL="114300" distR="114300" simplePos="0" relativeHeight="252147712" behindDoc="1" locked="0" layoutInCell="1" allowOverlap="1">
                <wp:simplePos x="0" y="0"/>
                <wp:positionH relativeFrom="margin">
                  <wp:align>right</wp:align>
                </wp:positionH>
                <wp:positionV relativeFrom="paragraph">
                  <wp:posOffset>30537</wp:posOffset>
                </wp:positionV>
                <wp:extent cx="6113088" cy="323850"/>
                <wp:effectExtent l="0" t="0" r="2540" b="0"/>
                <wp:wrapNone/>
                <wp:docPr id="45" name="Rectangle 4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13088" cy="323850"/>
                        </a:xfrm>
                        <a:prstGeom prst="rect">
                          <a:avLst/>
                        </a:prstGeom>
                        <a:solidFill>
                          <a:srgbClr val="5770BE"/>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5" o:spid="_x0000_s1026" alt="&quot;&quot;" style="position:absolute;margin-left:430.15pt;margin-top:2.4pt;width:481.35pt;height:25.5pt;z-index:-251168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" fillcolor="#5770be" stroked="f" strokeweight="1pt">
                <w10:wrap anchorx="margin"/>
              </v:rect>
            </w:pict>
          </mc:Fallback>
        </mc:AlternateContent>
      </w:r>
      <w:r>
        <w:rPr>
          <w:rFonts w:eastAsiaTheme="majorEastAsia" w:cstheme="majorBidi"/>
          <w:bCs/>
          <w:color w:val="FFFFFF" w:themeColor="background1"/>
          <w:sz w:val="36"/>
          <w:szCs w:val="24"/>
        </w:rPr>
        <w:t>1.3.2. Indemnité de résidence - IR</w:t>
      </w:r>
      <w:bookmarkEnd w:id="49"/>
    </w:p>
    <w:p>
      <w:pPr>
        <w:jc w:val="both"/>
      </w:pPr>
    </w:p>
    <w:p>
      <w:pPr>
        <w:jc w:val="both"/>
      </w:pPr>
      <w:r>
        <w:rPr>
          <w:sz w:val="22"/>
          <w:szCs w:val="24"/>
        </w:rPr>
        <w:t>L’indemnité de résidence a été mise en place pour compenser les différences de coût de la vie en fonction de zones géographiques et figure dans le bulletin de paye sous le code 102000.</w:t>
      </w:r>
    </w:p>
    <w:p>
      <w:pPr>
        <w:jc w:val="both"/>
        <w:rPr>
          <w:sz w:val="22"/>
          <w:szCs w:val="24"/>
        </w:rPr>
      </w:pPr>
      <w:r>
        <w:rPr>
          <w:sz w:val="22"/>
          <w:szCs w:val="24"/>
        </w:rPr>
        <w:t xml:space="preserve">Les zones géographiques concernent le territoire métropolitain ainsi que les quatre départements d’Outre-Mer (Guadeloupe, Guyane, Martinique et la Réunion). </w:t>
      </w:r>
    </w:p>
    <w:p>
      <w:pPr>
        <w:jc w:val="both"/>
        <w:rPr>
          <w:sz w:val="22"/>
          <w:szCs w:val="24"/>
        </w:rPr>
      </w:pPr>
      <w:r>
        <w:rPr>
          <w:sz w:val="22"/>
          <w:szCs w:val="24"/>
        </w:rPr>
        <w:t xml:space="preserve">La commune d’affectation de l’agent permet de déterminer le montant de cette compensation. </w:t>
      </w:r>
    </w:p>
    <w:p>
      <w:pPr>
        <w:jc w:val="both"/>
      </w:pPr>
    </w:p>
    <w:p>
      <w:pPr>
        <w:jc w:val="both"/>
        <w:rPr>
          <w:rFonts w:cs="Times New Roman"/>
          <w:b/>
          <w:bCs/>
          <w:sz w:val="24"/>
          <w:szCs w:val="24"/>
        </w:rPr>
      </w:pPr>
      <w:r>
        <w:rPr>
          <w:rFonts w:cs="Times New Roman"/>
          <w:b/>
          <w:bCs/>
          <w:sz w:val="24"/>
          <w:szCs w:val="24"/>
        </w:rPr>
        <w:t xml:space="preserve">1.3.2.1. Bases juridiques </w:t>
      </w:r>
    </w:p>
    <w:p>
      <w:pPr>
        <w:jc w:val="both"/>
        <w:rPr>
          <w:sz w:val="22"/>
          <w:szCs w:val="24"/>
        </w:rPr>
      </w:pPr>
    </w:p>
    <w:p>
      <w:pPr>
        <w:pStyle w:val="Paragraphedeliste"/>
        <w:numPr>
          <w:ilvl w:val="0"/>
          <w:numId w:val="7"/>
        </w:numPr>
        <w:jc w:val="both"/>
        <w:rPr>
          <w:sz w:val="22"/>
          <w:szCs w:val="24"/>
          <w:u w:val="single"/>
        </w:rPr>
      </w:pPr>
      <w:hyperlink r:id="rId48" w:history="1">
        <w:r>
          <w:rPr>
            <w:rStyle w:val="Lienhypertexte"/>
            <w:sz w:val="22"/>
            <w:szCs w:val="24"/>
          </w:rPr>
          <w:t>Décret n° 85-1148 du 24 octobre 1985 modifié relatif à la rémunération des personnels civils et militaires de l'Etat des personnels des collectivités territoriales et des personnels des établissements publics d'hospitalisation</w:t>
        </w:r>
      </w:hyperlink>
      <w:r>
        <w:rPr>
          <w:sz w:val="22"/>
          <w:szCs w:val="24"/>
          <w:u w:val="single"/>
        </w:rPr>
        <w:t xml:space="preserve"> </w:t>
      </w:r>
    </w:p>
    <w:p>
      <w:pPr>
        <w:pStyle w:val="Paragraphedeliste"/>
        <w:numPr>
          <w:ilvl w:val="0"/>
          <w:numId w:val="7"/>
        </w:numPr>
        <w:jc w:val="both"/>
        <w:rPr>
          <w:sz w:val="22"/>
          <w:szCs w:val="24"/>
          <w:u w:val="single"/>
        </w:rPr>
      </w:pPr>
      <w:hyperlink r:id="rId49" w:history="1">
        <w:r>
          <w:rPr>
            <w:rStyle w:val="Lienhypertexte"/>
            <w:sz w:val="22"/>
            <w:szCs w:val="24"/>
          </w:rPr>
          <w:t>Circulaire interministérielle FP/7 n° 1996 2B n° 00-1235 du 12 mars 2001 relative à la modification des zones d'indemnité de résidence</w:t>
        </w:r>
      </w:hyperlink>
    </w:p>
    <w:p>
      <w:pPr>
        <w:jc w:val="both"/>
        <w:rPr>
          <w:sz w:val="22"/>
          <w:szCs w:val="24"/>
        </w:rPr>
      </w:pPr>
    </w:p>
    <w:p>
      <w:pPr>
        <w:jc w:val="both"/>
        <w:rPr>
          <w:rFonts w:cs="Times New Roman"/>
          <w:b/>
          <w:bCs/>
          <w:sz w:val="24"/>
          <w:szCs w:val="24"/>
        </w:rPr>
      </w:pPr>
      <w:r>
        <w:rPr>
          <w:rFonts w:cs="Times New Roman"/>
          <w:b/>
          <w:bCs/>
          <w:sz w:val="24"/>
          <w:szCs w:val="24"/>
        </w:rPr>
        <w:t xml:space="preserve">1.3.2.2. Détermination de l’indemnité </w:t>
      </w:r>
    </w:p>
    <w:p>
      <w:pPr>
        <w:jc w:val="both"/>
        <w:rPr>
          <w:sz w:val="22"/>
          <w:szCs w:val="24"/>
        </w:rPr>
      </w:pPr>
      <w:hyperlink r:id="rId50" w:history="1">
        <w:r>
          <w:rPr>
            <w:rStyle w:val="Lienhypertexte"/>
            <w:sz w:val="22"/>
            <w:szCs w:val="24"/>
          </w:rPr>
          <w:t>L’article 1 du décret n°85-1148</w:t>
        </w:r>
      </w:hyperlink>
      <w:r>
        <w:rPr>
          <w:sz w:val="22"/>
          <w:szCs w:val="24"/>
        </w:rPr>
        <w:t xml:space="preserve"> détermine les bénéficiaires de l’indemnité de résidence ; celle-ci est allouée aux magistrats, militaires, fonctionnaires et agents de la FPE. Ces personnels doivent être titulaire d'un grade ou occuper un emploi auquel est directement attaché un indice de la fonction publique. </w:t>
      </w:r>
    </w:p>
    <w:p>
      <w:pPr>
        <w:jc w:val="both"/>
        <w:rPr>
          <w:sz w:val="22"/>
          <w:szCs w:val="24"/>
        </w:rPr>
      </w:pPr>
      <w:r>
        <w:rPr>
          <w:sz w:val="22"/>
          <w:szCs w:val="24"/>
        </w:rPr>
        <w:t>En outre, les personnels ouvriers rétribués sur la base des salaires pratiqués dans le commerce et l'industrie en sont exclus.</w:t>
      </w:r>
    </w:p>
    <w:p>
      <w:pPr>
        <w:jc w:val="both"/>
        <w:rPr>
          <w:sz w:val="22"/>
          <w:szCs w:val="24"/>
        </w:rPr>
      </w:pPr>
      <w:hyperlink r:id="rId51" w:history="1">
        <w:r>
          <w:rPr>
            <w:rStyle w:val="Lienhypertexte"/>
            <w:sz w:val="22"/>
            <w:szCs w:val="24"/>
          </w:rPr>
          <w:t>L’article 9</w:t>
        </w:r>
      </w:hyperlink>
      <w:r>
        <w:rPr>
          <w:sz w:val="22"/>
          <w:szCs w:val="24"/>
        </w:rPr>
        <w:t xml:space="preserve"> du même décret précise le dispositif.</w:t>
      </w:r>
    </w:p>
    <w:p>
      <w:pPr>
        <w:jc w:val="both"/>
        <w:rPr>
          <w:sz w:val="22"/>
          <w:szCs w:val="24"/>
        </w:rPr>
      </w:pPr>
      <w:r>
        <w:rPr>
          <w:sz w:val="22"/>
          <w:szCs w:val="24"/>
        </w:rPr>
        <w:t xml:space="preserve">L’indemnité de résidence est calculée par application du taux déterminé en fonction de l’affectation géographique au traitement indiciaire. </w:t>
      </w:r>
    </w:p>
    <w:p>
      <w:pPr>
        <w:jc w:val="both"/>
        <w:rPr>
          <w:sz w:val="22"/>
          <w:szCs w:val="24"/>
        </w:rPr>
      </w:pPr>
      <w:r>
        <w:rPr>
          <w:sz w:val="22"/>
          <w:szCs w:val="24"/>
        </w:rPr>
        <w:t xml:space="preserve">Pour les agents bénéficiant de la NBI, le calcul de l’indemnité de résidence tient compte du nombre de point de NBI. </w:t>
      </w:r>
    </w:p>
    <w:p>
      <w:pPr>
        <w:jc w:val="both"/>
        <w:rPr>
          <w:sz w:val="22"/>
          <w:szCs w:val="24"/>
        </w:rPr>
      </w:pPr>
      <w:r>
        <w:rPr>
          <w:sz w:val="22"/>
          <w:szCs w:val="24"/>
          <w:u w:val="single"/>
        </w:rPr>
        <w:t>Exemple </w:t>
      </w:r>
      <w:r>
        <w:rPr>
          <w:sz w:val="22"/>
          <w:szCs w:val="24"/>
        </w:rPr>
        <w:t>: pour un agent rémunéré sur la base d’un indice majoré 313 et bénéficiant d’une NBI de 10 points, le calcul de l’IR se fera sur la base d’un indice majoré porté à 323.</w:t>
      </w:r>
    </w:p>
    <w:p>
      <w:pPr>
        <w:jc w:val="both"/>
        <w:rPr>
          <w:sz w:val="22"/>
          <w:szCs w:val="24"/>
        </w:rPr>
      </w:pPr>
    </w:p>
    <w:p>
      <w:pPr>
        <w:jc w:val="both"/>
        <w:rPr>
          <w:sz w:val="22"/>
          <w:szCs w:val="24"/>
        </w:rPr>
      </w:pPr>
      <w:r>
        <w:rPr>
          <w:sz w:val="22"/>
          <w:szCs w:val="24"/>
        </w:rPr>
        <w:t>Pour les agents dont le traitement est inférieur ou égal à celui correspondant à l'indice majoré 313, l’IR est calculée sur la base de cet indice.</w:t>
      </w:r>
    </w:p>
    <w:p>
      <w:pPr>
        <w:jc w:val="both"/>
        <w:rPr>
          <w:sz w:val="22"/>
          <w:szCs w:val="24"/>
        </w:rPr>
      </w:pPr>
      <w:r>
        <w:rPr>
          <w:sz w:val="22"/>
          <w:szCs w:val="24"/>
        </w:rPr>
        <w:t>L'indemnité de résidence évolue dans les mêmes proportions que le traitement soumis aux retenues pour pension.</w:t>
      </w:r>
    </w:p>
    <w:p>
      <w:pPr>
        <w:jc w:val="both"/>
        <w:rPr>
          <w:sz w:val="22"/>
          <w:szCs w:val="24"/>
        </w:rPr>
      </w:pPr>
      <w:r>
        <w:rPr>
          <w:sz w:val="22"/>
          <w:szCs w:val="24"/>
        </w:rPr>
        <w:t>Le taux applicable dépend de la zone d’affectation de l’agent et s’établit comme suit :</w:t>
      </w:r>
    </w:p>
    <w:p>
      <w:pPr>
        <w:pStyle w:val="Paragraphedeliste"/>
        <w:numPr>
          <w:ilvl w:val="0"/>
          <w:numId w:val="3"/>
        </w:numPr>
        <w:jc w:val="both"/>
      </w:pPr>
      <w:r>
        <w:rPr>
          <w:sz w:val="22"/>
          <w:szCs w:val="24"/>
        </w:rPr>
        <w:t>0% pour la zone 3</w:t>
      </w:r>
    </w:p>
    <w:p>
      <w:pPr>
        <w:pStyle w:val="Paragraphedeliste"/>
        <w:numPr>
          <w:ilvl w:val="0"/>
          <w:numId w:val="3"/>
        </w:numPr>
        <w:jc w:val="both"/>
      </w:pPr>
      <w:r>
        <w:rPr>
          <w:sz w:val="22"/>
          <w:szCs w:val="24"/>
        </w:rPr>
        <w:t xml:space="preserve">1% pour la zone 2 </w:t>
      </w:r>
    </w:p>
    <w:p>
      <w:pPr>
        <w:pStyle w:val="Paragraphedeliste"/>
        <w:numPr>
          <w:ilvl w:val="0"/>
          <w:numId w:val="3"/>
        </w:numPr>
        <w:jc w:val="both"/>
      </w:pPr>
      <w:r>
        <w:rPr>
          <w:sz w:val="22"/>
          <w:szCs w:val="24"/>
        </w:rPr>
        <w:t xml:space="preserve">3% pour la zone 1 </w:t>
      </w:r>
    </w:p>
    <w:bookmarkStart w:id="50" w:name="_Toc225170939"/>
    <w:p>
      <w:pPr>
        <w:keepNext/>
        <w:keepLines/>
        <w:spacing w:before="40" w:after="0" w:line="240" w:lineRule="auto"/>
        <w:ind w:left="360"/>
        <w:outlineLvl w:val="2"/>
        <w:rPr>
          <w:rFonts w:eastAsiaTheme="majorEastAsia" w:cstheme="majorBidi"/>
          <w:bCs/>
          <w:color w:val="FFFFFF" w:themeColor="background1"/>
          <w:sz w:val="36"/>
          <w:szCs w:val="24"/>
        </w:rPr>
      </w:pPr>
      <w:r>
        <w:rPr>
          <w:rFonts w:eastAsiaTheme="majorEastAsia" w:cstheme="majorBidi"/>
          <w:bCs/>
          <w:noProof/>
          <w:color w:val="FFFFFF" w:themeColor="background1"/>
          <w:sz w:val="36"/>
          <w:szCs w:val="24"/>
        </w:rPr>
        <w:lastRenderedPageBreak/>
        <mc:AlternateContent>
          <mc:Choice Requires="wps">
            <w:drawing>
              <wp:anchor distT="0" distB="0" distL="114300" distR="114300" simplePos="0" relativeHeight="252240896" behindDoc="1" locked="0" layoutInCell="1" allowOverlap="1">
                <wp:simplePos x="0" y="0"/>
                <wp:positionH relativeFrom="margin">
                  <wp:align>right</wp:align>
                </wp:positionH>
                <wp:positionV relativeFrom="paragraph">
                  <wp:posOffset>30537</wp:posOffset>
                </wp:positionV>
                <wp:extent cx="6113088" cy="341194"/>
                <wp:effectExtent l="0" t="0" r="2540" b="1905"/>
                <wp:wrapNone/>
                <wp:docPr id="9"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13088" cy="341194"/>
                        </a:xfrm>
                        <a:prstGeom prst="rect">
                          <a:avLst/>
                        </a:prstGeom>
                        <a:solidFill>
                          <a:srgbClr val="5770BE"/>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9" o:spid="_x0000_s1026" alt="&quot;&quot;" style="position:absolute;margin-left:430.15pt;margin-top:2.4pt;width:481.35pt;height:26.85pt;z-index:-25107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" fillcolor="#5770be" stroked="f" strokeweight="1pt">
                <w10:wrap anchorx="margin"/>
              </v:rect>
            </w:pict>
          </mc:Fallback>
        </mc:AlternateContent>
      </w:r>
      <w:r>
        <w:rPr>
          <w:rFonts w:eastAsiaTheme="majorEastAsia" w:cstheme="majorBidi"/>
          <w:bCs/>
          <w:color w:val="FFFFFF" w:themeColor="background1"/>
          <w:sz w:val="36"/>
          <w:szCs w:val="24"/>
        </w:rPr>
        <w:t>1.3.3. Majorations de traitement</w:t>
      </w:r>
      <w:bookmarkEnd w:id="50"/>
    </w:p>
    <w:p>
      <w:pPr>
        <w:jc w:val="both"/>
        <w:rPr>
          <w:sz w:val="22"/>
          <w:szCs w:val="24"/>
        </w:rPr>
      </w:pPr>
    </w:p>
    <w:p>
      <w:pPr>
        <w:spacing w:after="0"/>
        <w:jc w:val="both"/>
        <w:rPr>
          <w:sz w:val="22"/>
        </w:rPr>
      </w:pPr>
    </w:p>
    <w:p>
      <w:pPr>
        <w:spacing w:after="0"/>
        <w:jc w:val="both"/>
        <w:rPr>
          <w:sz w:val="22"/>
        </w:rPr>
      </w:pPr>
      <w:r>
        <w:rPr>
          <w:sz w:val="22"/>
        </w:rPr>
        <w:t>Un dispositif de majoration de traitement a été mis en place par la loi du 3 avril 1950 afin de compenser le cout de la vie dans les DOM.</w:t>
      </w:r>
    </w:p>
    <w:p>
      <w:pPr>
        <w:spacing w:after="0"/>
        <w:jc w:val="both"/>
        <w:rPr>
          <w:sz w:val="22"/>
        </w:rPr>
      </w:pPr>
    </w:p>
    <w:p>
      <w:pPr>
        <w:spacing w:after="0"/>
        <w:jc w:val="both"/>
        <w:rPr>
          <w:sz w:val="22"/>
        </w:rPr>
      </w:pPr>
      <w:r>
        <w:rPr>
          <w:sz w:val="22"/>
        </w:rPr>
        <w:t>Ce dispositif est étendu aux COM. Ainsi, la Guadeloupe, la Martinique, la Guyane, La Réunion, Mayotte, la Polynésie française, Saint-Pierre-et-Miquelon, Wallis-et-Futuna, Saint-Martin et Saint-Barthélémy bénéficient de ce dispositif.</w:t>
      </w:r>
    </w:p>
    <w:p>
      <w:pPr>
        <w:spacing w:after="0"/>
        <w:jc w:val="both"/>
        <w:rPr>
          <w:sz w:val="22"/>
        </w:rPr>
      </w:pPr>
    </w:p>
    <w:p>
      <w:pPr>
        <w:spacing w:after="0"/>
        <w:jc w:val="both"/>
        <w:rPr>
          <w:sz w:val="22"/>
        </w:rPr>
      </w:pPr>
    </w:p>
    <w:p>
      <w:pPr>
        <w:spacing w:after="0"/>
        <w:jc w:val="both"/>
        <w:rPr>
          <w:sz w:val="22"/>
        </w:rPr>
      </w:pPr>
      <w:r>
        <w:rPr>
          <w:sz w:val="22"/>
        </w:rPr>
        <w:t xml:space="preserve">Les cas particuliers pouvant donner lieu à bénéfice de majorations de traitement sont précisés à </w:t>
      </w:r>
      <w:hyperlink r:id="rId52" w:history="1">
        <w:r>
          <w:rPr>
            <w:rStyle w:val="Lienhypertexte"/>
            <w:sz w:val="22"/>
          </w:rPr>
          <w:t>l’article L741-1 du CGFP</w:t>
        </w:r>
      </w:hyperlink>
      <w:r>
        <w:rPr>
          <w:sz w:val="22"/>
        </w:rPr>
        <w:t xml:space="preserve"> : </w:t>
      </w:r>
    </w:p>
    <w:p>
      <w:pPr>
        <w:spacing w:after="0"/>
        <w:jc w:val="both"/>
        <w:rPr>
          <w:sz w:val="22"/>
        </w:rPr>
      </w:pPr>
    </w:p>
    <w:p>
      <w:pPr>
        <w:spacing w:after="0"/>
        <w:jc w:val="both"/>
        <w:rPr>
          <w:i/>
          <w:iCs/>
          <w:sz w:val="22"/>
        </w:rPr>
      </w:pPr>
      <w:r>
        <w:rPr>
          <w:sz w:val="22"/>
        </w:rPr>
        <w:t>« </w:t>
      </w:r>
      <w:r>
        <w:rPr>
          <w:i/>
          <w:iCs/>
          <w:sz w:val="22"/>
        </w:rPr>
        <w:t>Le traitement du fonctionnaire de l'Etat en service en Guadeloupe, en Guyane, à la Martinique, à La Réunion, à Saint-Barthélemy, à Saint-Martin et à Saint-Pierre-et-Miquelon est majoré de 25 %.</w:t>
      </w:r>
    </w:p>
    <w:p>
      <w:pPr>
        <w:spacing w:after="0"/>
        <w:jc w:val="both"/>
        <w:rPr>
          <w:sz w:val="22"/>
        </w:rPr>
      </w:pPr>
      <w:r>
        <w:rPr>
          <w:i/>
          <w:iCs/>
          <w:sz w:val="22"/>
        </w:rPr>
        <w:t>Le traitement du fonctionnaire de l'Etat et du fonctionnaire hospitalier en service à Mayotte est majoré de 40 %.</w:t>
      </w:r>
      <w:r>
        <w:rPr>
          <w:sz w:val="22"/>
        </w:rPr>
        <w:t> ».</w:t>
      </w:r>
    </w:p>
    <w:p>
      <w:pPr>
        <w:spacing w:after="0"/>
      </w:pPr>
    </w:p>
    <w:p>
      <w:pPr>
        <w:spacing w:after="0"/>
      </w:pPr>
    </w:p>
    <w:p>
      <w:pPr>
        <w:spacing w:after="0"/>
      </w:pPr>
    </w:p>
    <w:p>
      <w:pPr>
        <w:pStyle w:val="Paragraphedeliste"/>
        <w:shd w:val="clear" w:color="auto" w:fill="91AE4F"/>
        <w:ind w:left="0"/>
        <w:jc w:val="center"/>
        <w:rPr>
          <w:b/>
          <w:bCs/>
          <w:i/>
          <w:iCs/>
          <w:color w:val="FFFFFF" w:themeColor="background1"/>
          <w:sz w:val="24"/>
          <w:szCs w:val="24"/>
        </w:rPr>
      </w:pPr>
      <w:r>
        <w:rPr>
          <w:b/>
          <w:bCs/>
          <w:i/>
          <w:iCs/>
          <w:color w:val="FFFFFF" w:themeColor="background1"/>
          <w:sz w:val="24"/>
          <w:szCs w:val="24"/>
        </w:rPr>
        <w:t>Le guide des congés bonifiés est accessible sur le Portail BARRI</w:t>
      </w:r>
    </w:p>
    <w:p>
      <w:pPr>
        <w:pStyle w:val="Paragraphedeliste"/>
        <w:shd w:val="clear" w:color="auto" w:fill="91AE4F"/>
        <w:ind w:left="0"/>
        <w:jc w:val="center"/>
        <w:rPr>
          <w:b/>
          <w:bCs/>
          <w:i/>
          <w:iCs/>
          <w:color w:val="FFFFFF" w:themeColor="background1"/>
          <w:sz w:val="24"/>
          <w:szCs w:val="24"/>
        </w:rPr>
      </w:pPr>
      <w:r>
        <w:rPr>
          <w:b/>
          <w:bCs/>
          <w:i/>
          <w:iCs/>
          <w:color w:val="FFFFFF" w:themeColor="background1"/>
          <w:sz w:val="24"/>
          <w:szCs w:val="24"/>
        </w:rPr>
        <w:t xml:space="preserve">depuis le lien figurant dans le chapitre  </w:t>
      </w:r>
      <w:hyperlink w:anchor="POURALLERPLUSLOIN" w:history="1">
        <w:r>
          <w:rPr>
            <w:rStyle w:val="Lienhypertexte"/>
            <w:b/>
            <w:bCs/>
            <w:i/>
            <w:iCs/>
            <w:sz w:val="24"/>
            <w:szCs w:val="24"/>
          </w:rPr>
          <w:t>« Pour aller plus loin »</w:t>
        </w:r>
      </w:hyperlink>
    </w:p>
    <w:p/>
    <w:p>
      <w:pPr>
        <w:jc w:val="both"/>
        <w:rPr>
          <w:rFonts w:cs="Times New Roman"/>
          <w:b/>
          <w:bCs/>
          <w:sz w:val="24"/>
          <w:szCs w:val="24"/>
        </w:rPr>
      </w:pPr>
      <w:r>
        <w:rPr>
          <w:rFonts w:cs="Times New Roman"/>
          <w:b/>
          <w:bCs/>
          <w:sz w:val="24"/>
          <w:szCs w:val="24"/>
        </w:rPr>
        <w:t xml:space="preserve">1.3.3.1 Bases juridiques </w:t>
      </w:r>
    </w:p>
    <w:p>
      <w:pPr>
        <w:tabs>
          <w:tab w:val="left" w:pos="2400"/>
        </w:tabs>
        <w:rPr>
          <w:sz w:val="22"/>
          <w:szCs w:val="24"/>
        </w:rPr>
      </w:pPr>
      <w:r>
        <w:rPr>
          <w:sz w:val="22"/>
          <w:szCs w:val="24"/>
        </w:rPr>
        <w:t>Le tableau ci-dessous liste les indemnités portant la majoration de traitement en fonction du support juridique, celles portées par le CGFP et celles portées par le Décret 67-600 et l'arrêté du 28 juillet 1967 :</w:t>
      </w:r>
    </w:p>
    <w:p>
      <w:pPr>
        <w:jc w:val="both"/>
        <w:rPr>
          <w:sz w:val="22"/>
          <w:szCs w:val="24"/>
        </w:rPr>
      </w:pPr>
    </w:p>
    <w:p>
      <w:pPr>
        <w:jc w:val="both"/>
        <w:rPr>
          <w:rFonts w:cs="Times New Roman"/>
          <w:b/>
          <w:bCs/>
          <w:sz w:val="24"/>
          <w:szCs w:val="24"/>
        </w:rPr>
      </w:pPr>
      <w:r>
        <w:rPr>
          <w:rFonts w:cs="Times New Roman"/>
          <w:b/>
          <w:bCs/>
          <w:sz w:val="24"/>
          <w:szCs w:val="24"/>
        </w:rPr>
        <w:t>1.3.3.2. Détermination du Traitement indiciaire</w:t>
      </w:r>
    </w:p>
    <w:p>
      <w:pPr>
        <w:jc w:val="both"/>
        <w:rPr>
          <w:sz w:val="22"/>
          <w:szCs w:val="24"/>
        </w:rPr>
      </w:pPr>
      <w:r>
        <w:rPr>
          <w:noProof/>
          <w:sz w:val="22"/>
          <w:szCs w:val="24"/>
        </w:rPr>
        <mc:AlternateContent>
          <mc:Choice Requires="wps">
            <w:drawing>
              <wp:anchor distT="0" distB="0" distL="114300" distR="114300" simplePos="0" relativeHeight="252247040" behindDoc="0" locked="0" layoutInCell="1" allowOverlap="1">
                <wp:simplePos x="0" y="0"/>
                <wp:positionH relativeFrom="margin">
                  <wp:posOffset>24130</wp:posOffset>
                </wp:positionH>
                <wp:positionV relativeFrom="paragraph">
                  <wp:posOffset>229870</wp:posOffset>
                </wp:positionV>
                <wp:extent cx="6076950" cy="2028825"/>
                <wp:effectExtent l="19050" t="19050" r="19050" b="28575"/>
                <wp:wrapNone/>
                <wp:docPr id="38" name="Rectangle : coins arrondis 38"/>
                <wp:cNvGraphicFramePr/>
                <a:graphic xmlns:a="http://schemas.openxmlformats.org/drawingml/2006/main">
                  <a:graphicData uri="http://schemas.microsoft.com/office/word/2010/wordprocessingShape">
                    <wps:wsp>
                      <wps:cNvSpPr/>
                      <wps:spPr>
                        <a:xfrm>
                          <a:off x="0" y="0"/>
                          <a:ext cx="6076950" cy="2028825"/>
                        </a:xfrm>
                        <a:prstGeom prst="roundRect">
                          <a:avLst/>
                        </a:prstGeom>
                        <a:solidFill>
                          <a:sysClr val="window" lastClr="FFFFFF"/>
                        </a:solidFill>
                        <a:ln w="31750" cap="flat" cmpd="sng" algn="ctr">
                          <a:solidFill>
                            <a:srgbClr val="70AD47">
                              <a:lumMod val="75000"/>
                            </a:srgbClr>
                          </a:solidFill>
                          <a:prstDash val="solid"/>
                          <a:miter lim="800000"/>
                        </a:ln>
                        <a:effectLst/>
                      </wps:spPr>
                      <wps:txbx>
                        <w:txbxContent>
                          <w:p>
                            <w:pPr>
                              <w:spacing w:after="0"/>
                              <w:jc w:val="center"/>
                              <w:rPr>
                                <w:b/>
                                <w:bCs/>
                                <w:color w:val="000000" w:themeColor="text1"/>
                                <w:sz w:val="24"/>
                                <w:szCs w:val="24"/>
                                <w:u w:val="single"/>
                              </w:rPr>
                            </w:pPr>
                            <w:r>
                              <w:rPr>
                                <w:b/>
                                <w:bCs/>
                                <w:color w:val="000000" w:themeColor="text1"/>
                                <w:sz w:val="24"/>
                                <w:szCs w:val="24"/>
                                <w:u w:val="single"/>
                              </w:rPr>
                              <w:t>Calcul de la majoration du traitement brut</w:t>
                            </w:r>
                          </w:p>
                          <w:p>
                            <w:pPr>
                              <w:spacing w:after="0"/>
                              <w:jc w:val="center"/>
                              <w:rPr>
                                <w:color w:val="000000" w:themeColor="text1"/>
                                <w:sz w:val="22"/>
                              </w:rPr>
                            </w:pPr>
                            <w:r>
                              <w:rPr>
                                <w:color w:val="000000" w:themeColor="text1"/>
                                <w:sz w:val="22"/>
                              </w:rPr>
                              <w:t>d’un agent accomplissant une modalité de service d’un temps plein dans les DOM</w:t>
                            </w:r>
                          </w:p>
                          <w:p>
                            <w:pPr>
                              <w:spacing w:after="0"/>
                              <w:jc w:val="center"/>
                              <w:rPr>
                                <w:color w:val="000000" w:themeColor="text1"/>
                                <w:sz w:val="22"/>
                              </w:rPr>
                            </w:pPr>
                          </w:p>
                          <w:p>
                            <w:pPr>
                              <w:spacing w:after="0"/>
                              <w:rPr>
                                <w:color w:val="000000" w:themeColor="text1"/>
                                <w:sz w:val="22"/>
                              </w:rPr>
                            </w:pPr>
                            <w:r>
                              <w:rPr>
                                <w:color w:val="000000" w:themeColor="text1"/>
                                <w:sz w:val="22"/>
                              </w:rPr>
                              <w:t>TBA = Valeur annuelle du point fonction publique afférent à l’indice 100 multiplié par l’indice nouveau majoré (INM) divisé par 100 multiplié par le coefficient de majoration soit :</w:t>
                            </w:r>
                          </w:p>
                          <w:p>
                            <w:pPr>
                              <w:spacing w:after="0"/>
                              <w:rPr>
                                <w:color w:val="000000" w:themeColor="text1"/>
                                <w:sz w:val="22"/>
                              </w:rPr>
                            </w:pPr>
                            <w:r>
                              <w:rPr>
                                <w:color w:val="000000" w:themeColor="text1"/>
                                <w:sz w:val="22"/>
                              </w:rPr>
                              <w:t>TBA = (5907,34 € x INM de l’agent) / 100 x 1.25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 coins arrondis 38" o:spid="_x0000_s1032" style="position:absolute;left:0;text-align:left;margin-left:1.9pt;margin-top:18.1pt;width:478.5pt;height:159.75pt;z-index:252247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" fillcolor="window" strokecolor="#548235" strokeweight="2.5pt">
                <v:stroke joinstyle="miter"/>
                <v:textbox>
                  <w:txbxContent>
                    <w:p>
                      <w:pPr>
                        <w:spacing w:after="0"/>
                        <w:jc w:val="center"/>
                        <w:rPr>
                          <w:b/>
                          <w:bCs/>
                          <w:color w:val="000000" w:themeColor="text1"/>
                          <w:sz w:val="24"/>
                          <w:szCs w:val="24"/>
                          <w:u w:val="single"/>
                        </w:rPr>
                      </w:pPr>
                      <w:r>
                        <w:rPr>
                          <w:b/>
                          <w:bCs/>
                          <w:color w:val="000000" w:themeColor="text1"/>
                          <w:sz w:val="24"/>
                          <w:szCs w:val="24"/>
                          <w:u w:val="single"/>
                        </w:rPr>
                        <w:t>Calcul de la majoration du traitement brut</w:t>
                      </w:r>
                    </w:p>
                    <w:p>
                      <w:pPr>
                        <w:spacing w:after="0"/>
                        <w:jc w:val="center"/>
                        <w:rPr>
                          <w:color w:val="000000" w:themeColor="text1"/>
                          <w:sz w:val="22"/>
                        </w:rPr>
                      </w:pPr>
                      <w:r>
                        <w:rPr>
                          <w:color w:val="000000" w:themeColor="text1"/>
                          <w:sz w:val="22"/>
                        </w:rPr>
                        <w:t>d’un agent accomplissant une modalité de service d’un temps plein dans les DOM</w:t>
                      </w:r>
                    </w:p>
                    <w:p>
                      <w:pPr>
                        <w:spacing w:after="0"/>
                        <w:jc w:val="center"/>
                        <w:rPr>
                          <w:color w:val="000000" w:themeColor="text1"/>
                          <w:sz w:val="22"/>
                        </w:rPr>
                      </w:pPr>
                    </w:p>
                    <w:p>
                      <w:pPr>
                        <w:spacing w:after="0"/>
                        <w:rPr>
                          <w:color w:val="000000" w:themeColor="text1"/>
                          <w:sz w:val="22"/>
                        </w:rPr>
                      </w:pPr>
                      <w:r>
                        <w:rPr>
                          <w:color w:val="000000" w:themeColor="text1"/>
                          <w:sz w:val="22"/>
                        </w:rPr>
                        <w:t>TBA = Valeur annuelle du point fonction publique afférent à l’indice 100 multiplié par l’indice nouveau majoré (INM) divisé par 100 multiplié par le coefficient de majoration soit :</w:t>
                      </w:r>
                    </w:p>
                    <w:p>
                      <w:pPr>
                        <w:spacing w:after="0"/>
                        <w:rPr>
                          <w:color w:val="000000" w:themeColor="text1"/>
                          <w:sz w:val="22"/>
                        </w:rPr>
                      </w:pPr>
                      <w:r>
                        <w:rPr>
                          <w:color w:val="000000" w:themeColor="text1"/>
                          <w:sz w:val="22"/>
                        </w:rPr>
                        <w:t>TBA = (5907,34 € x INM de l’agent) / 100 x 1.25</w:t>
                      </w:r>
                    </w:p>
                  </w:txbxContent>
                </v:textbox>
                <w10:wrap anchorx="margin"/>
              </v:roundrect>
            </w:pict>
          </mc:Fallback>
        </mc:AlternateContent>
      </w:r>
    </w:p>
    <w:p>
      <w:pPr>
        <w:jc w:val="both"/>
        <w:rPr>
          <w:sz w:val="22"/>
          <w:szCs w:val="24"/>
        </w:rPr>
      </w:pPr>
    </w:p>
    <w:p>
      <w:pPr>
        <w:jc w:val="both"/>
        <w:rPr>
          <w:sz w:val="22"/>
          <w:szCs w:val="24"/>
          <w:highlight w:val="yellow"/>
        </w:rPr>
      </w:pPr>
    </w:p>
    <w:p>
      <w:pPr>
        <w:jc w:val="both"/>
        <w:rPr>
          <w:sz w:val="22"/>
          <w:szCs w:val="24"/>
          <w:highlight w:val="yellow"/>
        </w:rPr>
      </w:pPr>
    </w:p>
    <w:p>
      <w:pPr>
        <w:jc w:val="both"/>
        <w:rPr>
          <w:sz w:val="22"/>
          <w:szCs w:val="24"/>
          <w:highlight w:val="yellow"/>
        </w:rPr>
      </w:pPr>
    </w:p>
    <w:p>
      <w:pPr>
        <w:jc w:val="both"/>
        <w:rPr>
          <w:sz w:val="22"/>
          <w:szCs w:val="24"/>
          <w:highlight w:val="yellow"/>
        </w:rPr>
      </w:pPr>
    </w:p>
    <w:p>
      <w:pPr>
        <w:jc w:val="both"/>
        <w:rPr>
          <w:sz w:val="22"/>
          <w:szCs w:val="24"/>
          <w:highlight w:val="yellow"/>
        </w:rPr>
      </w:pPr>
    </w:p>
    <w:p>
      <w:pPr>
        <w:jc w:val="both"/>
        <w:rPr>
          <w:rFonts w:cs="Times New Roman"/>
          <w:b/>
          <w:bCs/>
          <w:sz w:val="24"/>
          <w:szCs w:val="24"/>
        </w:rPr>
      </w:pPr>
    </w:p>
    <w:p>
      <w:pPr>
        <w:jc w:val="both"/>
        <w:rPr>
          <w:rFonts w:cs="Times New Roman"/>
          <w:b/>
          <w:bCs/>
          <w:sz w:val="24"/>
          <w:szCs w:val="24"/>
        </w:rPr>
      </w:pPr>
    </w:p>
    <w:p>
      <w:pPr>
        <w:jc w:val="both"/>
        <w:rPr>
          <w:rFonts w:cs="Times New Roman"/>
          <w:b/>
          <w:bCs/>
          <w:sz w:val="24"/>
          <w:szCs w:val="24"/>
        </w:rPr>
      </w:pPr>
    </w:p>
    <w:p>
      <w:pPr>
        <w:jc w:val="both"/>
        <w:rPr>
          <w:rFonts w:cs="Times New Roman"/>
          <w:b/>
          <w:bCs/>
          <w:sz w:val="24"/>
          <w:szCs w:val="24"/>
        </w:rPr>
      </w:pPr>
      <w:r>
        <w:rPr>
          <w:rFonts w:cs="Times New Roman"/>
          <w:b/>
          <w:bCs/>
          <w:sz w:val="24"/>
          <w:szCs w:val="24"/>
        </w:rPr>
        <w:lastRenderedPageBreak/>
        <w:t>1.3.3.3. Tableau des majorations de traitement dans les Départements et Collectivités d’outre-mer</w:t>
      </w:r>
    </w:p>
    <w:p>
      <w:pPr>
        <w:jc w:val="both"/>
        <w:rPr>
          <w:rFonts w:cs="Times New Roman"/>
          <w:b/>
          <w:bCs/>
          <w:sz w:val="24"/>
          <w:szCs w:val="24"/>
        </w:rPr>
      </w:pPr>
    </w:p>
    <w:p>
      <w:pPr>
        <w:jc w:val="both"/>
        <w:rPr>
          <w:sz w:val="22"/>
          <w:szCs w:val="24"/>
          <w:highlight w:val="yellow"/>
        </w:rPr>
      </w:pPr>
    </w:p>
    <w:p>
      <w:pPr>
        <w:jc w:val="both"/>
        <w:rPr>
          <w:sz w:val="22"/>
          <w:szCs w:val="24"/>
        </w:rPr>
      </w:pPr>
      <w:r>
        <w:rPr>
          <w:noProof/>
        </w:rPr>
        <w:drawing>
          <wp:inline distT="0" distB="0" distL="0" distR="0">
            <wp:extent cx="6120130" cy="2701925"/>
            <wp:effectExtent l="0" t="0" r="0" b="3175"/>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120130" cy="2701925"/>
                    </a:xfrm>
                    <a:prstGeom prst="rect">
                      <a:avLst/>
                    </a:prstGeom>
                    <a:noFill/>
                    <a:ln>
                      <a:noFill/>
                    </a:ln>
                  </pic:spPr>
                </pic:pic>
              </a:graphicData>
            </a:graphic>
          </wp:inline>
        </w:drawing>
      </w:r>
    </w:p>
    <w:p>
      <w:pPr>
        <w:jc w:val="both"/>
        <w:rPr>
          <w:sz w:val="22"/>
          <w:szCs w:val="24"/>
        </w:rPr>
      </w:pPr>
    </w:p>
    <w:p>
      <w:pPr>
        <w:keepNext/>
        <w:keepLines/>
        <w:spacing w:before="40" w:after="0" w:line="240" w:lineRule="auto"/>
        <w:ind w:left="360"/>
        <w:outlineLvl w:val="2"/>
        <w:rPr>
          <w:b/>
          <w:bCs/>
          <w:sz w:val="32"/>
        </w:rPr>
      </w:pPr>
      <w:r>
        <w:rPr>
          <w:sz w:val="22"/>
          <w:szCs w:val="24"/>
        </w:rPr>
        <w:br w:type="page"/>
      </w:r>
      <w:bookmarkStart w:id="51" w:name="_Toc225170940"/>
      <w:r>
        <w:rPr>
          <w:rFonts w:eastAsiaTheme="majorEastAsia" w:cstheme="majorBidi"/>
          <w:bCs/>
          <w:noProof/>
          <w:color w:val="FFFFFF" w:themeColor="background1"/>
          <w:sz w:val="36"/>
          <w:szCs w:val="24"/>
        </w:rPr>
        <w:lastRenderedPageBreak/>
        <mc:AlternateContent>
          <mc:Choice Requires="wps">
            <w:drawing>
              <wp:anchor distT="0" distB="0" distL="114300" distR="114300" simplePos="0" relativeHeight="252120064" behindDoc="1" locked="0" layoutInCell="1" allowOverlap="1">
                <wp:simplePos x="0" y="0"/>
                <wp:positionH relativeFrom="margin">
                  <wp:align>right</wp:align>
                </wp:positionH>
                <wp:positionV relativeFrom="paragraph">
                  <wp:posOffset>30537</wp:posOffset>
                </wp:positionV>
                <wp:extent cx="6113088" cy="341194"/>
                <wp:effectExtent l="0" t="0" r="2540" b="1905"/>
                <wp:wrapNone/>
                <wp:docPr id="44" name="Rectangle 4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13088" cy="341194"/>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4" o:spid="_x0000_s1026" alt="&quot;&quot;" style="position:absolute;margin-left:430.15pt;margin-top:2.4pt;width:481.35pt;height:26.85pt;z-index:-251196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" fillcolor="#5770be" stroked="f" strokeweight="1pt">
                <w10:wrap anchorx="margin"/>
              </v:rect>
            </w:pict>
          </mc:Fallback>
        </mc:AlternateContent>
      </w:r>
      <w:r>
        <w:rPr>
          <w:rFonts w:eastAsiaTheme="majorEastAsia" w:cstheme="majorBidi"/>
          <w:bCs/>
          <w:color w:val="FFFFFF" w:themeColor="background1"/>
          <w:sz w:val="36"/>
          <w:szCs w:val="24"/>
        </w:rPr>
        <w:t>1.3.4. Indemnité différentielle au SMIC</w:t>
      </w:r>
      <w:bookmarkEnd w:id="51"/>
      <w:r>
        <w:rPr>
          <w:bCs/>
          <w:color w:val="FFFFFF" w:themeColor="background1"/>
          <w:sz w:val="32"/>
        </w:rPr>
        <w:t xml:space="preserve">  </w:t>
      </w:r>
    </w:p>
    <w:p>
      <w:pPr>
        <w:jc w:val="both"/>
      </w:pPr>
    </w:p>
    <w:p>
      <w:pPr>
        <w:jc w:val="both"/>
        <w:rPr>
          <w:sz w:val="22"/>
          <w:szCs w:val="24"/>
        </w:rPr>
      </w:pPr>
      <w:r>
        <w:rPr>
          <w:sz w:val="22"/>
          <w:szCs w:val="24"/>
        </w:rPr>
        <w:t>L’indemnité différentielle au SMIC est un mécanisme correctif qui compense l’écart entre la rémunération brute de l’agent et le montant légal du SMIC et figure dans le bulletin de paye sous le code 200415.</w:t>
      </w:r>
    </w:p>
    <w:p>
      <w:pPr>
        <w:jc w:val="both"/>
        <w:rPr>
          <w:sz w:val="22"/>
          <w:szCs w:val="24"/>
        </w:rPr>
      </w:pPr>
      <w:r>
        <w:rPr>
          <w:sz w:val="22"/>
          <w:szCs w:val="24"/>
        </w:rPr>
        <w:t>Elle ne constitue pas une prime supplémentaire, mais une mise à niveau obligatoire prévue à l’article 1 du décret 91-769 du 02/08/1991 pour respecter le minimum légal de rémunération.</w:t>
      </w:r>
    </w:p>
    <w:p>
      <w:pPr>
        <w:jc w:val="both"/>
        <w:rPr>
          <w:sz w:val="22"/>
          <w:szCs w:val="24"/>
        </w:rPr>
      </w:pPr>
      <w:r>
        <w:rPr>
          <w:sz w:val="22"/>
          <w:szCs w:val="24"/>
        </w:rPr>
        <w:t>Elle sert à garantir qu’aucun agent public ne perçoive une rémunération inférieure au SMIC.</w:t>
      </w:r>
    </w:p>
    <w:p>
      <w:pPr>
        <w:jc w:val="both"/>
        <w:rPr>
          <w:sz w:val="22"/>
          <w:szCs w:val="24"/>
        </w:rPr>
      </w:pPr>
      <w:r>
        <w:rPr>
          <w:sz w:val="22"/>
          <w:szCs w:val="24"/>
        </w:rPr>
        <w:t>En effet cette dernière intervient lorsque la rémunération mensuelle qui est allouée à l’agent est inférieure au montant du salaire minimum de croissance servi.</w:t>
      </w:r>
    </w:p>
    <w:p>
      <w:pPr>
        <w:jc w:val="both"/>
      </w:pPr>
      <w:r>
        <w:rPr>
          <w:sz w:val="22"/>
          <w:szCs w:val="24"/>
        </w:rPr>
        <w:t xml:space="preserve"> </w:t>
      </w:r>
    </w:p>
    <w:p>
      <w:pPr>
        <w:jc w:val="both"/>
        <w:rPr>
          <w:sz w:val="22"/>
          <w:szCs w:val="24"/>
        </w:rPr>
      </w:pPr>
    </w:p>
    <w:p>
      <w:pPr>
        <w:jc w:val="center"/>
      </w:pPr>
      <w:r>
        <w:t>*******************************</w:t>
      </w:r>
    </w:p>
    <w:p>
      <w:pPr>
        <w:jc w:val="center"/>
        <w:rPr>
          <w:sz w:val="22"/>
          <w:szCs w:val="24"/>
        </w:rPr>
      </w:pPr>
    </w:p>
    <w:p>
      <w:pPr>
        <w:jc w:val="both"/>
        <w:rPr>
          <w:sz w:val="22"/>
          <w:szCs w:val="24"/>
        </w:rPr>
      </w:pPr>
      <w:r>
        <w:rPr>
          <w:sz w:val="22"/>
          <w:szCs w:val="24"/>
        </w:rPr>
        <w:t xml:space="preserve">La fiche relative à l’indemnité 200415 est publiée dans </w:t>
      </w:r>
      <w:bookmarkStart w:id="52" w:name="_Hlk224829716"/>
      <w:r>
        <w:rPr>
          <w:sz w:val="22"/>
          <w:szCs w:val="24"/>
        </w:rPr>
        <w:t>le « Recueil des fiches RdP Interministériel »</w:t>
      </w:r>
    </w:p>
    <w:bookmarkEnd w:id="52"/>
    <w:p>
      <w:pPr>
        <w:jc w:val="both"/>
        <w:rPr>
          <w:sz w:val="22"/>
          <w:szCs w:val="24"/>
        </w:rPr>
      </w:pPr>
    </w:p>
    <w:p>
      <w:pPr>
        <w:jc w:val="center"/>
        <w:rPr>
          <w:sz w:val="22"/>
          <w:szCs w:val="24"/>
        </w:rPr>
      </w:pPr>
      <w:r>
        <w:t>*******************************</w:t>
      </w:r>
    </w:p>
    <w:p>
      <w:pPr>
        <w:jc w:val="both"/>
        <w:rPr>
          <w:sz w:val="22"/>
          <w:szCs w:val="24"/>
        </w:rPr>
      </w:pPr>
    </w:p>
    <w:p>
      <w:pPr>
        <w:pStyle w:val="Paragraphedeliste"/>
        <w:shd w:val="clear" w:color="auto" w:fill="91AE4F"/>
        <w:ind w:left="0"/>
        <w:jc w:val="center"/>
        <w:rPr>
          <w:b/>
          <w:bCs/>
          <w:i/>
          <w:iCs/>
          <w:color w:val="FFFFFF" w:themeColor="background1"/>
          <w:sz w:val="24"/>
          <w:szCs w:val="24"/>
        </w:rPr>
      </w:pPr>
      <w:r>
        <w:rPr>
          <w:b/>
          <w:bCs/>
          <w:i/>
          <w:iCs/>
          <w:color w:val="FFFFFF" w:themeColor="background1"/>
          <w:sz w:val="24"/>
          <w:szCs w:val="24"/>
        </w:rPr>
        <w:t xml:space="preserve">Le « Recueil des fiches RdP Interministériel » est disponible sur le Portail BARRI et accessible depuis le lien figurant dans le chapitre </w:t>
      </w:r>
      <w:hyperlink w:anchor="POURALLERPLUSLOIN" w:history="1">
        <w:r>
          <w:rPr>
            <w:rStyle w:val="Lienhypertexte"/>
            <w:b/>
            <w:bCs/>
            <w:i/>
            <w:iCs/>
            <w:sz w:val="24"/>
            <w:szCs w:val="24"/>
          </w:rPr>
          <w:t>«  Pour aller plus loin »</w:t>
        </w:r>
      </w:hyperlink>
    </w:p>
    <w:p/>
    <w:p/>
    <w:p/>
    <w:p/>
    <w:p>
      <w:r>
        <w:br w:type="page"/>
      </w:r>
    </w:p>
    <w:bookmarkStart w:id="53" w:name="_Toc225170941"/>
    <w:p>
      <w:pPr>
        <w:pStyle w:val="Style3"/>
        <w:ind w:left="360"/>
        <w:rPr>
          <w:b w:val="0"/>
          <w:bCs/>
          <w:szCs w:val="36"/>
        </w:rPr>
      </w:pPr>
      <w:r>
        <w:rPr>
          <w:b w:val="0"/>
          <w:bCs/>
          <w:noProof/>
          <w:szCs w:val="36"/>
        </w:rPr>
        <w:lastRenderedPageBreak/>
        <mc:AlternateContent>
          <mc:Choice Requires="wps">
            <w:drawing>
              <wp:anchor distT="0" distB="0" distL="114300" distR="114300" simplePos="0" relativeHeight="252122112" behindDoc="1" locked="0" layoutInCell="1" allowOverlap="1">
                <wp:simplePos x="0" y="0"/>
                <wp:positionH relativeFrom="margin">
                  <wp:align>right</wp:align>
                </wp:positionH>
                <wp:positionV relativeFrom="paragraph">
                  <wp:posOffset>5080</wp:posOffset>
                </wp:positionV>
                <wp:extent cx="6113088" cy="637953"/>
                <wp:effectExtent l="0" t="0" r="2540" b="0"/>
                <wp:wrapNone/>
                <wp:docPr id="46" name="Rectangle 4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13088" cy="637953"/>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6" o:spid="_x0000_s1026" alt="&quot;&quot;" style="position:absolute;margin-left:430.15pt;margin-top:.4pt;width:481.35pt;height:50.25pt;z-index:-251194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" fillcolor="#5770be" stroked="f" strokeweight="1pt">
                <w10:wrap anchorx="margin"/>
              </v:rect>
            </w:pict>
          </mc:Fallback>
        </mc:AlternateContent>
      </w:r>
      <w:r>
        <w:rPr>
          <w:b w:val="0"/>
          <w:bCs/>
          <w:szCs w:val="36"/>
        </w:rPr>
        <w:t>1.3.5. Complément indemnité de résidence (pour étranger)</w:t>
      </w:r>
      <w:bookmarkEnd w:id="53"/>
    </w:p>
    <w:p>
      <w:pPr>
        <w:jc w:val="both"/>
        <w:rPr>
          <w:sz w:val="22"/>
          <w:szCs w:val="24"/>
        </w:rPr>
      </w:pPr>
    </w:p>
    <w:p>
      <w:pPr>
        <w:jc w:val="both"/>
        <w:rPr>
          <w:sz w:val="22"/>
          <w:szCs w:val="24"/>
        </w:rPr>
      </w:pPr>
    </w:p>
    <w:p>
      <w:pPr>
        <w:jc w:val="both"/>
        <w:rPr>
          <w:sz w:val="22"/>
          <w:szCs w:val="24"/>
        </w:rPr>
      </w:pPr>
      <w:r>
        <w:rPr>
          <w:sz w:val="22"/>
          <w:szCs w:val="24"/>
        </w:rPr>
        <w:t>Le complément d’indemnité de résidence à l’étranger est une compensation financière, reflètant les réalités économiques liées à la vie à l’étranger, prévue par le décret 67-290 du 28/03/1967.</w:t>
      </w:r>
    </w:p>
    <w:p>
      <w:pPr>
        <w:jc w:val="both"/>
        <w:rPr>
          <w:sz w:val="22"/>
          <w:szCs w:val="24"/>
        </w:rPr>
      </w:pPr>
      <w:r>
        <w:rPr>
          <w:sz w:val="22"/>
          <w:szCs w:val="24"/>
        </w:rPr>
        <w:t>Elle est versée aux agents de l’Etat français résidents à l’étranger et figure dans le bulletin de paye sous le code 200714.</w:t>
      </w:r>
    </w:p>
    <w:p>
      <w:pPr>
        <w:jc w:val="both"/>
        <w:rPr>
          <w:sz w:val="22"/>
          <w:szCs w:val="24"/>
        </w:rPr>
      </w:pPr>
      <w:r>
        <w:rPr>
          <w:sz w:val="22"/>
          <w:szCs w:val="24"/>
        </w:rPr>
        <w:t xml:space="preserve">Ce complément indemnitaire permet de garantir un niveau de vie adapté aux contextes économique par un ajustement réguliers des taux de l’indemnité d’expatriation et de l’indemnité de résidence à l’étranger par pays et par groupe. </w:t>
      </w:r>
    </w:p>
    <w:p>
      <w:pPr>
        <w:jc w:val="both"/>
        <w:rPr>
          <w:sz w:val="22"/>
          <w:szCs w:val="24"/>
        </w:rPr>
      </w:pPr>
    </w:p>
    <w:p>
      <w:pPr>
        <w:jc w:val="center"/>
      </w:pPr>
      <w:r>
        <w:t>*******************************</w:t>
      </w:r>
    </w:p>
    <w:p>
      <w:pPr>
        <w:jc w:val="center"/>
        <w:rPr>
          <w:sz w:val="22"/>
          <w:szCs w:val="24"/>
        </w:rPr>
      </w:pPr>
    </w:p>
    <w:p>
      <w:pPr>
        <w:rPr>
          <w:sz w:val="22"/>
          <w:szCs w:val="24"/>
        </w:rPr>
      </w:pPr>
      <w:r>
        <w:rPr>
          <w:sz w:val="22"/>
          <w:szCs w:val="24"/>
        </w:rPr>
        <w:t xml:space="preserve">La fiche relative à l’indemnité 200714 est publiée dans </w:t>
      </w:r>
      <w:bookmarkStart w:id="54" w:name="_Hlk224829824"/>
      <w:r>
        <w:rPr>
          <w:sz w:val="22"/>
          <w:szCs w:val="24"/>
        </w:rPr>
        <w:t>le « Recueil des fiches RdP Interministériel »</w:t>
      </w:r>
    </w:p>
    <w:bookmarkEnd w:id="54"/>
    <w:p>
      <w:pPr>
        <w:rPr>
          <w:sz w:val="22"/>
          <w:szCs w:val="24"/>
        </w:rPr>
      </w:pPr>
    </w:p>
    <w:p>
      <w:pPr>
        <w:jc w:val="center"/>
        <w:rPr>
          <w:sz w:val="22"/>
          <w:szCs w:val="24"/>
        </w:rPr>
      </w:pPr>
      <w:r>
        <w:t>*******************************</w:t>
      </w:r>
    </w:p>
    <w:p>
      <w:pPr>
        <w:rPr>
          <w:color w:val="FFFFFF" w:themeColor="background1"/>
          <w:sz w:val="22"/>
          <w:szCs w:val="24"/>
        </w:rPr>
      </w:pPr>
    </w:p>
    <w:p>
      <w:pPr>
        <w:pStyle w:val="Paragraphedeliste"/>
        <w:shd w:val="clear" w:color="auto" w:fill="91AE4F"/>
        <w:ind w:left="0"/>
        <w:jc w:val="center"/>
        <w:rPr>
          <w:b/>
          <w:bCs/>
          <w:i/>
          <w:iCs/>
          <w:color w:val="FFFFFF" w:themeColor="background1"/>
          <w:sz w:val="24"/>
          <w:szCs w:val="24"/>
        </w:rPr>
      </w:pPr>
      <w:bookmarkStart w:id="55" w:name="_Hlk224830220"/>
      <w:r>
        <w:rPr>
          <w:b/>
          <w:bCs/>
          <w:i/>
          <w:iCs/>
          <w:color w:val="FFFFFF" w:themeColor="background1"/>
          <w:sz w:val="24"/>
          <w:szCs w:val="24"/>
        </w:rPr>
        <w:t xml:space="preserve">Le « Recueil des fiches RdP Interministériel » est disponible sur le Portail BARRI et accessible depuis le lien figurant dans le chapitre </w:t>
      </w:r>
      <w:hyperlink w:anchor="POURALLERPLUSLOIN" w:history="1">
        <w:r>
          <w:rPr>
            <w:rStyle w:val="Lienhypertexte"/>
            <w:b/>
            <w:bCs/>
            <w:i/>
            <w:iCs/>
            <w:sz w:val="24"/>
            <w:szCs w:val="24"/>
          </w:rPr>
          <w:t>«  Pour aller plus loin »</w:t>
        </w:r>
      </w:hyperlink>
    </w:p>
    <w:bookmarkEnd w:id="55"/>
    <w:p>
      <w:pPr>
        <w:jc w:val="both"/>
        <w:rPr>
          <w:sz w:val="22"/>
          <w:szCs w:val="24"/>
        </w:rPr>
      </w:pPr>
    </w:p>
    <w:p>
      <w:pPr>
        <w:jc w:val="both"/>
        <w:rPr>
          <w:sz w:val="22"/>
          <w:szCs w:val="24"/>
        </w:rPr>
      </w:pPr>
    </w:p>
    <w:p>
      <w:pPr>
        <w:jc w:val="both"/>
        <w:rPr>
          <w:sz w:val="22"/>
          <w:szCs w:val="24"/>
        </w:rPr>
      </w:pPr>
    </w:p>
    <w:p>
      <w:pPr>
        <w:jc w:val="both"/>
        <w:rPr>
          <w:sz w:val="22"/>
          <w:szCs w:val="24"/>
        </w:rPr>
      </w:pPr>
    </w:p>
    <w:p>
      <w:pPr>
        <w:jc w:val="both"/>
        <w:rPr>
          <w:sz w:val="22"/>
          <w:szCs w:val="24"/>
        </w:rPr>
      </w:pPr>
    </w:p>
    <w:p>
      <w:pPr>
        <w:jc w:val="both"/>
        <w:rPr>
          <w:sz w:val="22"/>
          <w:szCs w:val="24"/>
        </w:rPr>
      </w:pPr>
    </w:p>
    <w:p>
      <w:pPr>
        <w:rPr>
          <w:sz w:val="22"/>
          <w:szCs w:val="24"/>
        </w:rPr>
      </w:pPr>
      <w:r>
        <w:rPr>
          <w:sz w:val="22"/>
          <w:szCs w:val="24"/>
        </w:rPr>
        <w:br w:type="page"/>
      </w:r>
    </w:p>
    <w:p>
      <w:r>
        <w:rPr>
          <w:noProof/>
        </w:rPr>
        <w:lastRenderedPageBreak/>
        <mc:AlternateContent>
          <mc:Choice Requires="wps">
            <w:drawing>
              <wp:anchor distT="0" distB="0" distL="114300" distR="114300" simplePos="0" relativeHeight="252063744" behindDoc="1" locked="0" layoutInCell="1" allowOverlap="1">
                <wp:simplePos x="0" y="0"/>
                <wp:positionH relativeFrom="column">
                  <wp:posOffset>-733425</wp:posOffset>
                </wp:positionH>
                <wp:positionV relativeFrom="paragraph">
                  <wp:posOffset>-901065</wp:posOffset>
                </wp:positionV>
                <wp:extent cx="7581900" cy="10906125"/>
                <wp:effectExtent l="0" t="0" r="19050" b="28575"/>
                <wp:wrapNone/>
                <wp:docPr id="28" name="Rectangle 28"/>
                <wp:cNvGraphicFramePr/>
                <a:graphic xmlns:a="http://schemas.openxmlformats.org/drawingml/2006/main">
                  <a:graphicData uri="http://schemas.microsoft.com/office/word/2010/wordprocessingShape">
                    <wps:wsp>
                      <wps:cNvSpPr/>
                      <wps:spPr>
                        <a:xfrm>
                          <a:off x="0" y="0"/>
                          <a:ext cx="7581900" cy="10906125"/>
                        </a:xfrm>
                        <a:prstGeom prst="rect">
                          <a:avLst/>
                        </a:prstGeom>
                        <a:solidFill>
                          <a:srgbClr val="91AE4F">
                            <a:alpha val="60000"/>
                          </a:srgb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8" o:spid="_x0000_s1026" style="position:absolute;margin-left:-57.75pt;margin-top:-70.95pt;width:597pt;height:858.75pt;z-index:-2512527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" fillcolor="#91ae4f" strokecolor="#1f3763 [1604]" strokeweight="1pt">
                <v:fill opacity="39321f"/>
              </v:rect>
            </w:pict>
          </mc:Fallback>
        </mc:AlternateContent>
      </w:r>
    </w:p>
    <w:p/>
    <w:p/>
    <w:p>
      <w:pPr>
        <w:pStyle w:val="Style1"/>
        <w:jc w:val="right"/>
        <w:outlineLvl w:val="9"/>
      </w:pPr>
    </w:p>
    <w:p>
      <w:pPr>
        <w:pStyle w:val="Style1"/>
        <w:jc w:val="right"/>
        <w:outlineLvl w:val="9"/>
      </w:pPr>
    </w:p>
    <w:p/>
    <w:p>
      <w:pPr>
        <w:pStyle w:val="Style1"/>
        <w:jc w:val="right"/>
        <w:rPr>
          <w:sz w:val="22"/>
          <w:szCs w:val="24"/>
        </w:rPr>
      </w:pPr>
      <w:bookmarkStart w:id="56" w:name="_Toc225170942"/>
      <w:r>
        <w:t>2. SALAIRE DES CONTRACTUELS DE DROIT PUBLIC</w:t>
      </w:r>
      <w:bookmarkEnd w:id="56"/>
      <w:r>
        <w:br/>
      </w:r>
      <w:r>
        <w:rPr>
          <w:color w:val="FF0000"/>
          <w:sz w:val="32"/>
          <w:szCs w:val="32"/>
        </w:rPr>
        <w:t xml:space="preserve"> </w:t>
      </w:r>
      <w:r>
        <w:br w:type="page"/>
      </w:r>
    </w:p>
    <w:bookmarkStart w:id="57" w:name="_Toc225170943"/>
    <w:p>
      <w:pPr>
        <w:pStyle w:val="Style2"/>
        <w:ind w:left="426"/>
      </w:pPr>
      <w:r>
        <w:rPr>
          <w:noProof/>
        </w:rPr>
        <w:lastRenderedPageBreak/>
        <mc:AlternateContent>
          <mc:Choice Requires="wps">
            <w:drawing>
              <wp:anchor distT="0" distB="0" distL="114300" distR="114300" simplePos="0" relativeHeight="252062720" behindDoc="0" locked="0" layoutInCell="1" allowOverlap="1">
                <wp:simplePos x="0" y="0"/>
                <wp:positionH relativeFrom="column">
                  <wp:posOffset>-310514</wp:posOffset>
                </wp:positionH>
                <wp:positionV relativeFrom="paragraph">
                  <wp:posOffset>50165</wp:posOffset>
                </wp:positionV>
                <wp:extent cx="550684" cy="576000"/>
                <wp:effectExtent l="19050" t="0" r="1905" b="33655"/>
                <wp:wrapNone/>
                <wp:docPr id="29" name="Larm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29" o:spid="_x0000_s1026" alt="&quot;&quot;" style="position:absolute;margin-left:-24.45pt;margin-top:3.95pt;width:43.35pt;height:45.35pt;rotation:11557929fd;z-index:25206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2.1. Contractuels de droit public</w:t>
      </w:r>
      <w:bookmarkEnd w:id="57"/>
    </w:p>
    <w:p/>
    <w:p>
      <w:pPr>
        <w:jc w:val="both"/>
        <w:rPr>
          <w:sz w:val="22"/>
          <w:szCs w:val="24"/>
        </w:rPr>
      </w:pPr>
    </w:p>
    <w:p>
      <w:pPr>
        <w:jc w:val="both"/>
        <w:rPr>
          <w:sz w:val="22"/>
          <w:szCs w:val="24"/>
        </w:rPr>
      </w:pPr>
      <w:r>
        <w:rPr>
          <w:sz w:val="22"/>
          <w:szCs w:val="24"/>
        </w:rPr>
        <w:t>Les contractuels de l’État (ou ex non titulaires) de droit public, recrutés par contrat et non sur concours, perçoivent une rémunération fixée par des dispositions légales et réglementaires qui leur sont propres.</w:t>
      </w:r>
    </w:p>
    <w:p>
      <w:pPr>
        <w:jc w:val="both"/>
        <w:rPr>
          <w:sz w:val="22"/>
          <w:szCs w:val="24"/>
        </w:rPr>
      </w:pPr>
    </w:p>
    <w:p>
      <w:pPr>
        <w:jc w:val="both"/>
        <w:rPr>
          <w:sz w:val="22"/>
          <w:szCs w:val="24"/>
        </w:rPr>
      </w:pPr>
      <w:r>
        <w:rPr>
          <w:sz w:val="22"/>
          <w:szCs w:val="24"/>
        </w:rPr>
        <w:t xml:space="preserve">La rémunération principale est composée : </w:t>
      </w:r>
    </w:p>
    <w:p>
      <w:pPr>
        <w:pStyle w:val="Paragraphedeliste"/>
        <w:numPr>
          <w:ilvl w:val="0"/>
          <w:numId w:val="20"/>
        </w:numPr>
        <w:rPr>
          <w:sz w:val="22"/>
        </w:rPr>
      </w:pPr>
      <w:r>
        <w:rPr>
          <w:sz w:val="22"/>
        </w:rPr>
        <w:t>du salaire</w:t>
      </w:r>
    </w:p>
    <w:p>
      <w:pPr>
        <w:pStyle w:val="Paragraphedeliste"/>
        <w:numPr>
          <w:ilvl w:val="0"/>
          <w:numId w:val="20"/>
        </w:numPr>
        <w:jc w:val="both"/>
        <w:rPr>
          <w:sz w:val="22"/>
        </w:rPr>
      </w:pPr>
      <w:r>
        <w:rPr>
          <w:sz w:val="22"/>
          <w:szCs w:val="24"/>
        </w:rPr>
        <w:t>éventuellement de l’indemnité de résidence, du supplément familial de traitement, de la bonification indiciaire (Nouvelle Bonification Indiciaire (NBI) ou Bonification Indiciaire (BI)), de l’indemnité différentielle au SMIC</w:t>
      </w:r>
    </w:p>
    <w:p>
      <w:pPr>
        <w:pStyle w:val="Paragraphedeliste"/>
        <w:numPr>
          <w:ilvl w:val="0"/>
          <w:numId w:val="20"/>
        </w:numPr>
        <w:rPr>
          <w:sz w:val="22"/>
        </w:rPr>
      </w:pPr>
      <w:r>
        <w:rPr>
          <w:sz w:val="22"/>
        </w:rPr>
        <w:t>le cas échéant de primes et indemnités</w:t>
      </w:r>
    </w:p>
    <w:p>
      <w:pPr>
        <w:pStyle w:val="Paragraphedeliste"/>
        <w:rPr>
          <w:sz w:val="22"/>
        </w:rPr>
      </w:pPr>
    </w:p>
    <w:p>
      <w:pPr>
        <w:jc w:val="both"/>
      </w:pPr>
      <w:r>
        <w:rPr>
          <w:sz w:val="22"/>
        </w:rPr>
        <w:t>Ce chapitre précise les références juridiques et la détermination du salaire.</w:t>
      </w:r>
    </w:p>
    <w:p/>
    <w:bookmarkStart w:id="58" w:name="_Toc225170944"/>
    <w:p>
      <w:pPr>
        <w:pStyle w:val="Style3"/>
        <w:ind w:left="426"/>
        <w:rPr>
          <w:b w:val="0"/>
          <w:bCs/>
        </w:rPr>
      </w:pPr>
      <w:r>
        <w:rPr>
          <w:noProof/>
        </w:rPr>
        <mc:AlternateContent>
          <mc:Choice Requires="wps">
            <w:drawing>
              <wp:anchor distT="0" distB="0" distL="114300" distR="114300" simplePos="0" relativeHeight="252214272" behindDoc="1" locked="0" layoutInCell="1" allowOverlap="1">
                <wp:simplePos x="0" y="0"/>
                <wp:positionH relativeFrom="margin">
                  <wp:align>right</wp:align>
                </wp:positionH>
                <wp:positionV relativeFrom="paragraph">
                  <wp:posOffset>30537</wp:posOffset>
                </wp:positionV>
                <wp:extent cx="6113088" cy="341194"/>
                <wp:effectExtent l="0" t="0" r="2540" b="1905"/>
                <wp:wrapNone/>
                <wp:docPr id="34" name="Rectangle 3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13088" cy="341194"/>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4" o:spid="_x0000_s1026" alt="&quot;&quot;" style="position:absolute;margin-left:430.15pt;margin-top:2.4pt;width:481.35pt;height:26.85pt;z-index:-251102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" fillcolor="#5770be" stroked="f" strokeweight="1pt">
                <w10:wrap anchorx="margin"/>
              </v:rect>
            </w:pict>
          </mc:Fallback>
        </mc:AlternateContent>
      </w:r>
      <w:r>
        <w:rPr>
          <w:b w:val="0"/>
          <w:bCs/>
        </w:rPr>
        <w:t>2.1.1. Bases juridiques</w:t>
      </w:r>
      <w:bookmarkEnd w:id="58"/>
    </w:p>
    <w:p>
      <w:pPr>
        <w:jc w:val="both"/>
        <w:rPr>
          <w:rFonts w:cs="Times New Roman"/>
          <w:sz w:val="22"/>
        </w:rPr>
      </w:pPr>
    </w:p>
    <w:p>
      <w:pPr>
        <w:jc w:val="both"/>
        <w:rPr>
          <w:sz w:val="22"/>
          <w:szCs w:val="24"/>
          <w:u w:val="single"/>
        </w:rPr>
      </w:pPr>
    </w:p>
    <w:bookmarkStart w:id="59" w:name="_Hlk212211681"/>
    <w:p>
      <w:pPr>
        <w:pStyle w:val="Paragraphedeliste"/>
        <w:numPr>
          <w:ilvl w:val="0"/>
          <w:numId w:val="21"/>
        </w:numPr>
        <w:jc w:val="both"/>
        <w:rPr>
          <w:rStyle w:val="Lienhypertexte"/>
          <w:color w:val="auto"/>
          <w:sz w:val="22"/>
          <w:szCs w:val="24"/>
        </w:rPr>
      </w:pPr>
      <w:r>
        <w:fldChar w:fldCharType="begin"/>
      </w:r>
      <w:r>
        <w:instrText xml:space="preserve"> HYPERLINK "https://www.legifrance.gouv.fr/codes/article_lc/LEGIARTI000044424781/2022-03-01" </w:instrText>
      </w:r>
      <w:r>
        <w:fldChar w:fldCharType="separate"/>
      </w:r>
      <w:r>
        <w:rPr>
          <w:rStyle w:val="Lienhypertexte"/>
          <w:sz w:val="22"/>
          <w:szCs w:val="24"/>
        </w:rPr>
        <w:t>CGFP article L713-1</w:t>
      </w:r>
      <w:r>
        <w:rPr>
          <w:rStyle w:val="Lienhypertexte"/>
          <w:sz w:val="22"/>
          <w:szCs w:val="24"/>
        </w:rPr>
        <w:fldChar w:fldCharType="end"/>
      </w:r>
    </w:p>
    <w:p>
      <w:pPr>
        <w:pStyle w:val="Paragraphedeliste"/>
        <w:jc w:val="both"/>
        <w:rPr>
          <w:sz w:val="22"/>
          <w:szCs w:val="24"/>
          <w:u w:val="single"/>
        </w:rPr>
      </w:pPr>
    </w:p>
    <w:p>
      <w:pPr>
        <w:pStyle w:val="Paragraphedeliste"/>
        <w:numPr>
          <w:ilvl w:val="0"/>
          <w:numId w:val="21"/>
        </w:numPr>
        <w:jc w:val="both"/>
        <w:rPr>
          <w:sz w:val="22"/>
          <w:szCs w:val="24"/>
          <w:u w:val="single"/>
        </w:rPr>
      </w:pPr>
      <w:hyperlink r:id="rId54" w:history="1">
        <w:r>
          <w:rPr>
            <w:rStyle w:val="Lienhypertexte"/>
            <w:sz w:val="22"/>
            <w:szCs w:val="24"/>
          </w:rPr>
          <w:t>Décret n° 86-83 du 17 janvier 1986 relatif aux dispositions générales applicables aux agents contractuels de l'Etat</w:t>
        </w:r>
      </w:hyperlink>
      <w:r>
        <w:rPr>
          <w:sz w:val="22"/>
          <w:szCs w:val="24"/>
          <w:u w:val="single"/>
        </w:rPr>
        <w:t xml:space="preserve"> </w:t>
      </w:r>
    </w:p>
    <w:p>
      <w:pPr>
        <w:pStyle w:val="Paragraphedeliste"/>
        <w:jc w:val="both"/>
        <w:rPr>
          <w:sz w:val="22"/>
          <w:szCs w:val="24"/>
          <w:u w:val="single"/>
        </w:rPr>
      </w:pPr>
    </w:p>
    <w:p>
      <w:pPr>
        <w:ind w:left="360"/>
        <w:jc w:val="both"/>
        <w:rPr>
          <w:rFonts w:eastAsia="Times New Roman" w:cs="Calibri"/>
          <w:sz w:val="22"/>
          <w:lang w:eastAsia="fr-FR"/>
        </w:rPr>
      </w:pPr>
      <w:r>
        <w:rPr>
          <w:rFonts w:eastAsia="Times New Roman" w:cs="Calibri"/>
          <w:sz w:val="22"/>
          <w:lang w:eastAsia="fr-FR"/>
        </w:rPr>
        <w:t>Le dispositif général est complété par :</w:t>
      </w:r>
    </w:p>
    <w:p>
      <w:pPr>
        <w:pStyle w:val="Paragraphedeliste"/>
        <w:numPr>
          <w:ilvl w:val="0"/>
          <w:numId w:val="22"/>
        </w:numPr>
        <w:ind w:left="709"/>
        <w:jc w:val="both"/>
        <w:rPr>
          <w:sz w:val="22"/>
          <w:szCs w:val="24"/>
          <w:u w:val="single"/>
        </w:rPr>
      </w:pPr>
      <w:r>
        <w:rPr>
          <w:rFonts w:eastAsia="Times New Roman" w:cs="Calibri"/>
          <w:sz w:val="22"/>
          <w:lang w:eastAsia="fr-FR"/>
        </w:rPr>
        <w:t>Guide méthodologique relatif aux dispositions générales applicables aux agents contractuels de l’État précisant les modifications du décret n° 86-83 du 17 janvier 1986 relatif aux agents contractuels de l’État pris pour l'application de l'article 7 de la loi n° 84-16 du 11 janvier 1984 portant dispositions statutaires relatives à la fonction publique de l'État introduites par le décret n° 2014-364 du 21 mars 2014 ainsi que par le décret n° 2014-1318 du 3 novembre 2014</w:t>
      </w:r>
    </w:p>
    <w:p>
      <w:pPr>
        <w:pStyle w:val="Paragraphedeliste"/>
        <w:ind w:left="709"/>
        <w:jc w:val="both"/>
        <w:rPr>
          <w:sz w:val="22"/>
          <w:szCs w:val="24"/>
          <w:u w:val="single"/>
        </w:rPr>
      </w:pPr>
      <w:r>
        <w:rPr>
          <w:rFonts w:eastAsia="Times New Roman" w:cs="Calibri"/>
          <w:sz w:val="22"/>
          <w:lang w:eastAsia="fr-FR"/>
        </w:rPr>
        <w:t>(Le guide méthodologique est publié en annexe de la circulaire ci-dessous)</w:t>
      </w:r>
    </w:p>
    <w:p>
      <w:pPr>
        <w:pStyle w:val="Paragraphedeliste"/>
        <w:jc w:val="both"/>
        <w:rPr>
          <w:sz w:val="22"/>
          <w:szCs w:val="24"/>
          <w:u w:val="single"/>
        </w:rPr>
      </w:pPr>
    </w:p>
    <w:p>
      <w:pPr>
        <w:pStyle w:val="Paragraphedeliste"/>
        <w:numPr>
          <w:ilvl w:val="0"/>
          <w:numId w:val="11"/>
        </w:numPr>
        <w:jc w:val="both"/>
        <w:rPr>
          <w:rStyle w:val="Lienhypertexte"/>
          <w:sz w:val="22"/>
          <w:szCs w:val="24"/>
        </w:rPr>
      </w:pPr>
      <w:hyperlink r:id="rId55" w:history="1">
        <w:r>
          <w:rPr>
            <w:rStyle w:val="Lienhypertexte"/>
            <w:sz w:val="22"/>
            <w:szCs w:val="24"/>
          </w:rPr>
          <w:t>Circulaire relative à la réforme du décret n° 86-83 du 17 janvier 1986 relatif aux dispositions générales applicables aux agents contractuels de l’Etat</w:t>
        </w:r>
      </w:hyperlink>
    </w:p>
    <w:p>
      <w:pPr>
        <w:rPr>
          <w:rStyle w:val="Lienhypertexte"/>
          <w:sz w:val="22"/>
          <w:szCs w:val="24"/>
        </w:rPr>
      </w:pPr>
      <w:r>
        <w:rPr>
          <w:rStyle w:val="Lienhypertexte"/>
          <w:sz w:val="22"/>
          <w:szCs w:val="24"/>
        </w:rPr>
        <w:br w:type="page"/>
      </w:r>
    </w:p>
    <w:bookmarkStart w:id="60" w:name="_Toc225170945"/>
    <w:bookmarkStart w:id="61" w:name="_Hlk220080745"/>
    <w:p>
      <w:pPr>
        <w:pStyle w:val="Style3"/>
        <w:ind w:left="426"/>
        <w:rPr>
          <w:b w:val="0"/>
          <w:bCs/>
        </w:rPr>
      </w:pPr>
      <w:r>
        <w:rPr>
          <w:noProof/>
        </w:rPr>
        <w:lastRenderedPageBreak/>
        <mc:AlternateContent>
          <mc:Choice Requires="wps">
            <w:drawing>
              <wp:anchor distT="0" distB="0" distL="114300" distR="114300" simplePos="0" relativeHeight="252216320" behindDoc="1" locked="0" layoutInCell="1" allowOverlap="1">
                <wp:simplePos x="0" y="0"/>
                <wp:positionH relativeFrom="margin">
                  <wp:align>right</wp:align>
                </wp:positionH>
                <wp:positionV relativeFrom="paragraph">
                  <wp:posOffset>30537</wp:posOffset>
                </wp:positionV>
                <wp:extent cx="6113088" cy="341194"/>
                <wp:effectExtent l="0" t="0" r="2540" b="1905"/>
                <wp:wrapNone/>
                <wp:docPr id="37" name="Rectangle 3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13088" cy="341194"/>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7" o:spid="_x0000_s1026" alt="&quot;&quot;" style="position:absolute;margin-left:430.15pt;margin-top:2.4pt;width:481.35pt;height:26.85pt;z-index:-2511001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" fillcolor="#5770be" stroked="f" strokeweight="1pt">
                <w10:wrap anchorx="margin"/>
              </v:rect>
            </w:pict>
          </mc:Fallback>
        </mc:AlternateContent>
      </w:r>
      <w:r>
        <w:rPr>
          <w:b w:val="0"/>
          <w:bCs/>
        </w:rPr>
        <w:t>2.1.2. Détermination du Salaire</w:t>
      </w:r>
      <w:bookmarkEnd w:id="60"/>
    </w:p>
    <w:bookmarkEnd w:id="61"/>
    <w:p>
      <w:pPr>
        <w:spacing w:before="160" w:line="360" w:lineRule="auto"/>
        <w:rPr>
          <w:sz w:val="22"/>
          <w:szCs w:val="24"/>
          <w:u w:val="single"/>
        </w:rPr>
      </w:pPr>
    </w:p>
    <w:p>
      <w:pPr>
        <w:jc w:val="both"/>
        <w:rPr>
          <w:i/>
          <w:iCs/>
          <w:sz w:val="22"/>
        </w:rPr>
      </w:pPr>
      <w:r>
        <w:rPr>
          <w:sz w:val="22"/>
        </w:rPr>
        <w:t>Le cadre général est posé à l’article L713-1 du CGFP qui prévoit que « </w:t>
      </w:r>
      <w:r>
        <w:rPr>
          <w:i/>
          <w:iCs/>
          <w:sz w:val="22"/>
        </w:rPr>
        <w:t>La rémunération des agents contractuels est fixée par l'autorité compétente en tenant compte des fonctions exercées, de la qualification requise pour leur exercice et de l'expérience de ces agents.</w:t>
      </w:r>
    </w:p>
    <w:p>
      <w:pPr>
        <w:jc w:val="both"/>
        <w:rPr>
          <w:sz w:val="22"/>
        </w:rPr>
      </w:pPr>
      <w:r>
        <w:rPr>
          <w:i/>
          <w:iCs/>
          <w:sz w:val="22"/>
        </w:rPr>
        <w:t>Elle peut tenir compte de leurs résultats professionnels et des résultats collectifs du service et évoluer au sein de l'administration, de la collectivité ou de l'établissement qui les emploie.</w:t>
      </w:r>
      <w:r>
        <w:rPr>
          <w:sz w:val="22"/>
        </w:rPr>
        <w:t> ».</w:t>
      </w:r>
    </w:p>
    <w:p>
      <w:pPr>
        <w:jc w:val="both"/>
        <w:rPr>
          <w:sz w:val="22"/>
        </w:rPr>
      </w:pPr>
    </w:p>
    <w:p>
      <w:pPr>
        <w:jc w:val="both"/>
        <w:rPr>
          <w:sz w:val="22"/>
        </w:rPr>
      </w:pPr>
      <w:r>
        <w:rPr>
          <w:sz w:val="22"/>
        </w:rPr>
        <w:t>Chaque administration détermine les conditions de rémunération de ses agents contractuels, aucune disposition réglementaire ne faisant obligation ou ne s’opposant à fixer celles-ci sur la base d’un indice de la fonction publique.</w:t>
      </w:r>
    </w:p>
    <w:p>
      <w:pPr>
        <w:jc w:val="both"/>
        <w:rPr>
          <w:sz w:val="22"/>
        </w:rPr>
      </w:pPr>
    </w:p>
    <w:p>
      <w:pPr>
        <w:jc w:val="both"/>
        <w:rPr>
          <w:sz w:val="22"/>
        </w:rPr>
      </w:pPr>
      <w:r>
        <w:rPr>
          <w:sz w:val="22"/>
        </w:rPr>
        <w:t>Ainsi, le salaire de base peut être fixé en référence à ce que devrait normalement percevoir un fonctionnaire exerçant les mêmes fonctions, sans pour autant s’y conformer strictement.</w:t>
      </w:r>
    </w:p>
    <w:p>
      <w:pPr>
        <w:jc w:val="both"/>
        <w:rPr>
          <w:b/>
          <w:bCs/>
          <w:sz w:val="22"/>
        </w:rPr>
      </w:pPr>
    </w:p>
    <w:p>
      <w:pPr>
        <w:jc w:val="both"/>
        <w:rPr>
          <w:sz w:val="22"/>
        </w:rPr>
      </w:pPr>
      <w:r>
        <w:rPr>
          <w:sz w:val="22"/>
          <w:szCs w:val="24"/>
        </w:rPr>
        <w:t>L’administration peut déterminer l</w:t>
      </w:r>
      <w:r>
        <w:rPr>
          <w:sz w:val="22"/>
        </w:rPr>
        <w:t>a rémunération de l’agent soit :</w:t>
      </w:r>
    </w:p>
    <w:p>
      <w:pPr>
        <w:pStyle w:val="Paragraphedeliste"/>
        <w:numPr>
          <w:ilvl w:val="0"/>
          <w:numId w:val="23"/>
        </w:numPr>
        <w:jc w:val="both"/>
        <w:rPr>
          <w:sz w:val="22"/>
        </w:rPr>
      </w:pPr>
      <w:r>
        <w:rPr>
          <w:sz w:val="22"/>
        </w:rPr>
        <w:t>en référence à un indice de la fonction publique, dans ce cas, il est préconisé, afin de faciliter la comparaison avec le traitement de base des fonctionnaires, de distinguer la part indiciaire de la part de la rémunération accessoire, la part indiciaire devant permettre de prendre en compte notamment les fonctions occupées, la qualification requise pour leur exercice, la qualification détenue par l’agent ainsi que son expérience.</w:t>
      </w:r>
    </w:p>
    <w:p>
      <w:pPr>
        <w:pStyle w:val="Paragraphedeliste"/>
        <w:jc w:val="both"/>
        <w:rPr>
          <w:sz w:val="22"/>
        </w:rPr>
      </w:pPr>
    </w:p>
    <w:p>
      <w:pPr>
        <w:pStyle w:val="Paragraphedeliste"/>
        <w:numPr>
          <w:ilvl w:val="0"/>
          <w:numId w:val="23"/>
        </w:numPr>
        <w:jc w:val="both"/>
        <w:rPr>
          <w:sz w:val="22"/>
        </w:rPr>
      </w:pPr>
      <w:r>
        <w:rPr>
          <w:sz w:val="22"/>
        </w:rPr>
        <w:t>sans référence à un indice de la fonction publique, dans ce cas, celle-ci est fixée de manière globale et forfaitaire ;</w:t>
      </w:r>
    </w:p>
    <w:p>
      <w:pPr>
        <w:jc w:val="both"/>
        <w:rPr>
          <w:b/>
          <w:bCs/>
          <w:color w:val="91AE4F"/>
          <w:sz w:val="22"/>
          <w:szCs w:val="24"/>
        </w:rPr>
      </w:pPr>
    </w:p>
    <w:p>
      <w:pPr>
        <w:rPr>
          <w:sz w:val="22"/>
          <w:szCs w:val="24"/>
        </w:rPr>
      </w:pPr>
      <w:r>
        <w:rPr>
          <w:sz w:val="22"/>
          <w:szCs w:val="24"/>
        </w:rPr>
        <w:t>Les principaux critères permettant de déterminer le niveau de rémunération d’un agent contractuel sont :</w:t>
      </w:r>
    </w:p>
    <w:p>
      <w:pPr>
        <w:pStyle w:val="Paragraphedeliste"/>
        <w:numPr>
          <w:ilvl w:val="0"/>
          <w:numId w:val="24"/>
        </w:numPr>
        <w:rPr>
          <w:sz w:val="22"/>
        </w:rPr>
      </w:pPr>
      <w:r>
        <w:rPr>
          <w:sz w:val="22"/>
        </w:rPr>
        <w:t>Les fonctions occupées</w:t>
      </w:r>
    </w:p>
    <w:p>
      <w:pPr>
        <w:pStyle w:val="Paragraphedeliste"/>
        <w:rPr>
          <w:sz w:val="22"/>
        </w:rPr>
      </w:pPr>
    </w:p>
    <w:p>
      <w:pPr>
        <w:pStyle w:val="Paragraphedeliste"/>
        <w:numPr>
          <w:ilvl w:val="0"/>
          <w:numId w:val="24"/>
        </w:numPr>
        <w:spacing w:after="0" w:line="240" w:lineRule="auto"/>
        <w:rPr>
          <w:sz w:val="22"/>
        </w:rPr>
      </w:pPr>
      <w:r>
        <w:rPr>
          <w:sz w:val="22"/>
        </w:rPr>
        <w:t>La qualification détenue par l’agent</w:t>
      </w:r>
    </w:p>
    <w:p>
      <w:pPr>
        <w:spacing w:after="0" w:line="240" w:lineRule="auto"/>
        <w:rPr>
          <w:sz w:val="22"/>
        </w:rPr>
      </w:pPr>
    </w:p>
    <w:p>
      <w:pPr>
        <w:pStyle w:val="Paragraphedeliste"/>
        <w:numPr>
          <w:ilvl w:val="0"/>
          <w:numId w:val="24"/>
        </w:numPr>
        <w:spacing w:after="0" w:line="240" w:lineRule="auto"/>
        <w:rPr>
          <w:sz w:val="22"/>
        </w:rPr>
      </w:pPr>
      <w:r>
        <w:rPr>
          <w:sz w:val="22"/>
        </w:rPr>
        <w:t>L’expérience de l’agent</w:t>
      </w:r>
    </w:p>
    <w:p>
      <w:pPr>
        <w:pStyle w:val="Paragraphedeliste"/>
        <w:rPr>
          <w:sz w:val="22"/>
        </w:rPr>
      </w:pPr>
    </w:p>
    <w:p>
      <w:pPr>
        <w:pStyle w:val="Paragraphedeliste"/>
        <w:spacing w:after="0" w:line="240" w:lineRule="auto"/>
        <w:rPr>
          <w:sz w:val="22"/>
        </w:rPr>
      </w:pPr>
    </w:p>
    <w:p>
      <w:pPr>
        <w:jc w:val="both"/>
        <w:rPr>
          <w:sz w:val="22"/>
        </w:rPr>
      </w:pPr>
      <w:r>
        <w:rPr>
          <w:sz w:val="22"/>
        </w:rPr>
        <w:t>L’administration peut se référer à la grille indiciaire du corps auquel correspondent les fonctions qui seront attribuées à l’agent contractuel pour déterminer un montant de référence qui pourra être moduler pour tenir compte :</w:t>
      </w:r>
    </w:p>
    <w:p>
      <w:pPr>
        <w:pStyle w:val="Paragraphedeliste"/>
        <w:numPr>
          <w:ilvl w:val="0"/>
          <w:numId w:val="25"/>
        </w:numPr>
        <w:jc w:val="both"/>
        <w:rPr>
          <w:sz w:val="22"/>
        </w:rPr>
      </w:pPr>
      <w:r>
        <w:rPr>
          <w:sz w:val="22"/>
        </w:rPr>
        <w:t>des responsabilités et/ou de la technicité attachées au poste ainsi que des qualifications requises pour l’exercice des fonctions, notamment au niveau de qualifications rares ou recherchées</w:t>
      </w:r>
    </w:p>
    <w:p>
      <w:pPr>
        <w:pStyle w:val="Paragraphedeliste"/>
        <w:jc w:val="both"/>
        <w:rPr>
          <w:sz w:val="22"/>
        </w:rPr>
      </w:pPr>
    </w:p>
    <w:p>
      <w:pPr>
        <w:pStyle w:val="Paragraphedeliste"/>
        <w:numPr>
          <w:ilvl w:val="0"/>
          <w:numId w:val="25"/>
        </w:numPr>
        <w:jc w:val="both"/>
        <w:rPr>
          <w:sz w:val="22"/>
        </w:rPr>
      </w:pPr>
      <w:r>
        <w:rPr>
          <w:sz w:val="22"/>
        </w:rPr>
        <w:t>du profil de l’agent, notamment au regard de critères liés au niveau des diplômes et/ou de l’expérience professionnelle</w:t>
      </w:r>
    </w:p>
    <w:p>
      <w:pPr>
        <w:pStyle w:val="Paragraphedeliste"/>
        <w:jc w:val="both"/>
        <w:rPr>
          <w:sz w:val="22"/>
        </w:rPr>
      </w:pPr>
    </w:p>
    <w:p>
      <w:pPr>
        <w:rPr>
          <w:sz w:val="22"/>
        </w:rPr>
      </w:pPr>
      <w:r>
        <w:rPr>
          <w:sz w:val="22"/>
        </w:rPr>
        <w:lastRenderedPageBreak/>
        <w:t>En vertu du principe général du droit applicable à tout salarié, la rémunération ne peut en aucun cas être inférieure au SMIC.</w:t>
      </w:r>
    </w:p>
    <w:p>
      <w:pPr>
        <w:rPr>
          <w:sz w:val="22"/>
        </w:rPr>
      </w:pPr>
      <w:r>
        <w:rPr>
          <w:sz w:val="22"/>
        </w:rPr>
        <w:t>Dans le cas contraire, le versement d’une indemnité différentielle doit bénéficier à l’agent pour assurer le respect de ce principe.</w:t>
      </w:r>
    </w:p>
    <w:p>
      <w:pPr>
        <w:rPr>
          <w:sz w:val="22"/>
        </w:rPr>
      </w:pPr>
    </w:p>
    <w:p>
      <w:pPr>
        <w:jc w:val="both"/>
        <w:rPr>
          <w:sz w:val="22"/>
        </w:rPr>
      </w:pPr>
      <w:r>
        <w:rPr>
          <w:sz w:val="22"/>
        </w:rPr>
        <w:t>Lorsqu’aucun texte législatif ou réglementaire ne prévoit d’obligation au versement de primes, rien ne s’oppose ou oblige l’administration à attribuer les avantages indemnitaires d’un régime indemnitaire prévu pour des titulaires, à un agent non titulaire.</w:t>
      </w:r>
    </w:p>
    <w:p>
      <w:pPr>
        <w:jc w:val="both"/>
        <w:rPr>
          <w:sz w:val="22"/>
          <w:highlight w:val="yellow"/>
        </w:rPr>
      </w:pPr>
      <w:r>
        <w:rPr>
          <w:sz w:val="22"/>
        </w:rPr>
        <w:t>L’attribution reste à l’appréciation de l’administration.</w:t>
      </w:r>
    </w:p>
    <w:p>
      <w:pPr>
        <w:jc w:val="both"/>
        <w:rPr>
          <w:sz w:val="22"/>
        </w:rPr>
      </w:pPr>
    </w:p>
    <w:p>
      <w:pPr>
        <w:jc w:val="both"/>
        <w:rPr>
          <w:sz w:val="22"/>
        </w:rPr>
      </w:pPr>
      <w:r>
        <w:rPr>
          <w:sz w:val="22"/>
        </w:rPr>
        <w:t>La modulation des primes versées en fonction de la manière de servir entre dans le champ de ce principe, en particulier lorsque cette modulation est prévue pour les fonctionnaires exerçant des fonctions similaires à celles confiées à l’agent non titulaire.</w:t>
      </w:r>
    </w:p>
    <w:p>
      <w:pPr>
        <w:jc w:val="both"/>
        <w:rPr>
          <w:sz w:val="22"/>
        </w:rPr>
      </w:pPr>
    </w:p>
    <w:p>
      <w:pPr>
        <w:jc w:val="both"/>
        <w:rPr>
          <w:sz w:val="22"/>
        </w:rPr>
      </w:pPr>
      <w:r>
        <w:rPr>
          <w:sz w:val="22"/>
        </w:rPr>
        <w:t>La rémunération des agents contractuels, fait l’objet d’une réévaluation au moins tous les trois ans, pour :</w:t>
      </w:r>
    </w:p>
    <w:p>
      <w:pPr>
        <w:pStyle w:val="Paragraphedeliste"/>
        <w:numPr>
          <w:ilvl w:val="0"/>
          <w:numId w:val="26"/>
        </w:numPr>
        <w:jc w:val="both"/>
        <w:rPr>
          <w:sz w:val="22"/>
        </w:rPr>
      </w:pPr>
      <w:r>
        <w:rPr>
          <w:sz w:val="22"/>
        </w:rPr>
        <w:t>Les agents employés à durée indéterminée, notamment au vu des résultats des entretiens professionnels</w:t>
      </w:r>
    </w:p>
    <w:p>
      <w:pPr>
        <w:pStyle w:val="Paragraphedeliste"/>
        <w:jc w:val="both"/>
        <w:rPr>
          <w:sz w:val="22"/>
        </w:rPr>
      </w:pPr>
    </w:p>
    <w:p>
      <w:pPr>
        <w:pStyle w:val="Paragraphedeliste"/>
        <w:numPr>
          <w:ilvl w:val="0"/>
          <w:numId w:val="26"/>
        </w:numPr>
        <w:jc w:val="both"/>
        <w:rPr>
          <w:sz w:val="22"/>
        </w:rPr>
      </w:pPr>
      <w:r>
        <w:rPr>
          <w:sz w:val="22"/>
        </w:rPr>
        <w:t xml:space="preserve"> Les agents recrutés sur contrat à durée déterminée auprès du même employeur, sous réserve que cette durée ait été effectuée de manière continue, notamment au vu des résultats des entretiens professionnels</w:t>
      </w:r>
    </w:p>
    <w:p>
      <w:pPr>
        <w:pStyle w:val="Paragraphedeliste"/>
        <w:jc w:val="both"/>
        <w:rPr>
          <w:sz w:val="22"/>
        </w:rPr>
      </w:pPr>
    </w:p>
    <w:tbl>
      <w:tblPr>
        <w:tblW w:w="9815" w:type="dxa"/>
        <w:tblCellMar>
          <w:left w:w="70" w:type="dxa"/>
          <w:right w:w="70" w:type="dxa"/>
        </w:tblCellMar>
        <w:tblLook w:val="04A0" w:firstRow="1" w:lastRow="0" w:firstColumn="1" w:lastColumn="0" w:noHBand="0" w:noVBand="1"/>
      </w:tblPr>
      <w:tblGrid>
        <w:gridCol w:w="9815"/>
      </w:tblGrid>
      <w:tr>
        <w:trPr>
          <w:trHeight w:val="359"/>
        </w:trPr>
        <w:tc>
          <w:tcPr>
            <w:tcW w:w="9815" w:type="dxa"/>
            <w:tcBorders>
              <w:top w:val="single" w:sz="4" w:space="0" w:color="auto"/>
              <w:left w:val="single" w:sz="4" w:space="0" w:color="auto"/>
              <w:bottom w:val="nil"/>
              <w:right w:val="single" w:sz="4" w:space="0" w:color="auto"/>
            </w:tcBorders>
            <w:shd w:val="clear" w:color="auto" w:fill="C5E0B3" w:themeFill="accent6" w:themeFillTint="66"/>
            <w:noWrap/>
            <w:vAlign w:val="bottom"/>
            <w:hideMark/>
          </w:tcPr>
          <w:p>
            <w:pPr>
              <w:spacing w:after="0" w:line="240" w:lineRule="auto"/>
              <w:jc w:val="center"/>
              <w:rPr>
                <w:b/>
                <w:bCs/>
                <w:sz w:val="22"/>
                <w:szCs w:val="24"/>
                <w:u w:val="single"/>
              </w:rPr>
            </w:pPr>
            <w:r>
              <w:rPr>
                <w:b/>
                <w:bCs/>
                <w:sz w:val="22"/>
                <w:szCs w:val="24"/>
                <w:u w:val="single"/>
              </w:rPr>
              <w:t>Situation particulière du contrat de projet dans la Fonction publique</w:t>
            </w:r>
          </w:p>
          <w:p>
            <w:pPr>
              <w:spacing w:after="0" w:line="240" w:lineRule="auto"/>
              <w:jc w:val="center"/>
              <w:rPr>
                <w:b/>
                <w:bCs/>
                <w:sz w:val="22"/>
                <w:szCs w:val="24"/>
                <w:u w:val="single"/>
              </w:rPr>
            </w:pPr>
          </w:p>
          <w:p>
            <w:pPr>
              <w:spacing w:after="0" w:line="240" w:lineRule="auto"/>
              <w:jc w:val="center"/>
              <w:rPr>
                <w:rFonts w:ascii="Calibri" w:eastAsia="Times New Roman" w:hAnsi="Calibri" w:cs="Calibri"/>
                <w:color w:val="000000"/>
                <w:sz w:val="22"/>
                <w:lang w:eastAsia="fr-FR"/>
              </w:rPr>
            </w:pPr>
          </w:p>
        </w:tc>
      </w:tr>
      <w:tr>
        <w:trPr>
          <w:trHeight w:val="359"/>
        </w:trPr>
        <w:tc>
          <w:tcPr>
            <w:tcW w:w="9815" w:type="dxa"/>
            <w:tcBorders>
              <w:top w:val="nil"/>
              <w:left w:val="single" w:sz="4" w:space="0" w:color="auto"/>
              <w:bottom w:val="nil"/>
              <w:right w:val="single" w:sz="4" w:space="0" w:color="auto"/>
            </w:tcBorders>
            <w:shd w:val="clear" w:color="auto" w:fill="C5E0B3" w:themeFill="accent6" w:themeFillTint="66"/>
            <w:noWrap/>
            <w:vAlign w:val="bottom"/>
          </w:tcPr>
          <w:p>
            <w:pPr>
              <w:jc w:val="both"/>
              <w:rPr>
                <w:rFonts w:ascii="Calibri" w:eastAsia="Times New Roman" w:hAnsi="Calibri" w:cs="Calibri"/>
                <w:color w:val="000000"/>
                <w:sz w:val="22"/>
                <w:lang w:eastAsia="fr-FR"/>
              </w:rPr>
            </w:pPr>
            <w:r>
              <w:rPr>
                <w:sz w:val="22"/>
              </w:rPr>
              <w:t>Code général de la fonction publique - articles L. 332</w:t>
            </w:r>
            <w:r>
              <w:rPr>
                <w:rFonts w:ascii="Cambria Math" w:hAnsi="Cambria Math" w:cs="Cambria Math"/>
                <w:sz w:val="22"/>
              </w:rPr>
              <w:t>‑</w:t>
            </w:r>
            <w:r>
              <w:rPr>
                <w:sz w:val="22"/>
              </w:rPr>
              <w:t>24 à L. 332</w:t>
            </w:r>
            <w:r>
              <w:rPr>
                <w:rFonts w:ascii="Cambria Math" w:hAnsi="Cambria Math" w:cs="Cambria Math"/>
                <w:sz w:val="22"/>
              </w:rPr>
              <w:t>‑</w:t>
            </w:r>
            <w:r>
              <w:rPr>
                <w:sz w:val="22"/>
              </w:rPr>
              <w:t>26</w:t>
            </w:r>
          </w:p>
        </w:tc>
      </w:tr>
      <w:tr>
        <w:trPr>
          <w:trHeight w:val="341"/>
        </w:trPr>
        <w:tc>
          <w:tcPr>
            <w:tcW w:w="9815" w:type="dxa"/>
            <w:tcBorders>
              <w:top w:val="nil"/>
              <w:left w:val="single" w:sz="4" w:space="0" w:color="auto"/>
              <w:bottom w:val="nil"/>
              <w:right w:val="single" w:sz="4" w:space="0" w:color="auto"/>
            </w:tcBorders>
            <w:shd w:val="clear" w:color="auto" w:fill="auto"/>
            <w:noWrap/>
            <w:vAlign w:val="bottom"/>
            <w:hideMark/>
          </w:tcPr>
          <w:p>
            <w:pPr>
              <w:jc w:val="both"/>
              <w:rPr>
                <w:rFonts w:ascii="Calibri" w:eastAsia="Times New Roman" w:hAnsi="Calibri" w:cs="Calibri"/>
                <w:color w:val="000000"/>
                <w:sz w:val="22"/>
                <w:lang w:eastAsia="fr-FR"/>
              </w:rPr>
            </w:pPr>
          </w:p>
        </w:tc>
      </w:tr>
      <w:tr>
        <w:trPr>
          <w:trHeight w:val="341"/>
        </w:trPr>
        <w:tc>
          <w:tcPr>
            <w:tcW w:w="9815" w:type="dxa"/>
            <w:tcBorders>
              <w:top w:val="nil"/>
              <w:left w:val="single" w:sz="4" w:space="0" w:color="auto"/>
              <w:bottom w:val="single" w:sz="4" w:space="0" w:color="auto"/>
              <w:right w:val="single" w:sz="4" w:space="0" w:color="auto"/>
            </w:tcBorders>
            <w:shd w:val="clear" w:color="auto" w:fill="auto"/>
            <w:noWrap/>
            <w:vAlign w:val="bottom"/>
          </w:tcPr>
          <w:p>
            <w:pPr>
              <w:jc w:val="both"/>
              <w:rPr>
                <w:sz w:val="22"/>
              </w:rPr>
            </w:pPr>
            <w:r>
              <w:rPr>
                <w:sz w:val="22"/>
              </w:rPr>
              <w:t>Le contrat de projet est un contrat à durée déterminée (CDD) de droit public destiné aux administrations de l’État, établissements publics non industriels et commerciaux, collectivités et établissements.</w:t>
            </w:r>
          </w:p>
          <w:p>
            <w:pPr>
              <w:jc w:val="both"/>
              <w:rPr>
                <w:sz w:val="22"/>
              </w:rPr>
            </w:pPr>
            <w:r>
              <w:rPr>
                <w:sz w:val="22"/>
              </w:rPr>
              <w:t>Il permet à un employeur de recruter un agent sur un emploi temporaire (non permanent) pour réaliser un projet ou une opération spécifique qui aura été défini à l’avance. Il a vocation à prendre fin à la réalisation du projet ou de l'opération.</w:t>
            </w:r>
          </w:p>
          <w:p>
            <w:pPr>
              <w:jc w:val="both"/>
              <w:rPr>
                <w:sz w:val="22"/>
              </w:rPr>
            </w:pPr>
            <w:r>
              <w:rPr>
                <w:sz w:val="22"/>
              </w:rPr>
              <w:t>Il est conclu pour une durée minimale d'un an et la durée maximale ne peut pas être supérieure à 6 ans.</w:t>
            </w:r>
          </w:p>
          <w:p>
            <w:pPr>
              <w:jc w:val="both"/>
              <w:rPr>
                <w:sz w:val="22"/>
              </w:rPr>
            </w:pPr>
            <w:r>
              <w:rPr>
                <w:sz w:val="22"/>
              </w:rPr>
              <w:t>En fin de contrat, ce contrat ne donne droit ni à un CDI, ni à une titularisation en tant que fonctionnaire.</w:t>
            </w:r>
          </w:p>
          <w:p>
            <w:pPr>
              <w:jc w:val="both"/>
              <w:rPr>
                <w:sz w:val="22"/>
              </w:rPr>
            </w:pPr>
            <w:r>
              <w:rPr>
                <w:sz w:val="22"/>
              </w:rPr>
              <w:t>Lorsque le contrat est conclu pour une durée inférieure à 6 ans et que le projet ou l'opération prévu(e) n'est pas achevé(e) à la fin du contrat, le contrat peut être renouvelé dans la limite de 6 ans.</w:t>
            </w:r>
          </w:p>
          <w:p>
            <w:pPr>
              <w:jc w:val="both"/>
              <w:rPr>
                <w:sz w:val="22"/>
              </w:rPr>
            </w:pPr>
            <w:r>
              <w:rPr>
                <w:sz w:val="22"/>
              </w:rPr>
              <w:t>La rémunération, fixée par l'administration, prend notamment en compte les fonctions occupées, la qualification requise pour les exercer, la qualification détenue et l’expérience de l’agent.</w:t>
            </w:r>
          </w:p>
          <w:p>
            <w:pPr>
              <w:jc w:val="both"/>
              <w:rPr>
                <w:rFonts w:ascii="Calibri" w:eastAsia="Times New Roman" w:hAnsi="Calibri" w:cs="Calibri"/>
                <w:color w:val="000000"/>
                <w:sz w:val="22"/>
                <w:lang w:eastAsia="fr-FR"/>
              </w:rPr>
            </w:pPr>
            <w:r>
              <w:rPr>
                <w:sz w:val="22"/>
              </w:rPr>
              <w:t>La rémunération peut être réévaluée au cours du contrat, notamment au vu des résultats des entretiens professionnels.</w:t>
            </w:r>
          </w:p>
        </w:tc>
      </w:tr>
    </w:tbl>
    <w:p>
      <w:pPr>
        <w:pStyle w:val="Paragraphedeliste"/>
        <w:rPr>
          <w:sz w:val="22"/>
        </w:rPr>
      </w:pPr>
    </w:p>
    <w:bookmarkStart w:id="62" w:name="_Toc225170946"/>
    <w:bookmarkEnd w:id="59"/>
    <w:p>
      <w:pPr>
        <w:pStyle w:val="Style2"/>
        <w:ind w:left="567"/>
        <w:rPr>
          <w:sz w:val="48"/>
          <w:szCs w:val="48"/>
        </w:rPr>
      </w:pPr>
      <w:r>
        <w:rPr>
          <w:noProof/>
        </w:rPr>
        <w:lastRenderedPageBreak/>
        <mc:AlternateContent>
          <mc:Choice Requires="wps">
            <w:drawing>
              <wp:anchor distT="0" distB="0" distL="114300" distR="114300" simplePos="0" relativeHeight="252071936" behindDoc="0" locked="0" layoutInCell="1" allowOverlap="1">
                <wp:simplePos x="0" y="0"/>
                <wp:positionH relativeFrom="column">
                  <wp:posOffset>-264740</wp:posOffset>
                </wp:positionH>
                <wp:positionV relativeFrom="paragraph">
                  <wp:posOffset>-4804</wp:posOffset>
                </wp:positionV>
                <wp:extent cx="550684" cy="576000"/>
                <wp:effectExtent l="19050" t="0" r="1905" b="33655"/>
                <wp:wrapNone/>
                <wp:docPr id="6" name="Larm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6" o:spid="_x0000_s1026" alt="&quot;&quot;" style="position:absolute;margin-left:-20.85pt;margin-top:-.4pt;width:43.35pt;height:45.35pt;rotation:11557929fd;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t>2.2. Populations particulières</w:t>
      </w:r>
      <w:bookmarkEnd w:id="62"/>
      <w:r>
        <w:rPr>
          <w:sz w:val="48"/>
          <w:szCs w:val="48"/>
        </w:rPr>
        <w:t xml:space="preserve"> </w:t>
      </w:r>
    </w:p>
    <w:p>
      <w:bookmarkStart w:id="63" w:name="_Hlk205805681"/>
    </w:p>
    <w:p/>
    <w:bookmarkStart w:id="64" w:name="_Toc225170947"/>
    <w:p>
      <w:pPr>
        <w:pStyle w:val="Style3"/>
        <w:rPr>
          <w:b w:val="0"/>
          <w:bCs/>
        </w:rPr>
      </w:pPr>
      <w:r>
        <w:rPr>
          <w:noProof/>
        </w:rPr>
        <mc:AlternateContent>
          <mc:Choice Requires="wps">
            <w:drawing>
              <wp:anchor distT="0" distB="0" distL="114300" distR="114300" simplePos="0" relativeHeight="252131328" behindDoc="1" locked="0" layoutInCell="1" allowOverlap="1">
                <wp:simplePos x="0" y="0"/>
                <wp:positionH relativeFrom="margin">
                  <wp:align>right</wp:align>
                </wp:positionH>
                <wp:positionV relativeFrom="paragraph">
                  <wp:posOffset>30537</wp:posOffset>
                </wp:positionV>
                <wp:extent cx="6113088" cy="341194"/>
                <wp:effectExtent l="0" t="0" r="2540" b="1905"/>
                <wp:wrapNone/>
                <wp:docPr id="31" name="Rectangle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13088" cy="341194"/>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1" o:spid="_x0000_s1026" alt="&quot;&quot;" style="position:absolute;margin-left:430.15pt;margin-top:2.4pt;width:481.35pt;height:26.85pt;z-index:-251185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" fillcolor="#5770be" stroked="f" strokeweight="1pt">
                <w10:wrap anchorx="margin"/>
              </v:rect>
            </w:pict>
          </mc:Fallback>
        </mc:AlternateContent>
      </w:r>
      <w:r>
        <w:rPr>
          <w:b w:val="0"/>
          <w:bCs/>
        </w:rPr>
        <w:t>2.2.1. Contractuels de droit privé : Apprentis</w:t>
      </w:r>
      <w:bookmarkEnd w:id="64"/>
    </w:p>
    <w:bookmarkEnd w:id="63"/>
    <w:p>
      <w:pPr>
        <w:jc w:val="both"/>
        <w:rPr>
          <w:rFonts w:cs="Times New Roman"/>
          <w:sz w:val="22"/>
        </w:rPr>
      </w:pPr>
    </w:p>
    <w:p>
      <w:pPr>
        <w:jc w:val="both"/>
        <w:rPr>
          <w:rFonts w:cs="Times New Roman"/>
          <w:sz w:val="22"/>
        </w:rPr>
      </w:pPr>
      <w:r>
        <w:rPr>
          <w:rFonts w:cs="Times New Roman"/>
          <w:sz w:val="22"/>
        </w:rPr>
        <w:t>Le contrat d'apprentissage est un contrat de travail qui permet de suivre par alternance des périodes de formation dans une administration et en centre de formation d’apprentis.</w:t>
      </w:r>
    </w:p>
    <w:p>
      <w:pPr>
        <w:jc w:val="both"/>
        <w:rPr>
          <w:rFonts w:cs="Times New Roman"/>
          <w:sz w:val="22"/>
        </w:rPr>
      </w:pPr>
      <w:r>
        <w:rPr>
          <w:rFonts w:cs="Times New Roman"/>
          <w:sz w:val="22"/>
        </w:rPr>
        <w:t>Le contrat d'apprentissage conclu dans une administration est un contrat de droit privé à durée limitée, signé par l'employeur public et l'apprenti (ou son représentant légal lorsqu’il est mineur).</w:t>
      </w:r>
    </w:p>
    <w:p>
      <w:pPr>
        <w:jc w:val="both"/>
        <w:rPr>
          <w:rFonts w:cs="Times New Roman"/>
          <w:sz w:val="22"/>
        </w:rPr>
      </w:pPr>
      <w:r>
        <w:rPr>
          <w:rFonts w:cs="Times New Roman"/>
          <w:sz w:val="22"/>
        </w:rPr>
        <w:t>Par ce contrat, l’administration s’engage à assurer la formation pratique d’un apprenti.</w:t>
      </w:r>
    </w:p>
    <w:p>
      <w:pPr>
        <w:jc w:val="both"/>
        <w:rPr>
          <w:rFonts w:cs="Times New Roman"/>
          <w:sz w:val="22"/>
        </w:rPr>
      </w:pPr>
    </w:p>
    <w:p>
      <w:pPr>
        <w:jc w:val="both"/>
        <w:rPr>
          <w:rFonts w:cs="Times New Roman"/>
          <w:b/>
          <w:bCs/>
          <w:sz w:val="24"/>
          <w:szCs w:val="24"/>
        </w:rPr>
      </w:pPr>
      <w:r>
        <w:rPr>
          <w:rFonts w:cs="Times New Roman"/>
          <w:b/>
          <w:bCs/>
          <w:sz w:val="24"/>
          <w:szCs w:val="24"/>
        </w:rPr>
        <w:t>2.2.1.1. Bases juridiques</w:t>
      </w:r>
    </w:p>
    <w:p>
      <w:pPr>
        <w:pStyle w:val="Paragraphedeliste"/>
        <w:spacing w:after="0"/>
        <w:ind w:left="714"/>
        <w:jc w:val="both"/>
      </w:pPr>
    </w:p>
    <w:p>
      <w:pPr>
        <w:pStyle w:val="Paragraphedeliste"/>
        <w:numPr>
          <w:ilvl w:val="0"/>
          <w:numId w:val="11"/>
        </w:numPr>
        <w:spacing w:after="0"/>
        <w:jc w:val="both"/>
        <w:rPr>
          <w:rFonts w:cs="Times New Roman"/>
          <w:sz w:val="22"/>
        </w:rPr>
      </w:pPr>
      <w:hyperlink r:id="rId56" w:history="1">
        <w:r>
          <w:rPr>
            <w:rStyle w:val="Lienhypertexte"/>
            <w:rFonts w:cs="Times New Roman"/>
            <w:sz w:val="22"/>
          </w:rPr>
          <w:t>Code du travail</w:t>
        </w:r>
      </w:hyperlink>
      <w:r>
        <w:rPr>
          <w:rFonts w:cs="Times New Roman"/>
          <w:sz w:val="22"/>
        </w:rPr>
        <w:t xml:space="preserve"> : articles D6272-1 à D6272-2 et articles D6222-26 à D6222-33</w:t>
      </w:r>
    </w:p>
    <w:p>
      <w:pPr>
        <w:jc w:val="both"/>
        <w:rPr>
          <w:rFonts w:cs="Times New Roman"/>
          <w:sz w:val="22"/>
        </w:rPr>
      </w:pPr>
    </w:p>
    <w:p>
      <w:pPr>
        <w:jc w:val="both"/>
        <w:rPr>
          <w:rFonts w:cs="Times New Roman"/>
          <w:b/>
          <w:bCs/>
          <w:sz w:val="24"/>
          <w:szCs w:val="24"/>
        </w:rPr>
      </w:pPr>
      <w:r>
        <w:rPr>
          <w:rFonts w:cs="Times New Roman"/>
          <w:b/>
          <w:bCs/>
          <w:sz w:val="24"/>
          <w:szCs w:val="24"/>
        </w:rPr>
        <w:t>2.2.1.2. Détermination du Salaire</w:t>
      </w:r>
    </w:p>
    <w:p>
      <w:pPr>
        <w:jc w:val="both"/>
        <w:rPr>
          <w:rFonts w:cs="Times New Roman"/>
          <w:sz w:val="22"/>
        </w:rPr>
      </w:pPr>
      <w:r>
        <w:rPr>
          <w:rFonts w:cs="Times New Roman"/>
          <w:sz w:val="22"/>
        </w:rPr>
        <w:t>La rémunération principale réglementaire d’un apprenti est basée sur 2 critères :</w:t>
      </w:r>
    </w:p>
    <w:p>
      <w:pPr>
        <w:pStyle w:val="Paragraphedeliste"/>
        <w:numPr>
          <w:ilvl w:val="0"/>
          <w:numId w:val="27"/>
        </w:numPr>
        <w:jc w:val="both"/>
        <w:rPr>
          <w:rFonts w:cs="Times New Roman"/>
          <w:sz w:val="22"/>
        </w:rPr>
      </w:pPr>
      <w:r>
        <w:rPr>
          <w:rFonts w:cs="Times New Roman"/>
          <w:sz w:val="22"/>
        </w:rPr>
        <w:t>Le critère principal est celui de l’année contractuelle c’est-à-dire l’année d’exécution du contrat</w:t>
      </w:r>
    </w:p>
    <w:p>
      <w:pPr>
        <w:pStyle w:val="Paragraphedeliste"/>
        <w:jc w:val="both"/>
        <w:rPr>
          <w:rFonts w:cs="Times New Roman"/>
          <w:sz w:val="22"/>
        </w:rPr>
      </w:pPr>
    </w:p>
    <w:p>
      <w:pPr>
        <w:pStyle w:val="Paragraphedeliste"/>
        <w:numPr>
          <w:ilvl w:val="0"/>
          <w:numId w:val="27"/>
        </w:numPr>
        <w:jc w:val="both"/>
        <w:rPr>
          <w:rFonts w:cs="Times New Roman"/>
          <w:sz w:val="22"/>
        </w:rPr>
      </w:pPr>
      <w:r>
        <w:rPr>
          <w:rFonts w:cs="Times New Roman"/>
          <w:sz w:val="22"/>
        </w:rPr>
        <w:t>Le second est celui de l’âge de l’apprenti au début de l’exécution du contrat et son évolution au cours du contrat</w:t>
      </w:r>
    </w:p>
    <w:p>
      <w:pPr>
        <w:jc w:val="both"/>
        <w:rPr>
          <w:rFonts w:cs="Times New Roman"/>
          <w:sz w:val="22"/>
        </w:rPr>
      </w:pPr>
    </w:p>
    <w:p>
      <w:pPr>
        <w:jc w:val="both"/>
        <w:rPr>
          <w:rFonts w:cs="Times New Roman"/>
          <w:sz w:val="22"/>
        </w:rPr>
      </w:pPr>
      <w:r>
        <w:rPr>
          <w:rFonts w:cs="Times New Roman"/>
          <w:sz w:val="22"/>
        </w:rPr>
        <w:t>La rémunération minimale est calculée en fonction de la tranche d’âge dans laquelle se situe l’apprenti au moment de l’année d’exécution de son contrat d’apprentissage, en pourcentage du Smic.</w:t>
      </w:r>
    </w:p>
    <w:p>
      <w:pPr>
        <w:spacing w:after="0"/>
        <w:jc w:val="both"/>
        <w:rPr>
          <w:rFonts w:cs="Times New Roman"/>
          <w:sz w:val="22"/>
        </w:rPr>
      </w:pPr>
      <w:r>
        <w:rPr>
          <w:rFonts w:cs="Times New Roman"/>
          <w:sz w:val="22"/>
        </w:rPr>
        <w:t>Le montant du SMIC brut horaire applicable en métropole, en Guadeloupe, en Guyane, en Martinique et à La Réunion, est porté à  1 823,03 € au 1er janvier 2026 sur la base de la durée légale du travail de 35 heures hebdomadaires.</w:t>
      </w:r>
    </w:p>
    <w:p>
      <w:pPr>
        <w:spacing w:after="0"/>
        <w:jc w:val="both"/>
        <w:rPr>
          <w:rFonts w:cs="Times New Roman"/>
          <w:sz w:val="22"/>
        </w:rPr>
      </w:pPr>
    </w:p>
    <w:p>
      <w:pPr>
        <w:spacing w:after="0"/>
        <w:jc w:val="both"/>
      </w:pPr>
      <w:r>
        <w:rPr>
          <w:rFonts w:cs="Times New Roman"/>
          <w:sz w:val="22"/>
        </w:rPr>
        <w:t xml:space="preserve">                                                                        </w:t>
      </w:r>
      <w:bookmarkStart w:id="65" w:name="_MON_1833967584"/>
      <w:bookmarkEnd w:id="65"/>
      <w:r>
        <w:object w:dxaOrig="1500" w:dyaOrig="9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49.5pt" o:ole="">
            <v:imagedata r:id="rId57" o:title=""/>
          </v:shape>
          <o:OLEObject Type="Embed" ProgID="Excel.Sheet.12" ShapeID="_x0000_i1025" DrawAspect="Icon" ObjectID="_1836119440" r:id="rId58"/>
        </w:object>
      </w:r>
    </w:p>
    <w:p>
      <w:pPr>
        <w:spacing w:after="0"/>
        <w:jc w:val="both"/>
        <w:rPr>
          <w:rFonts w:cs="Times New Roman"/>
          <w:sz w:val="22"/>
        </w:rPr>
      </w:pPr>
    </w:p>
    <w:p>
      <w:pPr>
        <w:jc w:val="both"/>
        <w:rPr>
          <w:rFonts w:cs="Times New Roman"/>
          <w:b/>
          <w:bCs/>
          <w:sz w:val="24"/>
          <w:szCs w:val="24"/>
        </w:rPr>
      </w:pPr>
    </w:p>
    <w:p>
      <w:pPr>
        <w:jc w:val="both"/>
        <w:rPr>
          <w:rFonts w:cs="Times New Roman"/>
          <w:b/>
          <w:bCs/>
          <w:sz w:val="24"/>
          <w:szCs w:val="24"/>
        </w:rPr>
      </w:pPr>
    </w:p>
    <w:p>
      <w:pPr>
        <w:jc w:val="both"/>
        <w:rPr>
          <w:rFonts w:cs="Times New Roman"/>
          <w:b/>
          <w:bCs/>
          <w:sz w:val="24"/>
          <w:szCs w:val="24"/>
        </w:rPr>
      </w:pPr>
    </w:p>
    <w:p>
      <w:pPr>
        <w:jc w:val="both"/>
        <w:rPr>
          <w:rFonts w:cs="Times New Roman"/>
          <w:b/>
          <w:bCs/>
          <w:sz w:val="24"/>
          <w:szCs w:val="24"/>
        </w:rPr>
      </w:pPr>
    </w:p>
    <w:p>
      <w:pPr>
        <w:jc w:val="both"/>
        <w:rPr>
          <w:rFonts w:cs="Times New Roman"/>
          <w:b/>
          <w:bCs/>
          <w:sz w:val="24"/>
          <w:szCs w:val="24"/>
        </w:rPr>
      </w:pPr>
    </w:p>
    <w:p>
      <w:pPr>
        <w:jc w:val="both"/>
        <w:rPr>
          <w:rFonts w:cs="Times New Roman"/>
          <w:b/>
          <w:bCs/>
          <w:sz w:val="24"/>
          <w:szCs w:val="24"/>
        </w:rPr>
      </w:pPr>
      <w:r>
        <w:rPr>
          <w:rFonts w:cs="Times New Roman"/>
          <w:b/>
          <w:bCs/>
          <w:sz w:val="24"/>
          <w:szCs w:val="24"/>
        </w:rPr>
        <w:lastRenderedPageBreak/>
        <w:t>Cas particulier des augmentations du salaire de l’apprenti :</w:t>
      </w:r>
    </w:p>
    <w:p>
      <w:pPr>
        <w:jc w:val="both"/>
        <w:rPr>
          <w:rFonts w:cs="Times New Roman"/>
          <w:sz w:val="22"/>
        </w:rPr>
      </w:pPr>
    </w:p>
    <w:p>
      <w:pPr>
        <w:jc w:val="both"/>
        <w:rPr>
          <w:rFonts w:cs="Times New Roman"/>
          <w:sz w:val="22"/>
        </w:rPr>
      </w:pPr>
      <w:r>
        <w:rPr>
          <w:rFonts w:cs="Times New Roman"/>
          <w:sz w:val="22"/>
        </w:rPr>
        <w:t>Elles sont liées au passage d'une tranche d'âge à une autre et prennent effet à compter du 1er jour du mois suivant la date d'anniversaire de l'apprenti.</w:t>
      </w:r>
    </w:p>
    <w:p>
      <w:pPr>
        <w:jc w:val="both"/>
        <w:rPr>
          <w:rFonts w:cs="Times New Roman"/>
          <w:sz w:val="22"/>
        </w:rPr>
      </w:pPr>
    </w:p>
    <w:p>
      <w:pPr>
        <w:jc w:val="both"/>
        <w:rPr>
          <w:rFonts w:cs="Times New Roman"/>
          <w:sz w:val="22"/>
        </w:rPr>
      </w:pPr>
      <w:r>
        <w:rPr>
          <w:rFonts w:cs="Times New Roman"/>
          <w:sz w:val="22"/>
        </w:rPr>
        <w:t>Certaines situations peuvent impacter la rémunération, comme par exemple la prolongation ou la réduction de la durée du contrat, la majoration de salaire, la succession de contrats, la préparation d’une licence professionnelle.</w:t>
      </w:r>
    </w:p>
    <w:p>
      <w:pPr>
        <w:spacing w:after="0"/>
        <w:jc w:val="both"/>
        <w:rPr>
          <w:rFonts w:cs="Times New Roman"/>
          <w:sz w:val="22"/>
        </w:rPr>
      </w:pPr>
    </w:p>
    <w:p>
      <w:pPr>
        <w:spacing w:after="0"/>
        <w:jc w:val="both"/>
        <w:rPr>
          <w:rFonts w:cs="Times New Roman"/>
          <w:sz w:val="22"/>
        </w:rPr>
      </w:pPr>
    </w:p>
    <w:p>
      <w:pPr>
        <w:spacing w:after="0"/>
        <w:jc w:val="both"/>
        <w:rPr>
          <w:rFonts w:cs="Times New Roman"/>
          <w:color w:val="FF0000"/>
          <w:sz w:val="22"/>
        </w:rPr>
      </w:pPr>
    </w:p>
    <w:p>
      <w:pPr>
        <w:pStyle w:val="Paragraphedeliste"/>
        <w:shd w:val="clear" w:color="auto" w:fill="91AE4F"/>
        <w:ind w:left="0"/>
        <w:jc w:val="center"/>
        <w:rPr>
          <w:b/>
          <w:bCs/>
          <w:i/>
          <w:iCs/>
          <w:color w:val="FFFFFF" w:themeColor="background1"/>
          <w:sz w:val="24"/>
          <w:szCs w:val="24"/>
        </w:rPr>
      </w:pPr>
      <w:r>
        <w:rPr>
          <w:b/>
          <w:bCs/>
          <w:i/>
          <w:iCs/>
          <w:color w:val="FFFFFF" w:themeColor="background1"/>
          <w:sz w:val="24"/>
          <w:szCs w:val="24"/>
        </w:rPr>
        <w:t>Le « Guide relatif à l’apprentissage à destination des employeurs publics de la fonction publique de l’État »</w:t>
      </w:r>
    </w:p>
    <w:p>
      <w:pPr>
        <w:pStyle w:val="Paragraphedeliste"/>
        <w:shd w:val="clear" w:color="auto" w:fill="91AE4F"/>
        <w:ind w:left="0"/>
        <w:jc w:val="center"/>
        <w:rPr>
          <w:b/>
          <w:bCs/>
          <w:i/>
          <w:iCs/>
          <w:color w:val="FFFFFF" w:themeColor="background1"/>
          <w:sz w:val="24"/>
          <w:szCs w:val="24"/>
        </w:rPr>
      </w:pPr>
      <w:r>
        <w:rPr>
          <w:b/>
          <w:bCs/>
          <w:i/>
          <w:iCs/>
          <w:color w:val="FFFFFF" w:themeColor="background1"/>
          <w:sz w:val="24"/>
          <w:szCs w:val="24"/>
        </w:rPr>
        <w:t xml:space="preserve">est accessible depuis le lien figurant dans le chapitre </w:t>
      </w:r>
      <w:hyperlink w:anchor="POURALLERPLUSLOIN" w:history="1">
        <w:r>
          <w:rPr>
            <w:rStyle w:val="Lienhypertexte"/>
            <w:b/>
            <w:bCs/>
            <w:i/>
            <w:iCs/>
            <w:sz w:val="24"/>
            <w:szCs w:val="24"/>
          </w:rPr>
          <w:t>«  Pour aller plus loin »</w:t>
        </w:r>
      </w:hyperlink>
    </w:p>
    <w:p>
      <w:pPr>
        <w:jc w:val="both"/>
        <w:rPr>
          <w:rFonts w:cs="Times New Roman"/>
          <w:color w:val="FF0000"/>
          <w:sz w:val="22"/>
        </w:rPr>
      </w:pPr>
    </w:p>
    <w:p>
      <w:pPr>
        <w:rPr>
          <w:rFonts w:cs="Times New Roman"/>
          <w:sz w:val="22"/>
        </w:rPr>
      </w:pPr>
      <w:r>
        <w:rPr>
          <w:rFonts w:cs="Times New Roman"/>
          <w:sz w:val="22"/>
        </w:rPr>
        <w:br w:type="page"/>
      </w:r>
    </w:p>
    <w:p>
      <w:pPr>
        <w:rPr>
          <w:rFonts w:cs="Times New Roman"/>
          <w:sz w:val="22"/>
        </w:rPr>
      </w:pPr>
    </w:p>
    <w:bookmarkStart w:id="66" w:name="_Toc225170948"/>
    <w:p>
      <w:pPr>
        <w:pStyle w:val="Style3"/>
        <w:rPr>
          <w:b w:val="0"/>
          <w:bCs/>
        </w:rPr>
      </w:pPr>
      <w:r>
        <w:rPr>
          <w:noProof/>
        </w:rPr>
        <mc:AlternateContent>
          <mc:Choice Requires="wps">
            <w:drawing>
              <wp:anchor distT="0" distB="0" distL="114300" distR="114300" simplePos="0" relativeHeight="252130304" behindDoc="1" locked="0" layoutInCell="1" allowOverlap="1">
                <wp:simplePos x="0" y="0"/>
                <wp:positionH relativeFrom="margin">
                  <wp:align>right</wp:align>
                </wp:positionH>
                <wp:positionV relativeFrom="paragraph">
                  <wp:posOffset>36439</wp:posOffset>
                </wp:positionV>
                <wp:extent cx="6112336" cy="438411"/>
                <wp:effectExtent l="0" t="0" r="3175" b="0"/>
                <wp:wrapNone/>
                <wp:docPr id="30" name="Rectangle 3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12336" cy="438411"/>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0" o:spid="_x0000_s1026" alt="&quot;&quot;" style="position:absolute;margin-left:430.1pt;margin-top:2.85pt;width:481.3pt;height:34.5pt;z-index:-251186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" fillcolor="#5770be" stroked="f" strokeweight="1pt">
                <w10:wrap anchorx="margin"/>
              </v:rect>
            </w:pict>
          </mc:Fallback>
        </mc:AlternateContent>
      </w:r>
      <w:r>
        <w:rPr>
          <w:b w:val="0"/>
          <w:bCs/>
        </w:rPr>
        <w:t>2.2.2. Contractuels de droit public : Pacte</w:t>
      </w:r>
      <w:bookmarkEnd w:id="66"/>
    </w:p>
    <w:p/>
    <w:p>
      <w:pPr>
        <w:jc w:val="both"/>
        <w:rPr>
          <w:sz w:val="22"/>
          <w:szCs w:val="24"/>
        </w:rPr>
      </w:pPr>
    </w:p>
    <w:p>
      <w:pPr>
        <w:jc w:val="both"/>
        <w:rPr>
          <w:sz w:val="22"/>
          <w:szCs w:val="24"/>
        </w:rPr>
      </w:pPr>
      <w:r>
        <w:rPr>
          <w:sz w:val="22"/>
          <w:szCs w:val="24"/>
        </w:rPr>
        <w:t xml:space="preserve">Le dispositif appelé PACTE dans la fonction publique « Parcours d'accès aux carrières de la fonction publique territoriale, hospitalière et d'État » est un dispositf d’accès à la fonction publique sans concours, axé sur la formation en alternance et l’obtention d’une qualification. </w:t>
      </w:r>
    </w:p>
    <w:p>
      <w:pPr>
        <w:jc w:val="both"/>
        <w:rPr>
          <w:sz w:val="22"/>
          <w:szCs w:val="24"/>
        </w:rPr>
      </w:pPr>
      <w:r>
        <w:rPr>
          <w:sz w:val="22"/>
          <w:szCs w:val="24"/>
        </w:rPr>
        <w:t>Il permet d'accéder à un emploi de catégorie C,</w:t>
      </w:r>
      <w:r>
        <w:t xml:space="preserve"> </w:t>
      </w:r>
      <w:r>
        <w:rPr>
          <w:sz w:val="22"/>
          <w:szCs w:val="24"/>
        </w:rPr>
        <w:t>c'est-à-dire un emploi ouvert habituellement aux personnes titulaires d'un BEP, d'un CAP ou d'un brevet des collèges, dans la fonction publique de l'Etat,</w:t>
      </w:r>
      <w:r>
        <w:t xml:space="preserve"> </w:t>
      </w:r>
      <w:r>
        <w:rPr>
          <w:sz w:val="22"/>
          <w:szCs w:val="24"/>
        </w:rPr>
        <w:t xml:space="preserve">sans passer de concours. </w:t>
      </w:r>
    </w:p>
    <w:p>
      <w:pPr>
        <w:jc w:val="both"/>
        <w:rPr>
          <w:sz w:val="22"/>
          <w:szCs w:val="24"/>
        </w:rPr>
      </w:pPr>
      <w:r>
        <w:rPr>
          <w:sz w:val="22"/>
          <w:szCs w:val="24"/>
        </w:rPr>
        <w:t>Il s’agit d’un dispositif d'accès à la fonction publique réservé aux jeunes, entre 16 et 28 ans, sans qualification professionnelle, sans diplôme ou peu diplômés (diplôme inférieur au baccalauréat) ou aux chômeurs de longue durée (de moins de 45 ans percevant le RSA, l’ASS ou l’AAH), qui permet d’être recruté sur un contrat de travail en droit public à durée déterminée « CDD » à temps plein, sous réserve d’une période d’essai de 2 mois environ, et de bénéficier d’une formation en alternance.</w:t>
      </w:r>
    </w:p>
    <w:p>
      <w:pPr>
        <w:jc w:val="both"/>
      </w:pPr>
    </w:p>
    <w:p>
      <w:pPr>
        <w:jc w:val="both"/>
        <w:rPr>
          <w:rFonts w:cs="Times New Roman"/>
          <w:b/>
          <w:bCs/>
          <w:sz w:val="24"/>
          <w:szCs w:val="24"/>
        </w:rPr>
      </w:pPr>
      <w:bookmarkStart w:id="67" w:name="_Hlk220082648"/>
      <w:r>
        <w:rPr>
          <w:rFonts w:cs="Times New Roman"/>
          <w:b/>
          <w:bCs/>
          <w:sz w:val="24"/>
          <w:szCs w:val="24"/>
        </w:rPr>
        <w:t xml:space="preserve">2.2.2.1. Bases juridiques </w:t>
      </w:r>
    </w:p>
    <w:bookmarkEnd w:id="67"/>
    <w:p>
      <w:pPr>
        <w:jc w:val="both"/>
        <w:rPr>
          <w:rFonts w:cs="Times New Roman"/>
          <w:sz w:val="22"/>
        </w:rPr>
      </w:pPr>
    </w:p>
    <w:p>
      <w:pPr>
        <w:pStyle w:val="Paragraphedeliste"/>
        <w:numPr>
          <w:ilvl w:val="0"/>
          <w:numId w:val="28"/>
        </w:numPr>
        <w:jc w:val="both"/>
        <w:rPr>
          <w:rFonts w:cs="Times New Roman"/>
          <w:sz w:val="22"/>
        </w:rPr>
      </w:pPr>
      <w:hyperlink r:id="rId59" w:history="1">
        <w:r>
          <w:rPr>
            <w:rStyle w:val="Lienhypertexte"/>
            <w:rFonts w:cs="Times New Roman"/>
            <w:sz w:val="22"/>
          </w:rPr>
          <w:t>CGFP</w:t>
        </w:r>
      </w:hyperlink>
      <w:r>
        <w:rPr>
          <w:rFonts w:cs="Times New Roman"/>
          <w:sz w:val="22"/>
        </w:rPr>
        <w:t xml:space="preserve"> : article L326-10 </w:t>
      </w:r>
    </w:p>
    <w:p>
      <w:pPr>
        <w:pStyle w:val="Paragraphedeliste"/>
        <w:jc w:val="both"/>
        <w:rPr>
          <w:rFonts w:cs="Times New Roman"/>
          <w:sz w:val="22"/>
        </w:rPr>
      </w:pPr>
    </w:p>
    <w:p>
      <w:pPr>
        <w:pStyle w:val="Paragraphedeliste"/>
        <w:numPr>
          <w:ilvl w:val="0"/>
          <w:numId w:val="28"/>
        </w:numPr>
        <w:jc w:val="both"/>
        <w:rPr>
          <w:rFonts w:cs="Times New Roman"/>
          <w:sz w:val="22"/>
        </w:rPr>
      </w:pPr>
      <w:hyperlink r:id="rId60" w:history="1">
        <w:r>
          <w:rPr>
            <w:rStyle w:val="Lienhypertexte"/>
            <w:rFonts w:cs="Times New Roman"/>
            <w:sz w:val="22"/>
          </w:rPr>
          <w:t>Décret n° 2025-695 du 24 juillet 2025 modifiant les livres Ier et II du code général de la fonction publique et relatif aux dispositions réglementaires du livre III du même code</w:t>
        </w:r>
      </w:hyperlink>
    </w:p>
    <w:p>
      <w:pPr>
        <w:pStyle w:val="Paragraphedeliste"/>
        <w:jc w:val="both"/>
        <w:rPr>
          <w:rFonts w:cs="Times New Roman"/>
          <w:sz w:val="22"/>
        </w:rPr>
      </w:pPr>
    </w:p>
    <w:p>
      <w:pPr>
        <w:pStyle w:val="Paragraphedeliste"/>
        <w:jc w:val="both"/>
        <w:rPr>
          <w:rFonts w:cs="Times New Roman"/>
          <w:sz w:val="22"/>
        </w:rPr>
      </w:pPr>
    </w:p>
    <w:p>
      <w:pPr>
        <w:jc w:val="both"/>
        <w:rPr>
          <w:rFonts w:cs="Times New Roman"/>
          <w:b/>
          <w:bCs/>
          <w:sz w:val="24"/>
          <w:szCs w:val="24"/>
        </w:rPr>
      </w:pPr>
      <w:r>
        <w:rPr>
          <w:rFonts w:cs="Times New Roman"/>
          <w:b/>
          <w:bCs/>
          <w:sz w:val="24"/>
          <w:szCs w:val="24"/>
        </w:rPr>
        <w:t>2.2.2.2. Détermination du Salaire</w:t>
      </w:r>
    </w:p>
    <w:p>
      <w:pPr>
        <w:jc w:val="both"/>
      </w:pPr>
    </w:p>
    <w:p>
      <w:pPr>
        <w:spacing w:after="0"/>
        <w:jc w:val="both"/>
        <w:rPr>
          <w:i/>
          <w:iCs/>
          <w:sz w:val="22"/>
          <w:szCs w:val="24"/>
        </w:rPr>
      </w:pPr>
      <w:hyperlink r:id="rId61" w:history="1">
        <w:r>
          <w:rPr>
            <w:rStyle w:val="Lienhypertexte"/>
            <w:sz w:val="22"/>
            <w:szCs w:val="24"/>
          </w:rPr>
          <w:t>CGFP article L326-10 </w:t>
        </w:r>
      </w:hyperlink>
      <w:r>
        <w:rPr>
          <w:sz w:val="22"/>
          <w:szCs w:val="24"/>
        </w:rPr>
        <w:t>: « </w:t>
      </w:r>
      <w:r>
        <w:rPr>
          <w:i/>
          <w:iCs/>
          <w:sz w:val="22"/>
          <w:szCs w:val="24"/>
        </w:rPr>
        <w:t>Les dispositions de la présente section s'appliquent aux jeunes âgés de vingt-huit ans au plus qui sont sortis du système éducatif sans diplôme ou sans qualification professionnelle reconnue ou encore avec un niveau de qualification inférieur à celui attesté par un diplôme de fin de second cycle long de l'enseignement général, technologique ou professionnel </w:t>
      </w:r>
    </w:p>
    <w:p>
      <w:pPr>
        <w:spacing w:after="0"/>
        <w:rPr>
          <w:sz w:val="22"/>
          <w:szCs w:val="24"/>
        </w:rPr>
      </w:pPr>
      <w:r>
        <w:rPr>
          <w:i/>
          <w:iCs/>
          <w:sz w:val="22"/>
          <w:szCs w:val="24"/>
        </w:rPr>
        <w:t>Les intéressés peuvent être recrutés dans des emplois du niveau de la catégorie C relevant des administrations, collectivités ou établissements mentionnées à l'article L. 2 par contrat de droit public ayant pour objet de leur permettre d'acquérir, par une formation en alternance avec leur activité professionnelle, une qualification en rapport avec l'emploi dans lequel ils sont recrutés ou, le cas échéant, le titre ou le diplôme requis pour l'accès au corps ou au cadre d'emplois dont relève cet emploi</w:t>
      </w:r>
      <w:r>
        <w:rPr>
          <w:sz w:val="22"/>
          <w:szCs w:val="24"/>
        </w:rPr>
        <w:t>. »</w:t>
      </w:r>
    </w:p>
    <w:p>
      <w:pPr>
        <w:pStyle w:val="name-article"/>
      </w:pPr>
      <w:hyperlink r:id="rId62" w:history="1">
        <w:r>
          <w:rPr>
            <w:rStyle w:val="Lienhypertexte"/>
          </w:rPr>
          <w:t>Article R326-6</w:t>
        </w:r>
      </w:hyperlink>
      <w:r>
        <w:t xml:space="preserve"> </w:t>
      </w:r>
      <w:r>
        <w:rPr>
          <w:rFonts w:ascii="Marianne" w:eastAsiaTheme="minorHAnsi" w:hAnsi="Marianne" w:cstheme="minorBidi"/>
          <w:sz w:val="22"/>
          <w:lang w:eastAsia="en-US"/>
        </w:rPr>
        <w:t>du décret 2025-695</w:t>
      </w:r>
    </w:p>
    <w:p>
      <w:pPr>
        <w:pStyle w:val="NormalWeb"/>
        <w:rPr>
          <w:i/>
          <w:iCs/>
        </w:rPr>
      </w:pPr>
      <w:r>
        <w:br/>
      </w:r>
      <w:r>
        <w:rPr>
          <w:rFonts w:ascii="Marianne" w:eastAsiaTheme="minorHAnsi" w:hAnsi="Marianne" w:cstheme="minorBidi"/>
          <w:i/>
          <w:iCs/>
          <w:sz w:val="22"/>
          <w:lang w:eastAsia="en-US"/>
        </w:rPr>
        <w:t>« La personne mentionnée aux articles L. 326-10, L. 326-18 ou L. 371-3 est recrutée sur un emploi vacant d'un corps ou d'un cadre d'emplois de catégorie C par un contrat de droit public de formation en alternance dénommé « Parcours d'accès aux carrières de la fonction publique territoriale, hospitalière et de l'Etat ». ».</w:t>
      </w:r>
    </w:p>
    <w:p>
      <w:pPr>
        <w:pStyle w:val="NormalWeb"/>
      </w:pPr>
    </w:p>
    <w:p>
      <w:pPr>
        <w:jc w:val="both"/>
        <w:rPr>
          <w:rFonts w:cs="Times New Roman"/>
          <w:b/>
          <w:bCs/>
          <w:sz w:val="24"/>
          <w:szCs w:val="24"/>
        </w:rPr>
      </w:pPr>
      <w:r>
        <w:rPr>
          <w:rFonts w:cs="Times New Roman"/>
          <w:b/>
          <w:bCs/>
          <w:sz w:val="24"/>
          <w:szCs w:val="24"/>
        </w:rPr>
        <w:t xml:space="preserve"> </w:t>
      </w:r>
    </w:p>
    <w:p/>
    <w:p>
      <w:pPr>
        <w:jc w:val="both"/>
        <w:rPr>
          <w:i/>
          <w:iCs/>
          <w:sz w:val="22"/>
          <w:szCs w:val="24"/>
        </w:rPr>
      </w:pPr>
      <w:hyperlink r:id="rId63" w:history="1">
        <w:r>
          <w:rPr>
            <w:rStyle w:val="Lienhypertexte"/>
            <w:sz w:val="22"/>
            <w:szCs w:val="24"/>
          </w:rPr>
          <w:t>L’article R326-38 du décret 2025-695</w:t>
        </w:r>
      </w:hyperlink>
      <w:r>
        <w:rPr>
          <w:sz w:val="22"/>
          <w:szCs w:val="24"/>
        </w:rPr>
        <w:t xml:space="preserve"> prévoit que </w:t>
      </w:r>
      <w:r>
        <w:rPr>
          <w:i/>
          <w:iCs/>
          <w:sz w:val="22"/>
          <w:szCs w:val="24"/>
        </w:rPr>
        <w:t>« La rémunération brute mensuelle versée à l'agent bénéficiant du contrat mentionné à l'article R. 326-6 pendant la durée de ce contrat est calculée en pourcentage du minimum de traitement de la fonction publique. Ce pourcentage ne peut être inférieur à :</w:t>
      </w:r>
    </w:p>
    <w:p>
      <w:pPr>
        <w:jc w:val="both"/>
        <w:rPr>
          <w:i/>
          <w:iCs/>
          <w:sz w:val="22"/>
          <w:szCs w:val="24"/>
        </w:rPr>
      </w:pPr>
      <w:r>
        <w:rPr>
          <w:i/>
          <w:iCs/>
          <w:sz w:val="22"/>
          <w:szCs w:val="24"/>
        </w:rPr>
        <w:t>1° 55 % de ce minimum si l'agent est âgé de moins de vingt et un ans ;</w:t>
      </w:r>
    </w:p>
    <w:p>
      <w:pPr>
        <w:jc w:val="both"/>
        <w:rPr>
          <w:i/>
          <w:iCs/>
          <w:sz w:val="22"/>
          <w:szCs w:val="24"/>
        </w:rPr>
      </w:pPr>
      <w:r>
        <w:rPr>
          <w:i/>
          <w:iCs/>
          <w:sz w:val="22"/>
          <w:szCs w:val="24"/>
        </w:rPr>
        <w:t>2° 70 % de ce minimum si l'agent est âgé de plus de vingt et un ans.</w:t>
      </w:r>
    </w:p>
    <w:p>
      <w:pPr>
        <w:jc w:val="both"/>
      </w:pPr>
      <w:r>
        <w:rPr>
          <w:i/>
          <w:iCs/>
          <w:sz w:val="22"/>
          <w:szCs w:val="24"/>
        </w:rPr>
        <w:t>Les dispositions du 2° sont applicables à compter du premier jour du mois qui suit celui au cours duquel l'agent atteint l'âge de vingt et un ans. »</w:t>
      </w:r>
    </w:p>
    <w:p>
      <w:pPr>
        <w:jc w:val="both"/>
        <w:rPr>
          <w:bCs/>
        </w:rPr>
      </w:pPr>
    </w:p>
    <w:p>
      <w:pPr>
        <w:jc w:val="both"/>
        <w:rPr>
          <w:rFonts w:cs="Times New Roman"/>
          <w:sz w:val="22"/>
          <w:u w:val="single"/>
        </w:rPr>
      </w:pPr>
    </w:p>
    <w:p>
      <w:pPr>
        <w:rPr>
          <w:rFonts w:cs="Times New Roman"/>
          <w:sz w:val="22"/>
        </w:rPr>
      </w:pPr>
      <w:r>
        <w:rPr>
          <w:rFonts w:cs="Times New Roman"/>
          <w:sz w:val="22"/>
          <w:u w:val="single"/>
        </w:rPr>
        <w:br w:type="page"/>
      </w:r>
    </w:p>
    <w:bookmarkStart w:id="68" w:name="_Toc225170949"/>
    <w:bookmarkStart w:id="69" w:name="_Hlk205975257"/>
    <w:p>
      <w:pPr>
        <w:pStyle w:val="Style3"/>
        <w:rPr>
          <w:b w:val="0"/>
          <w:bCs/>
        </w:rPr>
      </w:pPr>
      <w:r>
        <w:rPr>
          <w:noProof/>
        </w:rPr>
        <w:lastRenderedPageBreak/>
        <mc:AlternateContent>
          <mc:Choice Requires="wps">
            <w:drawing>
              <wp:anchor distT="0" distB="0" distL="114300" distR="114300" simplePos="0" relativeHeight="252133376" behindDoc="1" locked="0" layoutInCell="1" allowOverlap="1">
                <wp:simplePos x="0" y="0"/>
                <wp:positionH relativeFrom="margin">
                  <wp:align>right</wp:align>
                </wp:positionH>
                <wp:positionV relativeFrom="paragraph">
                  <wp:posOffset>32994</wp:posOffset>
                </wp:positionV>
                <wp:extent cx="6124401" cy="626302"/>
                <wp:effectExtent l="0" t="0" r="0" b="2540"/>
                <wp:wrapNone/>
                <wp:docPr id="54" name="Rectangle 5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24401" cy="626302"/>
                        </a:xfrm>
                        <a:prstGeom prst="rect">
                          <a:avLst/>
                        </a:prstGeom>
                        <a:solidFill>
                          <a:srgbClr val="5770B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4" o:spid="_x0000_s1026" alt="&quot;&quot;" style="position:absolute;margin-left:431.05pt;margin-top:2.6pt;width:482.25pt;height:49.3pt;z-index:-251183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" fillcolor="#5770be" stroked="f" strokeweight="1pt">
                <w10:wrap anchorx="margin"/>
              </v:rect>
            </w:pict>
          </mc:Fallback>
        </mc:AlternateContent>
      </w:r>
      <w:r>
        <w:rPr>
          <w:b w:val="0"/>
          <w:bCs/>
        </w:rPr>
        <w:t>2.2.3. Contractuels de droit public : Membres du gouvernement</w:t>
      </w:r>
      <w:bookmarkEnd w:id="68"/>
    </w:p>
    <w:bookmarkEnd w:id="69"/>
    <w:p/>
    <w:p>
      <w:pPr>
        <w:jc w:val="both"/>
        <w:rPr>
          <w:rFonts w:cs="Times New Roman"/>
          <w:sz w:val="22"/>
          <w:u w:val="single"/>
        </w:rPr>
      </w:pPr>
    </w:p>
    <w:p>
      <w:pPr>
        <w:jc w:val="both"/>
        <w:rPr>
          <w:rFonts w:cs="Times New Roman"/>
          <w:sz w:val="22"/>
          <w:u w:val="single"/>
        </w:rPr>
      </w:pPr>
    </w:p>
    <w:p>
      <w:pPr>
        <w:jc w:val="both"/>
        <w:rPr>
          <w:rFonts w:cs="Times New Roman"/>
          <w:b/>
          <w:bCs/>
          <w:sz w:val="24"/>
          <w:szCs w:val="24"/>
        </w:rPr>
      </w:pPr>
      <w:r>
        <w:rPr>
          <w:rFonts w:cs="Times New Roman"/>
          <w:b/>
          <w:bCs/>
          <w:sz w:val="24"/>
          <w:szCs w:val="24"/>
        </w:rPr>
        <w:t xml:space="preserve">2.2.3.1. Bases juridiques </w:t>
      </w:r>
    </w:p>
    <w:p>
      <w:pPr>
        <w:pStyle w:val="Paragraphedeliste"/>
        <w:ind w:left="1080"/>
        <w:jc w:val="both"/>
        <w:rPr>
          <w:rFonts w:cs="Times New Roman"/>
          <w:b/>
          <w:bCs/>
          <w:color w:val="FFC29E"/>
          <w:sz w:val="24"/>
          <w:szCs w:val="24"/>
          <w:highlight w:val="darkGray"/>
        </w:rPr>
      </w:pPr>
    </w:p>
    <w:p>
      <w:pPr>
        <w:pStyle w:val="Paragraphedeliste"/>
        <w:numPr>
          <w:ilvl w:val="0"/>
          <w:numId w:val="29"/>
        </w:numPr>
        <w:rPr>
          <w:sz w:val="22"/>
          <w:szCs w:val="24"/>
        </w:rPr>
      </w:pPr>
      <w:r>
        <w:rPr>
          <w:sz w:val="22"/>
          <w:szCs w:val="24"/>
        </w:rPr>
        <w:t>Décret n° 2012-983 du 23 août 2012 relatif au traitement du Président de la République et des membres du Gouvernement</w:t>
      </w:r>
    </w:p>
    <w:p>
      <w:pPr>
        <w:pStyle w:val="Paragraphedeliste"/>
        <w:rPr>
          <w:sz w:val="22"/>
          <w:szCs w:val="24"/>
        </w:rPr>
      </w:pPr>
    </w:p>
    <w:p>
      <w:pPr>
        <w:pStyle w:val="Paragraphedeliste"/>
        <w:numPr>
          <w:ilvl w:val="0"/>
          <w:numId w:val="29"/>
        </w:numPr>
        <w:rPr>
          <w:sz w:val="22"/>
          <w:szCs w:val="24"/>
        </w:rPr>
      </w:pPr>
      <w:r>
        <w:rPr>
          <w:sz w:val="22"/>
          <w:szCs w:val="24"/>
        </w:rPr>
        <w:t>Décret n° 2014-425 du 25 avril 2014 relatif au traitement des secrétaires d'Etat</w:t>
      </w:r>
    </w:p>
    <w:p>
      <w:pPr>
        <w:pStyle w:val="Paragraphedeliste"/>
        <w:rPr>
          <w:sz w:val="22"/>
          <w:szCs w:val="24"/>
        </w:rPr>
      </w:pPr>
    </w:p>
    <w:p>
      <w:pPr>
        <w:pStyle w:val="Paragraphedeliste"/>
        <w:rPr>
          <w:sz w:val="22"/>
          <w:szCs w:val="24"/>
        </w:rPr>
      </w:pPr>
    </w:p>
    <w:p>
      <w:pPr>
        <w:jc w:val="both"/>
        <w:rPr>
          <w:rFonts w:cs="Times New Roman"/>
          <w:b/>
          <w:bCs/>
          <w:sz w:val="24"/>
          <w:szCs w:val="24"/>
        </w:rPr>
      </w:pPr>
      <w:r>
        <w:rPr>
          <w:rFonts w:cs="Times New Roman"/>
          <w:b/>
          <w:bCs/>
          <w:sz w:val="24"/>
          <w:szCs w:val="24"/>
        </w:rPr>
        <w:t>2.2.3.2. Détermination du Salaire</w:t>
      </w:r>
    </w:p>
    <w:p>
      <w:pPr>
        <w:pStyle w:val="Paragraphedeliste"/>
        <w:rPr>
          <w:sz w:val="22"/>
          <w:szCs w:val="24"/>
        </w:rPr>
      </w:pPr>
    </w:p>
    <w:p>
      <w:pPr>
        <w:pStyle w:val="Paragraphedeliste"/>
        <w:rPr>
          <w:sz w:val="22"/>
          <w:szCs w:val="24"/>
        </w:rPr>
      </w:pPr>
      <w:r>
        <w:rPr>
          <w:sz w:val="22"/>
          <w:szCs w:val="24"/>
        </w:rPr>
        <w:t>La nomination des membres du gouvernement doit être publiée au Journal Officiel.</w:t>
      </w:r>
    </w:p>
    <w:p/>
    <w:p>
      <w:pPr>
        <w:jc w:val="both"/>
        <w:rPr>
          <w:i/>
          <w:iCs/>
          <w:sz w:val="22"/>
        </w:rPr>
      </w:pPr>
      <w:hyperlink r:id="rId64" w:history="1">
        <w:r>
          <w:rPr>
            <w:rStyle w:val="Lienhypertexte"/>
            <w:sz w:val="22"/>
          </w:rPr>
          <w:t>L’article 2 du décret 2012-983</w:t>
        </w:r>
      </w:hyperlink>
      <w:r>
        <w:rPr>
          <w:sz w:val="22"/>
        </w:rPr>
        <w:t xml:space="preserve"> </w:t>
      </w:r>
      <w:r>
        <w:rPr>
          <w:i/>
          <w:iCs/>
          <w:sz w:val="22"/>
        </w:rPr>
        <w:t>« Le traitement brut mensuel prévu à l'article 1er est fixé, pour les ministres et les ministres délégués, à 1,4 fois la moyenne du traitement le plus élevé et du traitement le plus bas perçu par les fonctionnaires occupant des emplois de l'Etat classés dans la catégorie « hors échelle ». »</w:t>
      </w:r>
    </w:p>
    <w:p>
      <w:pPr>
        <w:jc w:val="both"/>
        <w:rPr>
          <w:i/>
          <w:iCs/>
          <w:sz w:val="22"/>
        </w:rPr>
      </w:pPr>
    </w:p>
    <w:p>
      <w:pPr>
        <w:pStyle w:val="NormalWeb"/>
        <w:spacing w:before="0" w:beforeAutospacing="0" w:after="0" w:afterAutospacing="0"/>
        <w:jc w:val="both"/>
        <w:rPr>
          <w:rFonts w:ascii="Marianne" w:hAnsi="Marianne"/>
          <w:sz w:val="22"/>
          <w:szCs w:val="22"/>
          <w:lang w:eastAsia="en-US"/>
        </w:rPr>
      </w:pPr>
      <w:hyperlink r:id="rId65" w:history="1">
        <w:r>
          <w:rPr>
            <w:rStyle w:val="Lienhypertexte"/>
            <w:sz w:val="22"/>
          </w:rPr>
          <w:t>L</w:t>
        </w:r>
        <w:r>
          <w:rPr>
            <w:rStyle w:val="Lienhypertexte"/>
            <w:rFonts w:ascii="Marianne" w:hAnsi="Marianne"/>
            <w:sz w:val="22"/>
            <w:szCs w:val="22"/>
          </w:rPr>
          <w:t>’article 6 du décret 85-1148</w:t>
        </w:r>
      </w:hyperlink>
      <w:r>
        <w:rPr>
          <w:rFonts w:ascii="Marianne" w:hAnsi="Marianne"/>
          <w:sz w:val="22"/>
          <w:szCs w:val="22"/>
        </w:rPr>
        <w:t xml:space="preserve"> fixe, </w:t>
      </w:r>
      <w:r>
        <w:rPr>
          <w:rFonts w:ascii="Marianne" w:hAnsi="Marianne"/>
          <w:sz w:val="22"/>
          <w:szCs w:val="22"/>
          <w:lang w:eastAsia="en-US"/>
        </w:rPr>
        <w:t>à compter du 1er janvier 2024, les traitements annuels correspondant à chacun des groupes hors échelle :</w:t>
      </w:r>
    </w:p>
    <w:p>
      <w:pPr>
        <w:pStyle w:val="NormalWeb"/>
        <w:spacing w:before="0" w:beforeAutospacing="0" w:after="0" w:afterAutospacing="0"/>
        <w:jc w:val="both"/>
        <w:rPr>
          <w:rFonts w:ascii="Marianne" w:hAnsi="Marianne"/>
          <w:sz w:val="22"/>
          <w:szCs w:val="22"/>
          <w:lang w:eastAsia="en-US"/>
        </w:rPr>
      </w:pPr>
      <w:r>
        <w:rPr>
          <w:rFonts w:ascii="Marianne" w:hAnsi="Marianne"/>
          <w:sz w:val="22"/>
          <w:szCs w:val="22"/>
          <w:lang w:eastAsia="en-US"/>
        </w:rPr>
        <w:t>Pour le groupe A chevron I : 52870.69€ et pour le groupe G : 89496.20€.</w:t>
      </w:r>
    </w:p>
    <w:p>
      <w:pPr>
        <w:pStyle w:val="NormalWeb"/>
        <w:spacing w:before="0" w:beforeAutospacing="0" w:after="0" w:afterAutospacing="0"/>
        <w:jc w:val="both"/>
        <w:rPr>
          <w:rFonts w:ascii="Marianne" w:hAnsi="Marianne"/>
          <w:sz w:val="22"/>
          <w:szCs w:val="22"/>
          <w:lang w:eastAsia="en-US"/>
        </w:rPr>
      </w:pPr>
      <w:r>
        <w:rPr>
          <w:rFonts w:ascii="Marianne" w:hAnsi="Marianne"/>
          <w:sz w:val="22"/>
          <w:szCs w:val="22"/>
          <w:lang w:eastAsia="en-US"/>
        </w:rPr>
        <w:t>Le traitement brut mensuel des ministres et ministres délégués s’élève à :</w:t>
      </w:r>
    </w:p>
    <w:p>
      <w:pPr>
        <w:pStyle w:val="NormalWeb"/>
        <w:spacing w:before="0" w:beforeAutospacing="0" w:after="0" w:afterAutospacing="0"/>
        <w:jc w:val="both"/>
        <w:rPr>
          <w:rFonts w:ascii="Marianne" w:hAnsi="Marianne"/>
          <w:sz w:val="22"/>
          <w:szCs w:val="22"/>
          <w:lang w:eastAsia="en-US"/>
        </w:rPr>
      </w:pPr>
      <w:r>
        <w:rPr>
          <w:rFonts w:ascii="Marianne" w:hAnsi="Marianne"/>
          <w:sz w:val="22"/>
          <w:szCs w:val="22"/>
          <w:lang w:eastAsia="en-US"/>
        </w:rPr>
        <w:t>(52870.69 + 89496.20) / 2 * 1.4 = 99656.82€ par an soit 8304.74€ par mois hors IR et indemnité de fonction</w:t>
      </w:r>
    </w:p>
    <w:p>
      <w:pPr>
        <w:jc w:val="both"/>
        <w:rPr>
          <w:sz w:val="22"/>
        </w:rPr>
      </w:pPr>
    </w:p>
    <w:p>
      <w:pPr>
        <w:jc w:val="both"/>
        <w:rPr>
          <w:sz w:val="22"/>
        </w:rPr>
      </w:pPr>
      <w:hyperlink r:id="rId66" w:history="1">
        <w:r>
          <w:rPr>
            <w:rStyle w:val="Lienhypertexte"/>
            <w:sz w:val="22"/>
          </w:rPr>
          <w:t>L’article 3</w:t>
        </w:r>
      </w:hyperlink>
      <w:r>
        <w:rPr>
          <w:sz w:val="22"/>
        </w:rPr>
        <w:t xml:space="preserve"> du même décret précise que </w:t>
      </w:r>
      <w:r>
        <w:rPr>
          <w:i/>
          <w:iCs/>
          <w:sz w:val="22"/>
        </w:rPr>
        <w:t>« Le traitement brut mensuel, l'indemnité de résidence et l'indemnité de fonction du Président de la République et du Premier ministre sont égaux aux montants les plus élevés définis à l'article 1er ci-dessus majorés de 5 %. »</w:t>
      </w:r>
    </w:p>
    <w:p>
      <w:pPr>
        <w:jc w:val="both"/>
        <w:rPr>
          <w:rFonts w:cs="Times New Roman"/>
          <w:i/>
          <w:iCs/>
          <w:sz w:val="22"/>
        </w:rPr>
      </w:pPr>
      <w:hyperlink r:id="rId67" w:history="1">
        <w:r>
          <w:rPr>
            <w:rStyle w:val="Lienhypertexte"/>
            <w:rFonts w:cs="Times New Roman"/>
            <w:sz w:val="22"/>
          </w:rPr>
          <w:t>Les articles 1 et 2 du décret 2014-425</w:t>
        </w:r>
      </w:hyperlink>
      <w:r>
        <w:rPr>
          <w:rFonts w:cs="Times New Roman"/>
          <w:sz w:val="22"/>
        </w:rPr>
        <w:t xml:space="preserve"> précisent respectivement que </w:t>
      </w:r>
      <w:r>
        <w:rPr>
          <w:rFonts w:cs="Times New Roman"/>
          <w:i/>
          <w:iCs/>
          <w:sz w:val="22"/>
        </w:rPr>
        <w:t>« Les secrétaires d'Etat reçoivent un traitement brut mensuel calculé par référence au traitement des fonctionnaires occupant les emplois de l'Etat classés dans la catégorie dite « hors échelle ».</w:t>
      </w:r>
    </w:p>
    <w:p>
      <w:pPr>
        <w:jc w:val="both"/>
        <w:rPr>
          <w:rFonts w:cs="Times New Roman"/>
          <w:i/>
          <w:iCs/>
          <w:sz w:val="22"/>
        </w:rPr>
      </w:pPr>
      <w:r>
        <w:rPr>
          <w:rFonts w:cs="Times New Roman"/>
          <w:i/>
          <w:iCs/>
          <w:sz w:val="22"/>
        </w:rPr>
        <w:t>Ce traitement est complété par une indemnité de résidence égale à 3 % de son montant et par une indemnité de fonctions égale à 25 % de la somme du traitement brut et de l'indemnité de résidence.</w:t>
      </w:r>
    </w:p>
    <w:p>
      <w:pPr>
        <w:jc w:val="both"/>
      </w:pPr>
      <w:r>
        <w:rPr>
          <w:rFonts w:cs="Times New Roman"/>
          <w:i/>
          <w:iCs/>
          <w:sz w:val="22"/>
        </w:rPr>
        <w:t>Le traitement brut mensuel des secrétaires d'Etat est égal à 1,33 fois la moyenne du traitement le plus élevé et du traitement le plus bas perçu par les fonctionnaires occupant des emplois de l'Etat classés dans la catégorie « hors échelle ». »</w:t>
      </w:r>
    </w:p>
    <w:p/>
    <w:p>
      <w:r>
        <w:br w:type="page"/>
      </w:r>
    </w:p>
    <w:p>
      <w:pPr>
        <w:rPr>
          <w:sz w:val="22"/>
          <w:szCs w:val="24"/>
        </w:rPr>
      </w:pPr>
      <w:r>
        <w:rPr>
          <w:noProof/>
        </w:rPr>
        <w:lastRenderedPageBreak/>
        <mc:AlternateContent>
          <mc:Choice Requires="wps">
            <w:drawing>
              <wp:anchor distT="0" distB="0" distL="114300" distR="114300" simplePos="0" relativeHeight="252077056" behindDoc="1" locked="0" layoutInCell="1" allowOverlap="1">
                <wp:simplePos x="0" y="0"/>
                <wp:positionH relativeFrom="column">
                  <wp:posOffset>-733425</wp:posOffset>
                </wp:positionH>
                <wp:positionV relativeFrom="paragraph">
                  <wp:posOffset>-901065</wp:posOffset>
                </wp:positionV>
                <wp:extent cx="7581900" cy="10906125"/>
                <wp:effectExtent l="0" t="0" r="19050" b="28575"/>
                <wp:wrapNone/>
                <wp:docPr id="35" name="Rectangle 35"/>
                <wp:cNvGraphicFramePr/>
                <a:graphic xmlns:a="http://schemas.openxmlformats.org/drawingml/2006/main">
                  <a:graphicData uri="http://schemas.microsoft.com/office/word/2010/wordprocessingShape">
                    <wps:wsp>
                      <wps:cNvSpPr/>
                      <wps:spPr>
                        <a:xfrm>
                          <a:off x="0" y="0"/>
                          <a:ext cx="7581900" cy="10906125"/>
                        </a:xfrm>
                        <a:prstGeom prst="rect">
                          <a:avLst/>
                        </a:prstGeom>
                        <a:solidFill>
                          <a:srgbClr val="91AE4F">
                            <a:alpha val="60000"/>
                          </a:srgbClr>
                        </a:solidFill>
                      </wps:spPr>
                      <wps:style>
                        <a:lnRef idx="2">
                          <a:schemeClr val="accent1">
                            <a:shade val="50000"/>
                          </a:schemeClr>
                        </a:lnRef>
                        <a:fillRef idx="1">
                          <a:schemeClr val="accent1"/>
                        </a:fillRef>
                        <a:effectRef idx="0">
                          <a:schemeClr val="accent1"/>
                        </a:effectRef>
                        <a:fontRef idx="minor">
                          <a:schemeClr val="lt1"/>
                        </a:fontRef>
                      </wps:style>
                      <wps:txbx>
                        <w:txbxContent>
                          <w:p>
                            <w:pPr>
                              <w:pStyle w:val="Style1"/>
                              <w:ind w:right="1530"/>
                              <w:jc w:val="right"/>
                              <w:rPr>
                                <w:color w:val="FF0000"/>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5" o:spid="_x0000_s1033" style="position:absolute;margin-left:-57.75pt;margin-top:-70.95pt;width:597pt;height:858.75pt;z-index:-251239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" fillcolor="#91ae4f" strokecolor="#1f3763 [1604]" strokeweight="1pt">
                <v:fill opacity="39321f"/>
                <v:textbox>
                  <w:txbxContent>
                    <w:p>
                      <w:pPr>
                        <w:pStyle w:val="Style1"/>
                        <w:ind w:right="1530"/>
                        <w:jc w:val="right"/>
                        <w:rPr>
                          <w:color w:val="FF0000"/>
                          <w:sz w:val="32"/>
                          <w:szCs w:val="32"/>
                        </w:rPr>
                      </w:pPr>
                    </w:p>
                  </w:txbxContent>
                </v:textbox>
              </v:rect>
            </w:pict>
          </mc:Fallback>
        </mc:AlternateContent>
      </w:r>
    </w:p>
    <w:p/>
    <w:p/>
    <w:p/>
    <w:p/>
    <w:p/>
    <w:p/>
    <w:p>
      <w:pPr>
        <w:pStyle w:val="Style1"/>
        <w:ind w:left="945" w:right="1530"/>
        <w:jc w:val="right"/>
      </w:pPr>
      <w:bookmarkStart w:id="70" w:name="_Toc225170950"/>
      <w:r>
        <w:t>3. SOLDE DES MILITAIRES</w:t>
      </w:r>
      <w:r>
        <w:br/>
      </w:r>
      <w:r>
        <w:rPr>
          <w:color w:val="FF0000"/>
          <w:sz w:val="32"/>
          <w:szCs w:val="32"/>
        </w:rPr>
        <w:t xml:space="preserve"> - CHAPITRE EN COURS DE REDACTION</w:t>
      </w:r>
      <w:bookmarkEnd w:id="70"/>
    </w:p>
    <w:p/>
    <w:p/>
    <w:p/>
    <w:p/>
    <w:p/>
    <w:p/>
    <w:p>
      <w:r>
        <w:br w:type="page"/>
      </w:r>
    </w:p>
    <w:p>
      <w:r>
        <w:rPr>
          <w:noProof/>
        </w:rPr>
        <w:lastRenderedPageBreak/>
        <mc:AlternateContent>
          <mc:Choice Requires="wps">
            <w:drawing>
              <wp:anchor distT="0" distB="0" distL="114300" distR="114300" simplePos="0" relativeHeight="252166144" behindDoc="0" locked="0" layoutInCell="1" allowOverlap="1">
                <wp:simplePos x="0" y="0"/>
                <wp:positionH relativeFrom="column">
                  <wp:posOffset>-314325</wp:posOffset>
                </wp:positionH>
                <wp:positionV relativeFrom="paragraph">
                  <wp:posOffset>294640</wp:posOffset>
                </wp:positionV>
                <wp:extent cx="550684" cy="576000"/>
                <wp:effectExtent l="19050" t="0" r="1905" b="33655"/>
                <wp:wrapNone/>
                <wp:docPr id="24" name="Larm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24" o:spid="_x0000_s1026" alt="&quot;&quot;" style="position:absolute;margin-left:-24.75pt;margin-top:23.2pt;width:43.35pt;height:45.35pt;rotation:11557929fd;z-index:25216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p>
    <w:p>
      <w:pPr>
        <w:pStyle w:val="Style2"/>
        <w:ind w:left="426"/>
      </w:pPr>
      <w:bookmarkStart w:id="71" w:name="_Toc225170951"/>
      <w:r>
        <w:t>3.1. Solde de base</w:t>
      </w:r>
      <w:bookmarkEnd w:id="71"/>
      <w:r>
        <w:t xml:space="preserve"> </w:t>
      </w:r>
    </w:p>
    <w:p/>
    <w:p/>
    <w:p/>
    <w:p/>
    <w:p/>
    <w:p/>
    <w:p>
      <w:r>
        <w:rPr>
          <w:noProof/>
        </w:rPr>
        <mc:AlternateContent>
          <mc:Choice Requires="wps">
            <w:drawing>
              <wp:anchor distT="0" distB="0" distL="114300" distR="114300" simplePos="0" relativeHeight="252189696" behindDoc="0" locked="0" layoutInCell="1" allowOverlap="1">
                <wp:simplePos x="0" y="0"/>
                <wp:positionH relativeFrom="column">
                  <wp:posOffset>-314325</wp:posOffset>
                </wp:positionH>
                <wp:positionV relativeFrom="paragraph">
                  <wp:posOffset>294640</wp:posOffset>
                </wp:positionV>
                <wp:extent cx="550684" cy="576000"/>
                <wp:effectExtent l="19050" t="0" r="1905" b="33655"/>
                <wp:wrapNone/>
                <wp:docPr id="25" name="Larm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25" o:spid="_x0000_s1026" alt="&quot;&quot;" style="position:absolute;margin-left:-24.75pt;margin-top:23.2pt;width:43.35pt;height:45.35pt;rotation:11557929fd;z-index:25218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p>
    <w:p>
      <w:pPr>
        <w:pStyle w:val="Style2"/>
        <w:ind w:left="426"/>
      </w:pPr>
      <w:bookmarkStart w:id="72" w:name="_Toc225170952"/>
      <w:r>
        <w:t>3.2. Emoluments assimilés au traitement indiciaire</w:t>
      </w:r>
      <w:bookmarkEnd w:id="72"/>
      <w:r>
        <w:t xml:space="preserve"> </w:t>
      </w:r>
    </w:p>
    <w:p/>
    <w:p/>
    <w:p/>
    <w:bookmarkStart w:id="73" w:name="_Toc225170953"/>
    <w:p>
      <w:pPr>
        <w:keepNext/>
        <w:keepLines/>
        <w:spacing w:before="40" w:after="0" w:line="240" w:lineRule="auto"/>
        <w:ind w:left="360"/>
        <w:outlineLvl w:val="2"/>
        <w:rPr>
          <w:rFonts w:eastAsiaTheme="majorEastAsia" w:cstheme="majorBidi"/>
          <w:bCs/>
          <w:color w:val="FFFFFF" w:themeColor="background1"/>
          <w:sz w:val="32"/>
        </w:rPr>
      </w:pPr>
      <w:r>
        <w:rPr>
          <w:rFonts w:eastAsiaTheme="majorEastAsia" w:cstheme="majorBidi"/>
          <w:b/>
          <w:noProof/>
          <w:color w:val="FFFFFF" w:themeColor="background1"/>
          <w:sz w:val="32"/>
        </w:rPr>
        <mc:AlternateContent>
          <mc:Choice Requires="wps">
            <w:drawing>
              <wp:anchor distT="0" distB="0" distL="114300" distR="114300" simplePos="0" relativeHeight="252170240" behindDoc="1" locked="0" layoutInCell="1" allowOverlap="1">
                <wp:simplePos x="0" y="0"/>
                <wp:positionH relativeFrom="margin">
                  <wp:align>right</wp:align>
                </wp:positionH>
                <wp:positionV relativeFrom="paragraph">
                  <wp:posOffset>30537</wp:posOffset>
                </wp:positionV>
                <wp:extent cx="6113088" cy="341194"/>
                <wp:effectExtent l="0" t="0" r="2540" b="1905"/>
                <wp:wrapNone/>
                <wp:docPr id="40" name="Rectangle 4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113088" cy="341194"/>
                        </a:xfrm>
                        <a:prstGeom prst="rect">
                          <a:avLst/>
                        </a:prstGeom>
                        <a:solidFill>
                          <a:srgbClr val="5770BE"/>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26" alt="&quot;&quot;" style="position:absolute;margin-left:430.15pt;margin-top:2.4pt;width:481.35pt;height:26.85pt;z-index:-251146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" fillcolor="#5770be" stroked="f" strokeweight="1pt">
                <w10:wrap anchorx="margin"/>
              </v:rect>
            </w:pict>
          </mc:Fallback>
        </mc:AlternateContent>
      </w:r>
      <w:r>
        <w:rPr>
          <w:rFonts w:eastAsiaTheme="majorEastAsia" w:cstheme="majorBidi"/>
          <w:bCs/>
          <w:color w:val="FFFFFF" w:themeColor="background1"/>
          <w:sz w:val="32"/>
        </w:rPr>
        <w:t>3.</w:t>
      </w:r>
      <w:bookmarkStart w:id="74" w:name="_Hlk225170522"/>
      <w:r>
        <w:rPr>
          <w:rFonts w:eastAsiaTheme="majorEastAsia" w:cstheme="majorBidi"/>
          <w:bCs/>
          <w:color w:val="FFFFFF" w:themeColor="background1"/>
          <w:sz w:val="32"/>
        </w:rPr>
        <w:t>2.1. Le complément de traitement indiciaire</w:t>
      </w:r>
      <w:bookmarkEnd w:id="73"/>
      <w:r>
        <w:rPr>
          <w:rFonts w:eastAsiaTheme="majorEastAsia" w:cstheme="majorBidi"/>
          <w:bCs/>
          <w:color w:val="FFFFFF" w:themeColor="background1"/>
          <w:sz w:val="32"/>
        </w:rPr>
        <w:t xml:space="preserve"> </w:t>
      </w:r>
      <w:bookmarkEnd w:id="74"/>
    </w:p>
    <w:p>
      <w:pPr>
        <w:jc w:val="both"/>
        <w:rPr>
          <w:sz w:val="22"/>
          <w:szCs w:val="24"/>
        </w:rPr>
      </w:pPr>
    </w:p>
    <w:p>
      <w:pPr>
        <w:jc w:val="both"/>
        <w:rPr>
          <w:sz w:val="22"/>
          <w:szCs w:val="24"/>
        </w:rPr>
      </w:pPr>
    </w:p>
    <w:p>
      <w:pPr>
        <w:jc w:val="both"/>
        <w:rPr>
          <w:sz w:val="22"/>
          <w:szCs w:val="24"/>
        </w:rPr>
      </w:pPr>
    </w:p>
    <w:p>
      <w:pPr>
        <w:jc w:val="both"/>
        <w:rPr>
          <w:sz w:val="22"/>
          <w:szCs w:val="24"/>
        </w:rPr>
      </w:pPr>
      <w:r>
        <w:rPr>
          <w:sz w:val="22"/>
          <w:szCs w:val="24"/>
        </w:rPr>
        <w:t>Spécificités des contractuels du MINARM si différent du chapitre Contractuels</w:t>
      </w:r>
    </w:p>
    <w:p>
      <w:pPr>
        <w:jc w:val="both"/>
        <w:rPr>
          <w:sz w:val="22"/>
          <w:szCs w:val="24"/>
        </w:rPr>
      </w:pPr>
    </w:p>
    <w:p>
      <w:pPr>
        <w:jc w:val="both"/>
        <w:rPr>
          <w:sz w:val="22"/>
          <w:szCs w:val="24"/>
        </w:rPr>
      </w:pPr>
    </w:p>
    <w:p>
      <w:pPr>
        <w:jc w:val="both"/>
        <w:rPr>
          <w:sz w:val="22"/>
          <w:szCs w:val="24"/>
        </w:rPr>
      </w:pPr>
    </w:p>
    <w:p>
      <w:pPr>
        <w:jc w:val="both"/>
        <w:rPr>
          <w:sz w:val="22"/>
          <w:szCs w:val="24"/>
        </w:rPr>
      </w:pPr>
    </w:p>
    <w:p>
      <w:pPr>
        <w:jc w:val="both"/>
        <w:rPr>
          <w:sz w:val="22"/>
          <w:szCs w:val="24"/>
        </w:rPr>
      </w:pPr>
    </w:p>
    <w:p>
      <w:r>
        <w:br w:type="page"/>
      </w:r>
    </w:p>
    <w:p>
      <w:pPr>
        <w:rPr>
          <w:sz w:val="22"/>
          <w:szCs w:val="24"/>
        </w:rPr>
      </w:pPr>
      <w:r>
        <w:rPr>
          <w:noProof/>
        </w:rPr>
        <w:lastRenderedPageBreak/>
        <mc:AlternateContent>
          <mc:Choice Requires="wps">
            <w:drawing>
              <wp:anchor distT="0" distB="0" distL="114300" distR="114300" simplePos="0" relativeHeight="252151808" behindDoc="1" locked="0" layoutInCell="1" allowOverlap="1">
                <wp:simplePos x="0" y="0"/>
                <wp:positionH relativeFrom="column">
                  <wp:posOffset>-733425</wp:posOffset>
                </wp:positionH>
                <wp:positionV relativeFrom="paragraph">
                  <wp:posOffset>-901065</wp:posOffset>
                </wp:positionV>
                <wp:extent cx="7581900" cy="1090612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7581900" cy="10906125"/>
                        </a:xfrm>
                        <a:prstGeom prst="rect">
                          <a:avLst/>
                        </a:prstGeom>
                        <a:solidFill>
                          <a:srgbClr val="91AE4F">
                            <a:alpha val="60000"/>
                          </a:srgbClr>
                        </a:solidFill>
                      </wps:spPr>
                      <wps:style>
                        <a:lnRef idx="2">
                          <a:schemeClr val="accent1">
                            <a:shade val="50000"/>
                          </a:schemeClr>
                        </a:lnRef>
                        <a:fillRef idx="1">
                          <a:schemeClr val="accent1"/>
                        </a:fillRef>
                        <a:effectRef idx="0">
                          <a:schemeClr val="accent1"/>
                        </a:effectRef>
                        <a:fontRef idx="minor">
                          <a:schemeClr val="lt1"/>
                        </a:fontRef>
                      </wps:style>
                      <wps:txbx>
                        <w:txbxContent>
                          <w:p>
                            <w:pPr>
                              <w:pStyle w:val="Style1"/>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8" o:spid="_x0000_s1034" style="position:absolute;margin-left:-57.75pt;margin-top:-70.95pt;width:597pt;height:858.75pt;z-index:-251164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" fillcolor="#91ae4f" strokecolor="#1f3763 [1604]" strokeweight="1pt">
                <v:fill opacity="39321f"/>
                <v:textbox>
                  <w:txbxContent>
                    <w:p>
                      <w:pPr>
                        <w:pStyle w:val="Style1"/>
                      </w:pPr>
                    </w:p>
                  </w:txbxContent>
                </v:textbox>
              </v:rect>
            </w:pict>
          </mc:Fallback>
        </mc:AlternateContent>
      </w:r>
    </w:p>
    <w:p>
      <w:pPr>
        <w:rPr>
          <w:sz w:val="44"/>
          <w:szCs w:val="20"/>
        </w:rPr>
      </w:pPr>
    </w:p>
    <w:p>
      <w:pPr>
        <w:rPr>
          <w:sz w:val="44"/>
          <w:szCs w:val="20"/>
        </w:rPr>
      </w:pPr>
    </w:p>
    <w:p>
      <w:pPr>
        <w:ind w:firstLine="708"/>
        <w:rPr>
          <w:sz w:val="44"/>
          <w:szCs w:val="20"/>
        </w:rPr>
      </w:pPr>
      <w:bookmarkStart w:id="75" w:name="_Hlk223355034"/>
    </w:p>
    <w:p>
      <w:pPr>
        <w:ind w:firstLine="708"/>
        <w:rPr>
          <w:sz w:val="44"/>
          <w:szCs w:val="20"/>
        </w:rPr>
      </w:pPr>
    </w:p>
    <w:p>
      <w:pPr>
        <w:ind w:firstLine="708"/>
        <w:rPr>
          <w:sz w:val="44"/>
          <w:szCs w:val="20"/>
        </w:rPr>
      </w:pPr>
    </w:p>
    <w:p>
      <w:pPr>
        <w:pStyle w:val="Paragraphedeliste"/>
        <w:ind w:left="945"/>
        <w:jc w:val="right"/>
        <w:outlineLvl w:val="0"/>
        <w:rPr>
          <w:rFonts w:eastAsiaTheme="majorEastAsia" w:cstheme="majorBidi"/>
          <w:b/>
          <w:color w:val="FF0000"/>
          <w:sz w:val="32"/>
          <w:szCs w:val="32"/>
        </w:rPr>
      </w:pPr>
      <w:bookmarkStart w:id="76" w:name="_Toc225170954"/>
      <w:r>
        <w:rPr>
          <w:rFonts w:eastAsiaTheme="majorEastAsia" w:cstheme="majorBidi"/>
          <w:b/>
          <w:color w:val="FFFFFF" w:themeColor="background1"/>
          <w:sz w:val="84"/>
          <w:szCs w:val="52"/>
        </w:rPr>
        <w:t>4. SALAIRE DES OUVRIERS</w:t>
      </w:r>
      <w:r>
        <w:rPr>
          <w:rFonts w:eastAsiaTheme="majorEastAsia" w:cstheme="majorBidi"/>
          <w:b/>
          <w:color w:val="FFFFFF" w:themeColor="background1"/>
          <w:sz w:val="84"/>
          <w:szCs w:val="52"/>
        </w:rPr>
        <w:br/>
      </w:r>
      <w:r>
        <w:rPr>
          <w:rFonts w:eastAsiaTheme="majorEastAsia" w:cstheme="majorBidi"/>
          <w:b/>
          <w:color w:val="FF0000"/>
          <w:sz w:val="32"/>
          <w:szCs w:val="32"/>
        </w:rPr>
        <w:t xml:space="preserve"> -</w:t>
      </w:r>
      <w:r>
        <w:rPr>
          <w:color w:val="FF0000"/>
          <w:sz w:val="32"/>
          <w:szCs w:val="32"/>
        </w:rPr>
        <w:t xml:space="preserve"> </w:t>
      </w:r>
      <w:r>
        <w:rPr>
          <w:rFonts w:eastAsiaTheme="majorEastAsia" w:cstheme="majorBidi"/>
          <w:b/>
          <w:color w:val="FF0000"/>
          <w:sz w:val="32"/>
          <w:szCs w:val="32"/>
        </w:rPr>
        <w:t>CHAPITRE EN COURS DE REDACTION</w:t>
      </w:r>
      <w:bookmarkEnd w:id="76"/>
    </w:p>
    <w:bookmarkEnd w:id="75"/>
    <w:p>
      <w:pPr>
        <w:rPr>
          <w:sz w:val="44"/>
          <w:szCs w:val="20"/>
        </w:rPr>
      </w:pPr>
      <w:r>
        <w:rPr>
          <w:sz w:val="44"/>
          <w:szCs w:val="20"/>
        </w:rPr>
        <w:br w:type="page"/>
      </w:r>
    </w:p>
    <w:p>
      <w:pPr>
        <w:rPr>
          <w:rFonts w:eastAsiaTheme="majorEastAsia" w:cstheme="majorBidi"/>
          <w:b/>
          <w:color w:val="466964"/>
          <w:sz w:val="44"/>
          <w:szCs w:val="20"/>
        </w:rPr>
      </w:pPr>
    </w:p>
    <w:bookmarkStart w:id="77" w:name="_Toc225170955"/>
    <w:p>
      <w:pPr>
        <w:pStyle w:val="Style2"/>
        <w:ind w:left="426"/>
        <w:rPr>
          <w:sz w:val="44"/>
          <w:szCs w:val="20"/>
        </w:rPr>
      </w:pPr>
      <w:r>
        <w:rPr>
          <w:noProof/>
          <w:sz w:val="44"/>
          <w:szCs w:val="20"/>
        </w:rPr>
        <mc:AlternateContent>
          <mc:Choice Requires="wps">
            <w:drawing>
              <wp:anchor distT="0" distB="0" distL="114300" distR="114300" simplePos="0" relativeHeight="252153856" behindDoc="0" locked="0" layoutInCell="1" allowOverlap="1">
                <wp:simplePos x="0" y="0"/>
                <wp:positionH relativeFrom="column">
                  <wp:posOffset>-310514</wp:posOffset>
                </wp:positionH>
                <wp:positionV relativeFrom="paragraph">
                  <wp:posOffset>50165</wp:posOffset>
                </wp:positionV>
                <wp:extent cx="550684" cy="576000"/>
                <wp:effectExtent l="19050" t="0" r="1905" b="33655"/>
                <wp:wrapNone/>
                <wp:docPr id="10" name="Larm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10" o:spid="_x0000_s1026" alt="&quot;&quot;" style="position:absolute;margin-left:-24.45pt;margin-top:3.95pt;width:43.35pt;height:45.35pt;rotation:11557929fd;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rPr>
          <w:sz w:val="44"/>
          <w:szCs w:val="20"/>
        </w:rPr>
        <w:t>4.1. Ouvriers du MINARM</w:t>
      </w:r>
      <w:bookmarkEnd w:id="77"/>
    </w:p>
    <w:p/>
    <w:p>
      <w:r>
        <w:t>4.1.1. Le salaire des ouvriers</w:t>
      </w:r>
    </w:p>
    <w:p>
      <w:r>
        <w:t>4.1.2. Le complément de traitement indiciaire</w:t>
      </w:r>
    </w:p>
    <w:p>
      <w:r>
        <w:t>Indemnité 202386 décret 2016-1995</w:t>
      </w:r>
    </w:p>
    <w:p/>
    <w:p/>
    <w:p/>
    <w:p/>
    <w:bookmarkStart w:id="78" w:name="_Toc225170956"/>
    <w:p>
      <w:pPr>
        <w:pStyle w:val="Style2"/>
        <w:ind w:left="426"/>
        <w:rPr>
          <w:sz w:val="44"/>
          <w:szCs w:val="20"/>
        </w:rPr>
      </w:pPr>
      <w:r>
        <w:rPr>
          <w:noProof/>
          <w:sz w:val="44"/>
          <w:szCs w:val="20"/>
        </w:rPr>
        <mc:AlternateContent>
          <mc:Choice Requires="wps">
            <w:drawing>
              <wp:anchor distT="0" distB="0" distL="114300" distR="114300" simplePos="0" relativeHeight="252164096" behindDoc="0" locked="0" layoutInCell="1" allowOverlap="1">
                <wp:simplePos x="0" y="0"/>
                <wp:positionH relativeFrom="column">
                  <wp:posOffset>-310514</wp:posOffset>
                </wp:positionH>
                <wp:positionV relativeFrom="paragraph">
                  <wp:posOffset>50165</wp:posOffset>
                </wp:positionV>
                <wp:extent cx="550684" cy="576000"/>
                <wp:effectExtent l="19050" t="0" r="1905" b="33655"/>
                <wp:wrapNone/>
                <wp:docPr id="23" name="Larm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23" o:spid="_x0000_s1026" alt="&quot;&quot;" style="position:absolute;margin-left:-24.45pt;margin-top:3.95pt;width:43.35pt;height:45.35pt;rotation:11557929fd;z-index:25216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rPr>
          <w:sz w:val="44"/>
          <w:szCs w:val="20"/>
        </w:rPr>
        <w:t>4.2. Ouvriers du MTE</w:t>
      </w:r>
      <w:bookmarkEnd w:id="78"/>
    </w:p>
    <w:p/>
    <w:p/>
    <w:p>
      <w:r>
        <w:t>4.2.1. Le salaire des ouvriers</w:t>
      </w:r>
    </w:p>
    <w:p>
      <w:r>
        <w:t>4.2.2. Le complément de traitement indiciaire</w:t>
      </w:r>
    </w:p>
    <w:p>
      <w:r>
        <w:t>Indemnité 200359 décret 65-382 Art 12 / Décret 92-565 / Décret 2022-1320 Art 1</w:t>
      </w:r>
    </w:p>
    <w:p/>
    <w:p/>
    <w:p/>
    <w:bookmarkStart w:id="79" w:name="_Toc225170957"/>
    <w:p>
      <w:pPr>
        <w:pStyle w:val="Style2"/>
        <w:ind w:left="426"/>
        <w:rPr>
          <w:sz w:val="44"/>
          <w:szCs w:val="20"/>
        </w:rPr>
      </w:pPr>
      <w:r>
        <w:rPr>
          <w:noProof/>
          <w:sz w:val="44"/>
          <w:szCs w:val="20"/>
        </w:rPr>
        <mc:AlternateContent>
          <mc:Choice Requires="wps">
            <w:drawing>
              <wp:anchor distT="0" distB="0" distL="114300" distR="114300" simplePos="0" relativeHeight="252157952" behindDoc="0" locked="0" layoutInCell="1" allowOverlap="1">
                <wp:simplePos x="0" y="0"/>
                <wp:positionH relativeFrom="column">
                  <wp:posOffset>-310514</wp:posOffset>
                </wp:positionH>
                <wp:positionV relativeFrom="paragraph">
                  <wp:posOffset>50165</wp:posOffset>
                </wp:positionV>
                <wp:extent cx="550684" cy="576000"/>
                <wp:effectExtent l="19050" t="0" r="1905" b="33655"/>
                <wp:wrapNone/>
                <wp:docPr id="18" name="Larm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rot="10581600">
                          <a:off x="0" y="0"/>
                          <a:ext cx="550684" cy="576000"/>
                        </a:xfrm>
                        <a:prstGeom prst="teardrop">
                          <a:avLst>
                            <a:gd name="adj" fmla="val 101278"/>
                          </a:avLst>
                        </a:prstGeom>
                        <a:solidFill>
                          <a:srgbClr val="466964"/>
                        </a:solidFill>
                        <a:ln w="9360">
                          <a:noFill/>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14:sizeRelV relativeFrom="margin">
                  <wp14:pctHeight>0</wp14:pctHeight>
                </wp14:sizeRelV>
              </wp:anchor>
            </w:drawing>
          </mc:Choice>
          <mc:Fallback>
            <w:pict>
              <v:shape id="Larme 18" o:spid="_x0000_s1026" alt="&quot;&quot;" style="position:absolute;margin-left:-24.45pt;margin-top:3.95pt;width:43.35pt;height:45.35pt;rotation:11557929fd;z-index:25215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50684,57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" path="m,288000c,128942,123275,,275342,v92953,,185907,-1227,278861,-3681c551857,93546,550684,190773,550684,288000v,159058,-123275,288000,-275342,288000c123275,576000,,447058,,288000xe" fillcolor="#466964" stroked="f" strokeweight=".26mm">
                <v:path arrowok="t" o:connecttype="custom" o:connectlocs="0,288000;275342,0;554203,-3681;550684,288000;275342,576000;0,288000" o:connectangles="0,0,0,0,0,0"/>
                <o:lock v:ext="edit" aspectratio="t"/>
              </v:shape>
            </w:pict>
          </mc:Fallback>
        </mc:AlternateContent>
      </w:r>
      <w:r>
        <w:rPr>
          <w:sz w:val="44"/>
          <w:szCs w:val="20"/>
        </w:rPr>
        <w:t>4.3. Ouvriers du cadastre</w:t>
      </w:r>
      <w:bookmarkEnd w:id="79"/>
      <w:r>
        <w:rPr>
          <w:sz w:val="44"/>
          <w:szCs w:val="20"/>
        </w:rPr>
        <w:t xml:space="preserve"> </w:t>
      </w:r>
    </w:p>
    <w:p/>
    <w:p/>
    <w:p/>
    <w:p/>
    <w:p/>
    <w:p/>
    <w:p/>
    <w:p/>
    <w:p>
      <w:r>
        <w:br w:type="page"/>
      </w:r>
    </w:p>
    <w:bookmarkStart w:id="80" w:name="POURALLERPLUSLOIN"/>
    <w:bookmarkStart w:id="81" w:name="_Toc225170959"/>
    <w:p>
      <w:pPr>
        <w:pStyle w:val="Style1"/>
      </w:pPr>
      <w:r>
        <w:rPr>
          <w:noProof/>
        </w:rPr>
        <w:lastRenderedPageBreak/>
        <mc:AlternateContent>
          <mc:Choice Requires="wps">
            <w:drawing>
              <wp:anchor distT="0" distB="0" distL="114300" distR="114300" simplePos="0" relativeHeight="252238848" behindDoc="1" locked="0" layoutInCell="1" allowOverlap="1">
                <wp:simplePos x="0" y="0"/>
                <wp:positionH relativeFrom="column">
                  <wp:posOffset>-733425</wp:posOffset>
                </wp:positionH>
                <wp:positionV relativeFrom="paragraph">
                  <wp:posOffset>-901065</wp:posOffset>
                </wp:positionV>
                <wp:extent cx="7581900" cy="10906125"/>
                <wp:effectExtent l="0" t="0" r="19050" b="28575"/>
                <wp:wrapNone/>
                <wp:docPr id="21" name="Rectangle 21"/>
                <wp:cNvGraphicFramePr/>
                <a:graphic xmlns:a="http://schemas.openxmlformats.org/drawingml/2006/main">
                  <a:graphicData uri="http://schemas.microsoft.com/office/word/2010/wordprocessingShape">
                    <wps:wsp>
                      <wps:cNvSpPr/>
                      <wps:spPr>
                        <a:xfrm>
                          <a:off x="0" y="0"/>
                          <a:ext cx="7581900" cy="10906125"/>
                        </a:xfrm>
                        <a:prstGeom prst="rect">
                          <a:avLst/>
                        </a:prstGeom>
                        <a:solidFill>
                          <a:srgbClr val="91AE4F">
                            <a:alpha val="60000"/>
                          </a:srgbClr>
                        </a:solidFill>
                        <a:ln w="12700" cap="flat" cmpd="sng" algn="ctr">
                          <a:solidFill>
                            <a:srgbClr val="4472C4">
                              <a:shade val="50000"/>
                            </a:srgbClr>
                          </a:solidFill>
                          <a:prstDash val="solid"/>
                          <a:miter lim="800000"/>
                        </a:ln>
                        <a:effectLst/>
                      </wps:spPr>
                      <wps:txbx>
                        <w:txbxContent>
                          <w:p>
                            <w:pPr>
                              <w:pStyle w:val="Style1"/>
                              <w:numPr>
                                <w:ilvl w:val="0"/>
                                <w:numId w:val="35"/>
                              </w:numPr>
                            </w:pPr>
                            <w:bookmarkStart w:id="82" w:name="_Toc225170958"/>
                            <w:r>
                              <w:t>POUR ALLER PLUS LOIN</w:t>
                            </w:r>
                            <w:bookmarkEnd w:id="8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1" o:spid="_x0000_s1035" style="position:absolute;margin-left:-57.75pt;margin-top:-70.95pt;width:597pt;height:858.75pt;z-index:-25107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" fillcolor="#91ae4f" strokecolor="#2f528f" strokeweight="1pt">
                <v:fill opacity="39321f"/>
                <v:textbox>
                  <w:txbxContent>
                    <w:p>
                      <w:pPr>
                        <w:pStyle w:val="Style1"/>
                        <w:numPr>
                          <w:ilvl w:val="0"/>
                          <w:numId w:val="35"/>
                        </w:numPr>
                      </w:pPr>
                      <w:bookmarkStart w:id="89" w:name="_Toc225170958"/>
                      <w:r>
                        <w:t>POUR ALLER PLUS LOIN</w:t>
                      </w:r>
                      <w:bookmarkEnd w:id="89"/>
                    </w:p>
                  </w:txbxContent>
                </v:textbox>
              </v:rect>
            </w:pict>
          </mc:Fallback>
        </mc:AlternateContent>
      </w:r>
      <w:r>
        <w:rPr>
          <w:noProof/>
        </w:rPr>
        <mc:AlternateContent>
          <mc:Choice Requires="wps">
            <w:drawing>
              <wp:anchor distT="0" distB="0" distL="114300" distR="114300" simplePos="0" relativeHeight="252191744" behindDoc="1" locked="0" layoutInCell="1" allowOverlap="1">
                <wp:simplePos x="0" y="0"/>
                <wp:positionH relativeFrom="page">
                  <wp:align>left</wp:align>
                </wp:positionH>
                <wp:positionV relativeFrom="paragraph">
                  <wp:posOffset>-948690</wp:posOffset>
                </wp:positionV>
                <wp:extent cx="7573108" cy="10937631"/>
                <wp:effectExtent l="0" t="0" r="27940" b="16510"/>
                <wp:wrapNone/>
                <wp:docPr id="42" name="Rectangle 42"/>
                <wp:cNvGraphicFramePr/>
                <a:graphic xmlns:a="http://schemas.openxmlformats.org/drawingml/2006/main">
                  <a:graphicData uri="http://schemas.microsoft.com/office/word/2010/wordprocessingShape">
                    <wps:wsp>
                      <wps:cNvSpPr/>
                      <wps:spPr>
                        <a:xfrm>
                          <a:off x="0" y="0"/>
                          <a:ext cx="7573108" cy="10937631"/>
                        </a:xfrm>
                        <a:prstGeom prst="rect">
                          <a:avLst/>
                        </a:prstGeom>
                      </wps:spPr>
                      <wps:style>
                        <a:lnRef idx="2">
                          <a:schemeClr val="accent1">
                            <a:shade val="50000"/>
                          </a:schemeClr>
                        </a:lnRef>
                        <a:fillRef idx="1001">
                          <a:schemeClr val="lt1"/>
                        </a:fillRef>
                        <a:effectRef idx="0">
                          <a:schemeClr val="accent1"/>
                        </a:effectRef>
                        <a:fontRef idx="minor">
                          <a:schemeClr val="lt1"/>
                        </a:fontRef>
                      </wps:style>
                      <wps:txbx>
                        <w:txbxContent>
                          <w:p>
                            <w:pPr>
                              <w:spacing w:before="24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2" o:spid="_x0000_s1036" style="position:absolute;margin-left:0;margin-top:-74.7pt;width:596.3pt;height:861.25pt;z-index:-2511247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" fillcolor="white [3201]" strokecolor="#1f3763 [1604]" strokeweight="1pt">
                <v:textbox>
                  <w:txbxContent>
                    <w:p>
                      <w:pPr>
                        <w:spacing w:before="240"/>
                        <w:jc w:val="center"/>
                      </w:pPr>
                    </w:p>
                  </w:txbxContent>
                </v:textbox>
                <w10:wrap anchorx="page"/>
              </v:rect>
            </w:pict>
          </mc:Fallback>
        </mc:AlternateContent>
      </w:r>
      <w:bookmarkStart w:id="83" w:name="_Hlk217316387"/>
      <w:bookmarkEnd w:id="80"/>
      <w:bookmarkEnd w:id="81"/>
    </w:p>
    <w:p/>
    <w:p/>
    <w:p/>
    <w:p/>
    <w:p/>
    <w:p/>
    <w:p/>
    <w:p/>
    <w:p/>
    <w:p/>
    <w:p/>
    <w:p/>
    <w:p/>
    <w:p/>
    <w:p/>
    <w:p/>
    <w:p/>
    <w:p/>
    <w:p/>
    <w:p/>
    <w:p/>
    <w:p/>
    <w:bookmarkEnd w:id="83"/>
    <w:p>
      <w:pPr>
        <w:jc w:val="both"/>
        <w:rPr>
          <w:b/>
          <w:bCs/>
          <w:color w:val="91AE4F"/>
          <w:sz w:val="28"/>
          <w:szCs w:val="28"/>
        </w:rPr>
      </w:pPr>
    </w:p>
    <w:p>
      <w:pPr>
        <w:jc w:val="both"/>
        <w:rPr>
          <w:b/>
          <w:bCs/>
          <w:color w:val="91AE4F"/>
          <w:sz w:val="28"/>
          <w:szCs w:val="28"/>
        </w:rPr>
      </w:pPr>
    </w:p>
    <w:p>
      <w:pPr>
        <w:jc w:val="both"/>
        <w:rPr>
          <w:b/>
          <w:bCs/>
          <w:color w:val="91AE4F"/>
          <w:sz w:val="28"/>
          <w:szCs w:val="28"/>
        </w:rPr>
      </w:pPr>
    </w:p>
    <w:p>
      <w:pPr>
        <w:jc w:val="both"/>
        <w:rPr>
          <w:b/>
          <w:bCs/>
          <w:color w:val="91AE4F"/>
          <w:sz w:val="28"/>
          <w:szCs w:val="28"/>
        </w:rPr>
      </w:pPr>
    </w:p>
    <w:p>
      <w:pPr>
        <w:jc w:val="both"/>
        <w:rPr>
          <w:b/>
          <w:bCs/>
          <w:color w:val="91AE4F"/>
          <w:sz w:val="28"/>
          <w:szCs w:val="28"/>
        </w:rPr>
      </w:pPr>
    </w:p>
    <w:p>
      <w:pPr>
        <w:jc w:val="both"/>
        <w:rPr>
          <w:b/>
          <w:bCs/>
          <w:color w:val="91AE4F"/>
          <w:sz w:val="28"/>
          <w:szCs w:val="28"/>
        </w:rPr>
      </w:pPr>
    </w:p>
    <w:p>
      <w:pPr>
        <w:jc w:val="both"/>
        <w:rPr>
          <w:b/>
          <w:bCs/>
          <w:color w:val="91AE4F"/>
          <w:sz w:val="28"/>
          <w:szCs w:val="28"/>
        </w:rPr>
      </w:pPr>
    </w:p>
    <w:p>
      <w:pPr>
        <w:jc w:val="both"/>
        <w:rPr>
          <w:b/>
          <w:bCs/>
          <w:color w:val="91AE4F"/>
          <w:sz w:val="28"/>
          <w:szCs w:val="28"/>
        </w:rPr>
      </w:pPr>
    </w:p>
    <w:p>
      <w:pPr>
        <w:jc w:val="both"/>
        <w:rPr>
          <w:color w:val="91AE4F"/>
        </w:rPr>
      </w:pPr>
      <w:r>
        <w:rPr>
          <w:b/>
          <w:bCs/>
          <w:color w:val="91AE4F"/>
          <w:sz w:val="28"/>
          <w:szCs w:val="28"/>
        </w:rPr>
        <w:lastRenderedPageBreak/>
        <w:t>Les Recueils des fiches RdP sont disponibles sur le portail BARRI</w:t>
      </w:r>
      <w:r>
        <w:rPr>
          <w:color w:val="91AE4F"/>
        </w:rPr>
        <w:t xml:space="preserve"> </w:t>
      </w:r>
    </w:p>
    <w:p>
      <w:pPr>
        <w:spacing w:after="0"/>
        <w:rPr>
          <w:color w:val="91AE4F"/>
        </w:rPr>
      </w:pPr>
    </w:p>
    <w:p>
      <w:pPr>
        <w:jc w:val="both"/>
        <w:rPr>
          <w:rStyle w:val="Lienhypertexte"/>
        </w:rPr>
      </w:pPr>
      <w:hyperlink r:id="rId68" w:anchor="/4._REFERENTIEL_DE_PAYE" w:history="1">
        <w:r>
          <w:rPr>
            <w:rStyle w:val="Lienhypertexte"/>
          </w:rPr>
          <w:t>4. REFERENTIEL DE PAYE</w:t>
        </w:r>
      </w:hyperlink>
    </w:p>
    <w:p>
      <w:pPr>
        <w:pStyle w:val="Paragraphedeliste"/>
        <w:numPr>
          <w:ilvl w:val="0"/>
          <w:numId w:val="34"/>
        </w:numPr>
        <w:jc w:val="both"/>
        <w:rPr>
          <w:color w:val="91AE4F"/>
          <w:sz w:val="24"/>
          <w:szCs w:val="24"/>
        </w:rPr>
      </w:pPr>
      <w:r>
        <w:rPr>
          <w:color w:val="91AE4F"/>
          <w:sz w:val="24"/>
          <w:szCs w:val="24"/>
        </w:rPr>
        <w:t>Pour les périmètres partenaires de l’offre du CISIRH</w:t>
      </w:r>
    </w:p>
    <w:p>
      <w:pPr>
        <w:pStyle w:val="Paragraphedeliste"/>
        <w:numPr>
          <w:ilvl w:val="0"/>
          <w:numId w:val="3"/>
        </w:numPr>
        <w:jc w:val="both"/>
      </w:pPr>
      <w:hyperlink r:id="rId69" w:tgtFrame="_blank" w:history="1">
        <w:r>
          <w:rPr>
            <w:color w:val="0000FF"/>
            <w:u w:val="single"/>
          </w:rPr>
          <w:t>Recueil des fiches RdP_Cour des Comptes.pdf</w:t>
        </w:r>
      </w:hyperlink>
    </w:p>
    <w:p>
      <w:pPr>
        <w:pStyle w:val="Paragraphedeliste"/>
        <w:numPr>
          <w:ilvl w:val="0"/>
          <w:numId w:val="3"/>
        </w:numPr>
        <w:jc w:val="both"/>
      </w:pPr>
      <w:hyperlink r:id="rId70" w:tgtFrame="_blank" w:history="1">
        <w:r>
          <w:rPr>
            <w:color w:val="0000FF"/>
            <w:u w:val="single"/>
          </w:rPr>
          <w:t>Recueil des fiches RdP_INTERMINISTERIEL.pd</w:t>
        </w:r>
      </w:hyperlink>
    </w:p>
    <w:p>
      <w:pPr>
        <w:pStyle w:val="Paragraphedeliste"/>
        <w:numPr>
          <w:ilvl w:val="0"/>
          <w:numId w:val="3"/>
        </w:numPr>
        <w:jc w:val="both"/>
      </w:pPr>
      <w:hyperlink r:id="rId71" w:tgtFrame="_blank" w:history="1">
        <w:r>
          <w:rPr>
            <w:color w:val="0000FF"/>
            <w:u w:val="single"/>
          </w:rPr>
          <w:t>Recueil des fiches RdP_Ministère de l'Agriculture.pdf</w:t>
        </w:r>
      </w:hyperlink>
    </w:p>
    <w:p>
      <w:pPr>
        <w:pStyle w:val="Paragraphedeliste"/>
        <w:numPr>
          <w:ilvl w:val="0"/>
          <w:numId w:val="3"/>
        </w:numPr>
        <w:jc w:val="both"/>
      </w:pPr>
      <w:hyperlink r:id="rId72" w:tgtFrame="_blank" w:history="1">
        <w:r>
          <w:rPr>
            <w:color w:val="0000FF"/>
            <w:u w:val="single"/>
          </w:rPr>
          <w:t>Recueil des fiches RdP_Ministère de l'Intérieur.pdf</w:t>
        </w:r>
      </w:hyperlink>
    </w:p>
    <w:p>
      <w:pPr>
        <w:pStyle w:val="Paragraphedeliste"/>
        <w:numPr>
          <w:ilvl w:val="0"/>
          <w:numId w:val="3"/>
        </w:numPr>
        <w:jc w:val="both"/>
      </w:pPr>
      <w:hyperlink r:id="rId73" w:tgtFrame="_blank" w:history="1">
        <w:r>
          <w:rPr>
            <w:color w:val="0000FF"/>
            <w:u w:val="single"/>
          </w:rPr>
          <w:t>Recueil des fiches RdP_Ministère de la Culture.pdf</w:t>
        </w:r>
      </w:hyperlink>
    </w:p>
    <w:p>
      <w:pPr>
        <w:pStyle w:val="Paragraphedeliste"/>
        <w:numPr>
          <w:ilvl w:val="0"/>
          <w:numId w:val="3"/>
        </w:numPr>
        <w:jc w:val="both"/>
      </w:pPr>
      <w:hyperlink r:id="rId74" w:tgtFrame="_blank" w:history="1">
        <w:r>
          <w:rPr>
            <w:color w:val="0000FF"/>
            <w:u w:val="single"/>
          </w:rPr>
          <w:t>Recueil des fiches RdP_Ministère des Armées.pdf</w:t>
        </w:r>
      </w:hyperlink>
    </w:p>
    <w:p>
      <w:pPr>
        <w:pStyle w:val="Paragraphedeliste"/>
        <w:numPr>
          <w:ilvl w:val="0"/>
          <w:numId w:val="3"/>
        </w:numPr>
        <w:jc w:val="both"/>
      </w:pPr>
      <w:hyperlink r:id="rId75" w:tgtFrame="_blank" w:history="1">
        <w:r>
          <w:rPr>
            <w:color w:val="0000FF"/>
            <w:u w:val="single"/>
          </w:rPr>
          <w:t>Recueil des fiches RdP_Météo France.pdf</w:t>
        </w:r>
      </w:hyperlink>
    </w:p>
    <w:p>
      <w:pPr>
        <w:pStyle w:val="Paragraphedeliste"/>
        <w:numPr>
          <w:ilvl w:val="0"/>
          <w:numId w:val="34"/>
        </w:numPr>
        <w:jc w:val="both"/>
        <w:rPr>
          <w:color w:val="91AE4F"/>
          <w:sz w:val="24"/>
          <w:szCs w:val="24"/>
        </w:rPr>
      </w:pPr>
      <w:r>
        <w:rPr>
          <w:color w:val="91AE4F"/>
          <w:sz w:val="24"/>
          <w:szCs w:val="24"/>
        </w:rPr>
        <w:t>Pour certains périmètres non partenaires de l’offre du CISIRH</w:t>
      </w:r>
    </w:p>
    <w:p>
      <w:pPr>
        <w:pStyle w:val="Paragraphedeliste"/>
        <w:numPr>
          <w:ilvl w:val="0"/>
          <w:numId w:val="3"/>
        </w:numPr>
        <w:jc w:val="both"/>
      </w:pPr>
      <w:hyperlink r:id="rId76" w:tgtFrame="_blank" w:history="1">
        <w:r>
          <w:rPr>
            <w:color w:val="0000FF"/>
            <w:u w:val="single"/>
          </w:rPr>
          <w:t>Recueil des fiches RdP_Ministère de la Justice.pdf</w:t>
        </w:r>
      </w:hyperlink>
    </w:p>
    <w:p>
      <w:pPr>
        <w:pStyle w:val="Paragraphedeliste"/>
        <w:numPr>
          <w:ilvl w:val="0"/>
          <w:numId w:val="3"/>
        </w:numPr>
        <w:jc w:val="both"/>
        <w:rPr>
          <w:color w:val="0000FF"/>
          <w:u w:val="single"/>
        </w:rPr>
      </w:pPr>
      <w:hyperlink r:id="rId77" w:history="1">
        <w:r>
          <w:rPr>
            <w:color w:val="0000FF"/>
            <w:u w:val="single"/>
          </w:rPr>
          <w:t>Validation BARRI fiches RdP divers ministères</w:t>
        </w:r>
      </w:hyperlink>
    </w:p>
    <w:p>
      <w:pPr>
        <w:pStyle w:val="Paragraphedeliste"/>
        <w:numPr>
          <w:ilvl w:val="0"/>
          <w:numId w:val="36"/>
        </w:numPr>
        <w:jc w:val="both"/>
        <w:rPr>
          <w:color w:val="0000FF"/>
        </w:rPr>
      </w:pPr>
      <w:r>
        <w:rPr>
          <w:color w:val="0000FF"/>
        </w:rPr>
        <w:t>MESRI</w:t>
      </w:r>
    </w:p>
    <w:p>
      <w:pPr>
        <w:jc w:val="both"/>
        <w:rPr>
          <w:color w:val="5770BE"/>
          <w:sz w:val="22"/>
          <w:u w:val="single"/>
        </w:rPr>
      </w:pPr>
    </w:p>
    <w:p>
      <w:pPr>
        <w:jc w:val="both"/>
        <w:rPr>
          <w:color w:val="5770BE"/>
          <w:sz w:val="22"/>
          <w:u w:val="single"/>
        </w:rPr>
      </w:pPr>
    </w:p>
    <w:p>
      <w:pPr>
        <w:pStyle w:val="Titre2"/>
        <w:spacing w:before="0" w:after="160"/>
        <w:rPr>
          <w:rFonts w:ascii="Marianne" w:eastAsiaTheme="minorHAnsi" w:hAnsi="Marianne" w:cstheme="minorBidi"/>
          <w:b/>
          <w:bCs/>
          <w:color w:val="91AE4F"/>
          <w:sz w:val="28"/>
          <w:szCs w:val="28"/>
        </w:rPr>
      </w:pPr>
      <w:bookmarkStart w:id="84" w:name="_Toc225170960"/>
      <w:r>
        <w:rPr>
          <w:rFonts w:ascii="Marianne" w:eastAsiaTheme="minorHAnsi" w:hAnsi="Marianne" w:cstheme="minorBidi"/>
          <w:b/>
          <w:bCs/>
          <w:color w:val="91AE4F"/>
          <w:sz w:val="28"/>
          <w:szCs w:val="28"/>
        </w:rPr>
        <w:t>Les guides thématiques sont disponibles sur le portail BARRI</w:t>
      </w:r>
      <w:bookmarkEnd w:id="84"/>
    </w:p>
    <w:p>
      <w:pPr>
        <w:spacing w:after="0"/>
      </w:pPr>
    </w:p>
    <w:p>
      <w:pPr>
        <w:pStyle w:val="Titre2"/>
        <w:spacing w:before="0" w:after="160"/>
        <w:rPr>
          <w:rFonts w:ascii="Times New Roman" w:eastAsia="Times New Roman" w:hAnsi="Times New Roman" w:cs="Times New Roman"/>
          <w:b/>
          <w:bCs/>
          <w:color w:val="auto"/>
          <w:sz w:val="36"/>
          <w:szCs w:val="36"/>
          <w:lang w:eastAsia="fr-FR"/>
        </w:rPr>
      </w:pPr>
      <w:hyperlink r:id="rId78" w:anchor="/1._DOCUMENTATION_RH-PAIE?id=_1-guides" w:history="1">
        <w:bookmarkStart w:id="85" w:name="_Toc225170961"/>
        <w:r>
          <w:rPr>
            <w:rStyle w:val="Lienhypertexte"/>
            <w:rFonts w:ascii="Marianne" w:eastAsiaTheme="minorHAnsi" w:hAnsi="Marianne" w:cstheme="minorBidi"/>
            <w:sz w:val="20"/>
            <w:szCs w:val="22"/>
          </w:rPr>
          <w:t>1. Guides</w:t>
        </w:r>
        <w:bookmarkEnd w:id="85"/>
      </w:hyperlink>
    </w:p>
    <w:p>
      <w:pPr>
        <w:pStyle w:val="Paragraphedeliste"/>
        <w:numPr>
          <w:ilvl w:val="0"/>
          <w:numId w:val="17"/>
        </w:numPr>
        <w:jc w:val="both"/>
        <w:rPr>
          <w:color w:val="5770BE"/>
          <w:sz w:val="22"/>
        </w:rPr>
      </w:pPr>
      <w:r>
        <w:rPr>
          <w:color w:val="5770BE"/>
          <w:sz w:val="22"/>
        </w:rPr>
        <w:t>Le guide des congés bonifiés</w:t>
      </w:r>
    </w:p>
    <w:p>
      <w:pPr>
        <w:pStyle w:val="Paragraphedeliste"/>
        <w:numPr>
          <w:ilvl w:val="0"/>
          <w:numId w:val="17"/>
        </w:numPr>
        <w:jc w:val="both"/>
        <w:rPr>
          <w:color w:val="5770BE"/>
          <w:sz w:val="22"/>
        </w:rPr>
      </w:pPr>
      <w:r>
        <w:rPr>
          <w:color w:val="5770BE"/>
          <w:sz w:val="22"/>
        </w:rPr>
        <w:t>Le guide de l’Indemnité de départ Volontaire (IDV)</w:t>
      </w:r>
    </w:p>
    <w:p>
      <w:pPr>
        <w:pStyle w:val="Paragraphedeliste"/>
        <w:numPr>
          <w:ilvl w:val="0"/>
          <w:numId w:val="17"/>
        </w:numPr>
        <w:jc w:val="both"/>
        <w:rPr>
          <w:color w:val="5770BE"/>
          <w:sz w:val="22"/>
        </w:rPr>
      </w:pPr>
      <w:r>
        <w:rPr>
          <w:color w:val="5770BE"/>
          <w:sz w:val="22"/>
        </w:rPr>
        <w:t>Le guide de l’Indemnité Spécifique de Rupture Conventionnelle (ISRC)</w:t>
      </w:r>
    </w:p>
    <w:p>
      <w:pPr>
        <w:pStyle w:val="Paragraphedeliste"/>
        <w:numPr>
          <w:ilvl w:val="0"/>
          <w:numId w:val="17"/>
        </w:numPr>
        <w:jc w:val="both"/>
        <w:rPr>
          <w:color w:val="5770BE"/>
          <w:sz w:val="22"/>
        </w:rPr>
      </w:pPr>
      <w:r>
        <w:rPr>
          <w:color w:val="5770BE"/>
          <w:sz w:val="22"/>
        </w:rPr>
        <w:t>Le guide relatif à la rémunération hors échelle</w:t>
      </w:r>
    </w:p>
    <w:p>
      <w:pPr>
        <w:pStyle w:val="Paragraphedeliste"/>
        <w:numPr>
          <w:ilvl w:val="0"/>
          <w:numId w:val="17"/>
        </w:numPr>
        <w:jc w:val="both"/>
        <w:rPr>
          <w:color w:val="5770BE"/>
          <w:sz w:val="22"/>
        </w:rPr>
      </w:pPr>
      <w:r>
        <w:rPr>
          <w:color w:val="5770BE"/>
          <w:sz w:val="22"/>
        </w:rPr>
        <w:t>Le guide du Supplément Familial de Traitement (SFT)</w:t>
      </w:r>
    </w:p>
    <w:p>
      <w:pPr>
        <w:pStyle w:val="Paragraphedeliste"/>
        <w:numPr>
          <w:ilvl w:val="0"/>
          <w:numId w:val="17"/>
        </w:numPr>
        <w:jc w:val="both"/>
        <w:rPr>
          <w:color w:val="5770BE"/>
          <w:sz w:val="22"/>
        </w:rPr>
      </w:pPr>
      <w:r>
        <w:rPr>
          <w:color w:val="5770BE"/>
          <w:sz w:val="22"/>
        </w:rPr>
        <w:t xml:space="preserve">Le guide relatif aux règles de gestion du fichier Gest </w:t>
      </w:r>
    </w:p>
    <w:p/>
    <w:p/>
    <w:p>
      <w:pPr>
        <w:jc w:val="both"/>
        <w:rPr>
          <w:b/>
          <w:bCs/>
          <w:color w:val="91AE4F"/>
          <w:sz w:val="28"/>
          <w:szCs w:val="28"/>
        </w:rPr>
      </w:pPr>
      <w:r>
        <w:rPr>
          <w:b/>
          <w:bCs/>
          <w:color w:val="91AE4F"/>
          <w:sz w:val="28"/>
          <w:szCs w:val="28"/>
        </w:rPr>
        <w:t>Les supports documentaires</w:t>
      </w:r>
    </w:p>
    <w:p>
      <w:pPr>
        <w:spacing w:after="0"/>
        <w:rPr>
          <w:b/>
          <w:bCs/>
          <w:color w:val="91AE4F"/>
          <w:sz w:val="28"/>
          <w:szCs w:val="28"/>
        </w:rPr>
      </w:pPr>
    </w:p>
    <w:p>
      <w:pPr>
        <w:pStyle w:val="Paragraphedeliste"/>
        <w:numPr>
          <w:ilvl w:val="0"/>
          <w:numId w:val="16"/>
        </w:numPr>
        <w:jc w:val="both"/>
        <w:rPr>
          <w:color w:val="5770BE"/>
          <w:sz w:val="22"/>
        </w:rPr>
      </w:pPr>
      <w:r>
        <w:rPr>
          <w:color w:val="5770BE"/>
          <w:sz w:val="22"/>
        </w:rPr>
        <w:t xml:space="preserve">Les calendriers mensuel de </w:t>
      </w:r>
      <w:hyperlink r:id="rId79" w:history="1">
        <w:r>
          <w:rPr>
            <w:rStyle w:val="Lienhypertexte"/>
            <w:sz w:val="22"/>
          </w:rPr>
          <w:t>paie</w:t>
        </w:r>
      </w:hyperlink>
      <w:r>
        <w:rPr>
          <w:color w:val="5770BE"/>
          <w:sz w:val="22"/>
        </w:rPr>
        <w:t xml:space="preserve"> et d</w:t>
      </w:r>
      <w:hyperlink r:id="rId80" w:history="1">
        <w:r>
          <w:rPr>
            <w:rStyle w:val="Lienhypertexte"/>
            <w:sz w:val="22"/>
          </w:rPr>
          <w:t>’acompte</w:t>
        </w:r>
      </w:hyperlink>
    </w:p>
    <w:p>
      <w:pPr>
        <w:pStyle w:val="Paragraphedeliste"/>
        <w:numPr>
          <w:ilvl w:val="0"/>
          <w:numId w:val="16"/>
        </w:numPr>
        <w:jc w:val="both"/>
        <w:rPr>
          <w:color w:val="5770BE"/>
          <w:sz w:val="22"/>
        </w:rPr>
      </w:pPr>
      <w:hyperlink r:id="rId81" w:history="1">
        <w:r>
          <w:rPr>
            <w:rStyle w:val="Lienhypertexte"/>
            <w:sz w:val="22"/>
          </w:rPr>
          <w:t>Le Fichier des familles d’ICA</w:t>
        </w:r>
      </w:hyperlink>
    </w:p>
    <w:p>
      <w:pPr>
        <w:pStyle w:val="Paragraphedeliste"/>
        <w:numPr>
          <w:ilvl w:val="0"/>
          <w:numId w:val="16"/>
        </w:numPr>
        <w:jc w:val="both"/>
        <w:rPr>
          <w:color w:val="5770BE"/>
          <w:sz w:val="22"/>
        </w:rPr>
      </w:pPr>
      <w:hyperlink r:id="rId82" w:history="1">
        <w:r>
          <w:rPr>
            <w:rStyle w:val="Lienhypertexte"/>
            <w:sz w:val="22"/>
          </w:rPr>
          <w:t>Le glossaire BARRI</w:t>
        </w:r>
      </w:hyperlink>
    </w:p>
    <w:p>
      <w:pPr>
        <w:pStyle w:val="Paragraphedeliste"/>
        <w:numPr>
          <w:ilvl w:val="0"/>
          <w:numId w:val="16"/>
        </w:numPr>
        <w:jc w:val="both"/>
        <w:rPr>
          <w:color w:val="5770BE"/>
          <w:sz w:val="22"/>
        </w:rPr>
      </w:pPr>
      <w:hyperlink r:id="rId83" w:history="1">
        <w:r>
          <w:rPr>
            <w:rStyle w:val="Lienhypertexte"/>
            <w:sz w:val="22"/>
          </w:rPr>
          <w:t>La Nomenclature des codes BJ</w:t>
        </w:r>
      </w:hyperlink>
    </w:p>
    <w:p>
      <w:pPr>
        <w:pStyle w:val="Paragraphedeliste"/>
        <w:numPr>
          <w:ilvl w:val="0"/>
          <w:numId w:val="16"/>
        </w:numPr>
        <w:jc w:val="both"/>
        <w:rPr>
          <w:rStyle w:val="Lienhypertexte"/>
          <w:sz w:val="22"/>
          <w:szCs w:val="24"/>
        </w:rPr>
      </w:pPr>
      <w:hyperlink r:id="rId84" w:history="1">
        <w:r>
          <w:rPr>
            <w:rStyle w:val="Lienhypertexte"/>
            <w:sz w:val="22"/>
          </w:rPr>
          <w:t>La Nomenclature Populations</w:t>
        </w:r>
      </w:hyperlink>
    </w:p>
    <w:p>
      <w:pPr>
        <w:rPr>
          <w:b/>
          <w:bCs/>
          <w:color w:val="91AE4F"/>
          <w:sz w:val="28"/>
          <w:szCs w:val="28"/>
        </w:rPr>
      </w:pPr>
    </w:p>
    <w:p>
      <w:pPr>
        <w:rPr>
          <w:b/>
          <w:bCs/>
          <w:color w:val="91AE4F"/>
          <w:sz w:val="28"/>
          <w:szCs w:val="28"/>
        </w:rPr>
      </w:pPr>
    </w:p>
    <w:p>
      <w:pPr>
        <w:rPr>
          <w:b/>
          <w:bCs/>
          <w:color w:val="91AE4F"/>
          <w:sz w:val="28"/>
          <w:szCs w:val="28"/>
        </w:rPr>
      </w:pPr>
    </w:p>
    <w:p>
      <w:pPr>
        <w:rPr>
          <w:b/>
          <w:bCs/>
          <w:color w:val="91AE4F"/>
          <w:sz w:val="28"/>
          <w:szCs w:val="28"/>
        </w:rPr>
      </w:pPr>
    </w:p>
    <w:p>
      <w:pPr>
        <w:rPr>
          <w:b/>
          <w:bCs/>
          <w:color w:val="91AE4F"/>
          <w:sz w:val="28"/>
          <w:szCs w:val="28"/>
        </w:rPr>
      </w:pPr>
    </w:p>
    <w:p>
      <w:pPr>
        <w:rPr>
          <w:b/>
          <w:bCs/>
          <w:color w:val="91AE4F"/>
          <w:sz w:val="28"/>
          <w:szCs w:val="28"/>
        </w:rPr>
      </w:pPr>
      <w:r>
        <w:rPr>
          <w:b/>
          <w:bCs/>
          <w:color w:val="91AE4F"/>
          <w:sz w:val="28"/>
          <w:szCs w:val="28"/>
        </w:rPr>
        <w:lastRenderedPageBreak/>
        <w:t>La Boite à Outils (BAO) est disponible sur le portail BARRI</w:t>
      </w:r>
    </w:p>
    <w:p>
      <w:pPr>
        <w:spacing w:after="0"/>
        <w:rPr>
          <w:color w:val="91AE4F"/>
          <w:sz w:val="18"/>
          <w:szCs w:val="18"/>
        </w:rPr>
      </w:pPr>
    </w:p>
    <w:p>
      <w:pPr>
        <w:rPr>
          <w:rStyle w:val="Lienhypertexte"/>
          <w:sz w:val="22"/>
          <w:szCs w:val="24"/>
        </w:rPr>
      </w:pPr>
      <w:hyperlink r:id="rId85" w:tgtFrame="_blank" w:history="1">
        <w:r>
          <w:rPr>
            <w:color w:val="0000FF"/>
            <w:u w:val="single"/>
          </w:rPr>
          <w:t>Boîte à Outils du CISIRH</w:t>
        </w:r>
      </w:hyperlink>
    </w:p>
    <w:p>
      <w:pPr>
        <w:pStyle w:val="Paragraphedeliste"/>
        <w:numPr>
          <w:ilvl w:val="0"/>
          <w:numId w:val="15"/>
        </w:numPr>
        <w:ind w:left="709"/>
        <w:jc w:val="both"/>
        <w:rPr>
          <w:color w:val="5770BE"/>
          <w:sz w:val="22"/>
        </w:rPr>
      </w:pPr>
      <w:r>
        <w:rPr>
          <w:color w:val="5770BE"/>
          <w:sz w:val="22"/>
        </w:rPr>
        <w:t>La calculatrice des retenues à effectuer suite à un CMO à 90%</w:t>
      </w:r>
    </w:p>
    <w:p>
      <w:pPr>
        <w:pStyle w:val="Paragraphedeliste"/>
        <w:numPr>
          <w:ilvl w:val="0"/>
          <w:numId w:val="15"/>
        </w:numPr>
        <w:ind w:left="709"/>
        <w:jc w:val="both"/>
        <w:rPr>
          <w:color w:val="5770BE"/>
          <w:sz w:val="22"/>
        </w:rPr>
      </w:pPr>
      <w:r>
        <w:rPr>
          <w:color w:val="5770BE"/>
          <w:sz w:val="22"/>
        </w:rPr>
        <w:t>La calculatrice du SFT</w:t>
      </w:r>
    </w:p>
    <w:p>
      <w:pPr>
        <w:pStyle w:val="Paragraphedeliste"/>
        <w:numPr>
          <w:ilvl w:val="0"/>
          <w:numId w:val="15"/>
        </w:numPr>
        <w:ind w:left="709"/>
        <w:jc w:val="both"/>
        <w:rPr>
          <w:color w:val="5770BE"/>
          <w:sz w:val="22"/>
        </w:rPr>
      </w:pPr>
      <w:r>
        <w:rPr>
          <w:color w:val="5770BE"/>
          <w:sz w:val="22"/>
        </w:rPr>
        <w:t>Le simulateur profil cotisant</w:t>
      </w:r>
    </w:p>
    <w:p>
      <w:pPr>
        <w:pStyle w:val="Paragraphedeliste"/>
        <w:numPr>
          <w:ilvl w:val="0"/>
          <w:numId w:val="15"/>
        </w:numPr>
        <w:ind w:left="709"/>
        <w:jc w:val="both"/>
        <w:rPr>
          <w:color w:val="5770BE"/>
          <w:sz w:val="22"/>
        </w:rPr>
      </w:pPr>
      <w:r>
        <w:rPr>
          <w:color w:val="5770BE"/>
          <w:sz w:val="22"/>
        </w:rPr>
        <w:t>La calculatrice de l’ISRC</w:t>
      </w:r>
    </w:p>
    <w:p>
      <w:pPr>
        <w:pStyle w:val="Paragraphedeliste"/>
        <w:numPr>
          <w:ilvl w:val="0"/>
          <w:numId w:val="15"/>
        </w:numPr>
        <w:ind w:left="709"/>
        <w:jc w:val="both"/>
        <w:rPr>
          <w:color w:val="5770BE"/>
          <w:sz w:val="22"/>
        </w:rPr>
      </w:pPr>
      <w:r>
        <w:rPr>
          <w:color w:val="5770BE"/>
          <w:sz w:val="22"/>
        </w:rPr>
        <w:t>Le simulateur de carrière</w:t>
      </w:r>
    </w:p>
    <w:p/>
    <w:p/>
    <w:p>
      <w:pPr>
        <w:rPr>
          <w:color w:val="91AE4F"/>
          <w:sz w:val="28"/>
          <w:szCs w:val="28"/>
        </w:rPr>
      </w:pPr>
      <w:r>
        <w:rPr>
          <w:color w:val="91AE4F"/>
          <w:sz w:val="28"/>
          <w:szCs w:val="28"/>
        </w:rPr>
        <w:t>Autres documentations</w:t>
      </w:r>
    </w:p>
    <w:p>
      <w:pPr>
        <w:spacing w:after="0"/>
        <w:rPr>
          <w:color w:val="91AE4F"/>
          <w:sz w:val="18"/>
          <w:szCs w:val="18"/>
        </w:rPr>
      </w:pPr>
    </w:p>
    <w:p>
      <w:pPr>
        <w:pStyle w:val="Paragraphedeliste"/>
        <w:numPr>
          <w:ilvl w:val="0"/>
          <w:numId w:val="3"/>
        </w:numPr>
        <w:rPr>
          <w:color w:val="5770BE"/>
          <w:sz w:val="22"/>
        </w:rPr>
      </w:pPr>
      <w:r>
        <w:rPr>
          <w:color w:val="5770BE"/>
          <w:sz w:val="22"/>
        </w:rPr>
        <w:t>« </w:t>
      </w:r>
      <w:hyperlink r:id="rId86" w:history="1">
        <w:r>
          <w:rPr>
            <w:rStyle w:val="Lienhypertexte"/>
            <w:sz w:val="22"/>
          </w:rPr>
          <w:t>Guide relatif à la mise en œuvre du temps partiel pour les agents publics </w:t>
        </w:r>
      </w:hyperlink>
      <w:r>
        <w:rPr>
          <w:color w:val="5770BE"/>
          <w:sz w:val="22"/>
        </w:rPr>
        <w:t>» publié par la DGAFP</w:t>
      </w:r>
    </w:p>
    <w:p>
      <w:pPr>
        <w:pStyle w:val="Paragraphedeliste"/>
        <w:numPr>
          <w:ilvl w:val="0"/>
          <w:numId w:val="3"/>
        </w:numPr>
        <w:rPr>
          <w:color w:val="5770BE"/>
          <w:sz w:val="22"/>
        </w:rPr>
      </w:pPr>
      <w:r>
        <w:rPr>
          <w:color w:val="5770BE"/>
          <w:sz w:val="22"/>
        </w:rPr>
        <w:t>« </w:t>
      </w:r>
      <w:hyperlink r:id="rId87" w:history="1">
        <w:r>
          <w:rPr>
            <w:rStyle w:val="Lienhypertexte"/>
            <w:sz w:val="22"/>
          </w:rPr>
          <w:t>Guide relatif à l’apprentissage à destination des employeurs publics de la fonction publique de l’État</w:t>
        </w:r>
      </w:hyperlink>
      <w:r>
        <w:rPr>
          <w:color w:val="5770BE"/>
          <w:sz w:val="22"/>
        </w:rPr>
        <w:t xml:space="preserve"> » disponible sur le site </w:t>
      </w:r>
      <w:hyperlink r:id="rId88" w:history="1">
        <w:r>
          <w:rPr>
            <w:color w:val="5770BE"/>
            <w:sz w:val="22"/>
          </w:rPr>
          <w:t>https://www.fonction-publique.gouv.fr</w:t>
        </w:r>
      </w:hyperlink>
    </w:p>
    <w:sectPr>
      <w:footerReference w:type="default" r:id="rId89"/>
      <w:footerReference w:type="first" r:id="rId90"/>
      <w:pgSz w:w="11906" w:h="16838"/>
      <w:pgMar w:top="1134" w:right="1134" w:bottom="1134" w:left="1134" w:header="720" w:footer="720" w:gutter="0"/>
      <w:cols w:space="72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rianne">
    <w:altName w:val="Calibri"/>
    <w:charset w:val="00"/>
    <w:family w:val="auto"/>
    <w:pitch w:val="variable"/>
    <w:sig w:usb0="0000000F"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Marianne ExtraBold">
    <w:altName w:val="Calibri"/>
    <w:charset w:val="00"/>
    <w:family w:val="auto"/>
    <w:pitch w:val="variable"/>
    <w:sig w:usb0="0000000F"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429669"/>
      <w:docPartObj>
        <w:docPartGallery w:val="Page Numbers (Bottom of Page)"/>
        <w:docPartUnique/>
      </w:docPartObj>
    </w:sdtPr>
    <w:sdtContent>
      <w:p>
        <w:pPr>
          <w:pStyle w:val="Pieddepage"/>
          <w:jc w:val="center"/>
        </w:pPr>
        <w:r>
          <w:fldChar w:fldCharType="begin"/>
        </w:r>
        <w:r>
          <w:instrText>PAGE   \* MERGEFORMAT</w:instrText>
        </w:r>
        <w:r>
          <w:fldChar w:fldCharType="separate"/>
        </w:r>
        <w:r>
          <w:t>13</w:t>
        </w:r>
        <w:r>
          <w:fldChar w:fldCharType="end"/>
        </w:r>
      </w:p>
    </w:sdtContent>
  </w:sdt>
  <w:p>
    <w:pPr>
      <w:pStyle w:val="Pieddepage"/>
      <w:rPr>
        <w:sz w:val="12"/>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5986010"/>
      <w:docPartObj>
        <w:docPartGallery w:val="Page Numbers (Bottom of Page)"/>
        <w:docPartUnique/>
      </w:docPartObj>
    </w:sdtPr>
    <w:sdtContent>
      <w:sdt>
        <w:sdtPr>
          <w:id w:val="-1676420722"/>
          <w:docPartObj>
            <w:docPartGallery w:val="Page Numbers (Bottom of Page)"/>
            <w:docPartUnique/>
          </w:docPartObj>
        </w:sdtPr>
        <w:sdtContent>
          <w:p>
            <w:pPr>
              <w:pStyle w:val="Pieddepage"/>
              <w:jc w:val="center"/>
            </w:pPr>
            <w:r>
              <w:fldChar w:fldCharType="begin"/>
            </w:r>
            <w:r>
              <w:instrText>PAGE   \* MERGEFORMAT</w:instrText>
            </w:r>
            <w:r>
              <w:fldChar w:fldCharType="separate"/>
            </w:r>
            <w:r>
              <w:t>13</w:t>
            </w:r>
            <w: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singleLevel"/>
    <w:tmpl w:val="00000004"/>
    <w:name w:val="WW8Num3"/>
    <w:lvl w:ilvl="0">
      <w:start w:val="1"/>
      <w:numFmt w:val="bullet"/>
      <w:suff w:val="nothing"/>
      <w:lvlText w:val=""/>
      <w:lvlJc w:val="left"/>
      <w:pPr>
        <w:tabs>
          <w:tab w:val="num" w:pos="0"/>
        </w:tabs>
        <w:ind w:left="0" w:firstLine="0"/>
      </w:pPr>
      <w:rPr>
        <w:rFonts w:ascii="Symbol" w:hAnsi="Symbol"/>
      </w:rPr>
    </w:lvl>
  </w:abstractNum>
  <w:abstractNum w:abstractNumId="2" w15:restartNumberingAfterBreak="0">
    <w:nsid w:val="0000000A"/>
    <w:multiLevelType w:val="multilevel"/>
    <w:tmpl w:val="0000000A"/>
    <w:name w:val="WW8Num10"/>
    <w:lvl w:ilvl="0">
      <w:start w:val="1"/>
      <w:numFmt w:val="bullet"/>
      <w:lvlText w:val=""/>
      <w:lvlJc w:val="left"/>
      <w:pPr>
        <w:tabs>
          <w:tab w:val="num" w:pos="720"/>
        </w:tabs>
        <w:ind w:left="720" w:hanging="360"/>
      </w:pPr>
      <w:rPr>
        <w:rFonts w:ascii="Symbol" w:hAnsi="Symbol" w:cs="OpenSymbol"/>
        <w:sz w:val="24"/>
        <w:szCs w:val="24"/>
      </w:rPr>
    </w:lvl>
    <w:lvl w:ilvl="1">
      <w:start w:val="1"/>
      <w:numFmt w:val="bullet"/>
      <w:lvlText w:val=""/>
      <w:lvlJc w:val="left"/>
      <w:pPr>
        <w:tabs>
          <w:tab w:val="num" w:pos="1080"/>
        </w:tabs>
        <w:ind w:left="1080" w:hanging="360"/>
      </w:pPr>
      <w:rPr>
        <w:rFonts w:ascii="Symbol" w:hAnsi="Symbol" w:cs="OpenSymbol"/>
        <w:sz w:val="24"/>
        <w:szCs w:val="24"/>
      </w:rPr>
    </w:lvl>
    <w:lvl w:ilvl="2">
      <w:start w:val="1"/>
      <w:numFmt w:val="bullet"/>
      <w:lvlText w:val=""/>
      <w:lvlJc w:val="left"/>
      <w:pPr>
        <w:tabs>
          <w:tab w:val="num" w:pos="1440"/>
        </w:tabs>
        <w:ind w:left="1440" w:hanging="360"/>
      </w:pPr>
      <w:rPr>
        <w:rFonts w:ascii="Symbol" w:hAnsi="Symbol" w:cs="OpenSymbol"/>
        <w:sz w:val="24"/>
        <w:szCs w:val="24"/>
      </w:rPr>
    </w:lvl>
    <w:lvl w:ilvl="3">
      <w:start w:val="1"/>
      <w:numFmt w:val="bullet"/>
      <w:lvlText w:val=""/>
      <w:lvlJc w:val="left"/>
      <w:pPr>
        <w:tabs>
          <w:tab w:val="num" w:pos="1800"/>
        </w:tabs>
        <w:ind w:left="1800" w:hanging="360"/>
      </w:pPr>
      <w:rPr>
        <w:rFonts w:ascii="Symbol" w:hAnsi="Symbol" w:cs="OpenSymbol"/>
        <w:sz w:val="24"/>
        <w:szCs w:val="24"/>
      </w:rPr>
    </w:lvl>
    <w:lvl w:ilvl="4">
      <w:start w:val="1"/>
      <w:numFmt w:val="bullet"/>
      <w:lvlText w:val=""/>
      <w:lvlJc w:val="left"/>
      <w:pPr>
        <w:tabs>
          <w:tab w:val="num" w:pos="2160"/>
        </w:tabs>
        <w:ind w:left="2160" w:hanging="360"/>
      </w:pPr>
      <w:rPr>
        <w:rFonts w:ascii="Symbol" w:hAnsi="Symbol" w:cs="OpenSymbol"/>
        <w:sz w:val="24"/>
        <w:szCs w:val="24"/>
      </w:rPr>
    </w:lvl>
    <w:lvl w:ilvl="5">
      <w:start w:val="1"/>
      <w:numFmt w:val="bullet"/>
      <w:lvlText w:val=""/>
      <w:lvlJc w:val="left"/>
      <w:pPr>
        <w:tabs>
          <w:tab w:val="num" w:pos="2520"/>
        </w:tabs>
        <w:ind w:left="2520" w:hanging="360"/>
      </w:pPr>
      <w:rPr>
        <w:rFonts w:ascii="Symbol" w:hAnsi="Symbol" w:cs="OpenSymbol"/>
        <w:sz w:val="24"/>
        <w:szCs w:val="24"/>
      </w:rPr>
    </w:lvl>
    <w:lvl w:ilvl="6">
      <w:start w:val="1"/>
      <w:numFmt w:val="bullet"/>
      <w:lvlText w:val=""/>
      <w:lvlJc w:val="left"/>
      <w:pPr>
        <w:tabs>
          <w:tab w:val="num" w:pos="2880"/>
        </w:tabs>
        <w:ind w:left="2880" w:hanging="360"/>
      </w:pPr>
      <w:rPr>
        <w:rFonts w:ascii="Symbol" w:hAnsi="Symbol" w:cs="OpenSymbol"/>
        <w:sz w:val="24"/>
        <w:szCs w:val="24"/>
      </w:rPr>
    </w:lvl>
    <w:lvl w:ilvl="7">
      <w:start w:val="1"/>
      <w:numFmt w:val="bullet"/>
      <w:lvlText w:val=""/>
      <w:lvlJc w:val="left"/>
      <w:pPr>
        <w:tabs>
          <w:tab w:val="num" w:pos="3240"/>
        </w:tabs>
        <w:ind w:left="3240" w:hanging="360"/>
      </w:pPr>
      <w:rPr>
        <w:rFonts w:ascii="Symbol" w:hAnsi="Symbol" w:cs="OpenSymbol"/>
        <w:sz w:val="24"/>
        <w:szCs w:val="24"/>
      </w:rPr>
    </w:lvl>
    <w:lvl w:ilvl="8">
      <w:start w:val="1"/>
      <w:numFmt w:val="bullet"/>
      <w:lvlText w:val=""/>
      <w:lvlJc w:val="left"/>
      <w:pPr>
        <w:tabs>
          <w:tab w:val="num" w:pos="3600"/>
        </w:tabs>
        <w:ind w:left="3600" w:hanging="360"/>
      </w:pPr>
      <w:rPr>
        <w:rFonts w:ascii="Symbol" w:hAnsi="Symbol" w:cs="OpenSymbol"/>
        <w:sz w:val="24"/>
        <w:szCs w:val="24"/>
      </w:rPr>
    </w:lvl>
  </w:abstractNum>
  <w:abstractNum w:abstractNumId="3" w15:restartNumberingAfterBreak="0">
    <w:nsid w:val="0000000C"/>
    <w:multiLevelType w:val="multilevel"/>
    <w:tmpl w:val="0000000C"/>
    <w:name w:val="WW8Num12"/>
    <w:lvl w:ilvl="0">
      <w:start w:val="1"/>
      <w:numFmt w:val="bullet"/>
      <w:lvlText w:val=""/>
      <w:lvlJc w:val="left"/>
      <w:pPr>
        <w:tabs>
          <w:tab w:val="num" w:pos="0"/>
        </w:tabs>
        <w:ind w:left="720" w:hanging="360"/>
      </w:pPr>
      <w:rPr>
        <w:rFonts w:ascii="Wingdings" w:hAnsi="Wingdings" w:cs="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130D78"/>
    <w:multiLevelType w:val="hybridMultilevel"/>
    <w:tmpl w:val="4F1C58F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B32B4B"/>
    <w:multiLevelType w:val="hybridMultilevel"/>
    <w:tmpl w:val="4F0E2E34"/>
    <w:lvl w:ilvl="0" w:tplc="1C265A02">
      <w:start w:val="1"/>
      <w:numFmt w:val="bullet"/>
      <w:lvlText w:val="-"/>
      <w:lvlJc w:val="left"/>
      <w:pPr>
        <w:ind w:left="1713" w:hanging="360"/>
      </w:pPr>
      <w:rPr>
        <w:rFonts w:ascii="Marianne" w:eastAsiaTheme="minorHAnsi" w:hAnsi="Marianne" w:cstheme="minorBidi" w:hint="default"/>
        <w:color w:val="auto"/>
      </w:rPr>
    </w:lvl>
    <w:lvl w:ilvl="1" w:tplc="040C0003" w:tentative="1">
      <w:start w:val="1"/>
      <w:numFmt w:val="bullet"/>
      <w:lvlText w:val="o"/>
      <w:lvlJc w:val="left"/>
      <w:pPr>
        <w:ind w:left="2433" w:hanging="360"/>
      </w:pPr>
      <w:rPr>
        <w:rFonts w:ascii="Courier New" w:hAnsi="Courier New" w:cs="Courier New" w:hint="default"/>
      </w:rPr>
    </w:lvl>
    <w:lvl w:ilvl="2" w:tplc="040C0005" w:tentative="1">
      <w:start w:val="1"/>
      <w:numFmt w:val="bullet"/>
      <w:lvlText w:val=""/>
      <w:lvlJc w:val="left"/>
      <w:pPr>
        <w:ind w:left="3153" w:hanging="360"/>
      </w:pPr>
      <w:rPr>
        <w:rFonts w:ascii="Wingdings" w:hAnsi="Wingdings" w:hint="default"/>
      </w:rPr>
    </w:lvl>
    <w:lvl w:ilvl="3" w:tplc="040C0001" w:tentative="1">
      <w:start w:val="1"/>
      <w:numFmt w:val="bullet"/>
      <w:lvlText w:val=""/>
      <w:lvlJc w:val="left"/>
      <w:pPr>
        <w:ind w:left="3873" w:hanging="360"/>
      </w:pPr>
      <w:rPr>
        <w:rFonts w:ascii="Symbol" w:hAnsi="Symbol" w:hint="default"/>
      </w:rPr>
    </w:lvl>
    <w:lvl w:ilvl="4" w:tplc="040C0003" w:tentative="1">
      <w:start w:val="1"/>
      <w:numFmt w:val="bullet"/>
      <w:lvlText w:val="o"/>
      <w:lvlJc w:val="left"/>
      <w:pPr>
        <w:ind w:left="4593" w:hanging="360"/>
      </w:pPr>
      <w:rPr>
        <w:rFonts w:ascii="Courier New" w:hAnsi="Courier New" w:cs="Courier New" w:hint="default"/>
      </w:rPr>
    </w:lvl>
    <w:lvl w:ilvl="5" w:tplc="040C0005" w:tentative="1">
      <w:start w:val="1"/>
      <w:numFmt w:val="bullet"/>
      <w:lvlText w:val=""/>
      <w:lvlJc w:val="left"/>
      <w:pPr>
        <w:ind w:left="5313" w:hanging="360"/>
      </w:pPr>
      <w:rPr>
        <w:rFonts w:ascii="Wingdings" w:hAnsi="Wingdings" w:hint="default"/>
      </w:rPr>
    </w:lvl>
    <w:lvl w:ilvl="6" w:tplc="040C0001" w:tentative="1">
      <w:start w:val="1"/>
      <w:numFmt w:val="bullet"/>
      <w:lvlText w:val=""/>
      <w:lvlJc w:val="left"/>
      <w:pPr>
        <w:ind w:left="6033" w:hanging="360"/>
      </w:pPr>
      <w:rPr>
        <w:rFonts w:ascii="Symbol" w:hAnsi="Symbol" w:hint="default"/>
      </w:rPr>
    </w:lvl>
    <w:lvl w:ilvl="7" w:tplc="040C0003" w:tentative="1">
      <w:start w:val="1"/>
      <w:numFmt w:val="bullet"/>
      <w:lvlText w:val="o"/>
      <w:lvlJc w:val="left"/>
      <w:pPr>
        <w:ind w:left="6753" w:hanging="360"/>
      </w:pPr>
      <w:rPr>
        <w:rFonts w:ascii="Courier New" w:hAnsi="Courier New" w:cs="Courier New" w:hint="default"/>
      </w:rPr>
    </w:lvl>
    <w:lvl w:ilvl="8" w:tplc="040C0005" w:tentative="1">
      <w:start w:val="1"/>
      <w:numFmt w:val="bullet"/>
      <w:lvlText w:val=""/>
      <w:lvlJc w:val="left"/>
      <w:pPr>
        <w:ind w:left="7473" w:hanging="360"/>
      </w:pPr>
      <w:rPr>
        <w:rFonts w:ascii="Wingdings" w:hAnsi="Wingdings" w:hint="default"/>
      </w:rPr>
    </w:lvl>
  </w:abstractNum>
  <w:abstractNum w:abstractNumId="6" w15:restartNumberingAfterBreak="0">
    <w:nsid w:val="08FB2515"/>
    <w:multiLevelType w:val="hybridMultilevel"/>
    <w:tmpl w:val="298A0FFA"/>
    <w:lvl w:ilvl="0" w:tplc="C6AC492A">
      <w:numFmt w:val="bullet"/>
      <w:lvlText w:val="-"/>
      <w:lvlJc w:val="left"/>
      <w:pPr>
        <w:ind w:left="720" w:hanging="360"/>
      </w:pPr>
      <w:rPr>
        <w:rFonts w:ascii="Marianne" w:eastAsiaTheme="minorHAnsi" w:hAnsi="Marianne"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0E56611"/>
    <w:multiLevelType w:val="hybridMultilevel"/>
    <w:tmpl w:val="CD0CD4A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DC74EC"/>
    <w:multiLevelType w:val="hybridMultilevel"/>
    <w:tmpl w:val="943E73F6"/>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15F51787"/>
    <w:multiLevelType w:val="hybridMultilevel"/>
    <w:tmpl w:val="BAA4BBE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192267E5"/>
    <w:multiLevelType w:val="hybridMultilevel"/>
    <w:tmpl w:val="311A317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D65654"/>
    <w:multiLevelType w:val="hybridMultilevel"/>
    <w:tmpl w:val="5A28497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A3C2013"/>
    <w:multiLevelType w:val="hybridMultilevel"/>
    <w:tmpl w:val="30CA374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6A07EAD"/>
    <w:multiLevelType w:val="hybridMultilevel"/>
    <w:tmpl w:val="AEBE1F5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84F2241"/>
    <w:multiLevelType w:val="hybridMultilevel"/>
    <w:tmpl w:val="A9FCBC7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D42049F"/>
    <w:multiLevelType w:val="hybridMultilevel"/>
    <w:tmpl w:val="D242E00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0B4260A"/>
    <w:multiLevelType w:val="hybridMultilevel"/>
    <w:tmpl w:val="17B261D8"/>
    <w:lvl w:ilvl="0" w:tplc="1C265A02">
      <w:start w:val="1"/>
      <w:numFmt w:val="bullet"/>
      <w:lvlText w:val="-"/>
      <w:lvlJc w:val="left"/>
      <w:pPr>
        <w:ind w:left="720" w:hanging="360"/>
      </w:pPr>
      <w:rPr>
        <w:rFonts w:ascii="Marianne" w:eastAsiaTheme="minorHAnsi" w:hAnsi="Marianne"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1280FBB"/>
    <w:multiLevelType w:val="hybridMultilevel"/>
    <w:tmpl w:val="769845C8"/>
    <w:lvl w:ilvl="0" w:tplc="040C0009">
      <w:start w:val="1"/>
      <w:numFmt w:val="bullet"/>
      <w:lvlText w:val=""/>
      <w:lvlJc w:val="left"/>
      <w:pPr>
        <w:ind w:left="3449" w:hanging="360"/>
      </w:pPr>
      <w:rPr>
        <w:rFonts w:ascii="Wingdings" w:hAnsi="Wingdings" w:hint="default"/>
      </w:rPr>
    </w:lvl>
    <w:lvl w:ilvl="1" w:tplc="040C0003" w:tentative="1">
      <w:start w:val="1"/>
      <w:numFmt w:val="bullet"/>
      <w:lvlText w:val="o"/>
      <w:lvlJc w:val="left"/>
      <w:pPr>
        <w:ind w:left="4169" w:hanging="360"/>
      </w:pPr>
      <w:rPr>
        <w:rFonts w:ascii="Courier New" w:hAnsi="Courier New" w:cs="Courier New" w:hint="default"/>
      </w:rPr>
    </w:lvl>
    <w:lvl w:ilvl="2" w:tplc="040C0005" w:tentative="1">
      <w:start w:val="1"/>
      <w:numFmt w:val="bullet"/>
      <w:lvlText w:val=""/>
      <w:lvlJc w:val="left"/>
      <w:pPr>
        <w:ind w:left="4889" w:hanging="360"/>
      </w:pPr>
      <w:rPr>
        <w:rFonts w:ascii="Wingdings" w:hAnsi="Wingdings" w:hint="default"/>
      </w:rPr>
    </w:lvl>
    <w:lvl w:ilvl="3" w:tplc="040C0001" w:tentative="1">
      <w:start w:val="1"/>
      <w:numFmt w:val="bullet"/>
      <w:lvlText w:val=""/>
      <w:lvlJc w:val="left"/>
      <w:pPr>
        <w:ind w:left="5609" w:hanging="360"/>
      </w:pPr>
      <w:rPr>
        <w:rFonts w:ascii="Symbol" w:hAnsi="Symbol" w:hint="default"/>
      </w:rPr>
    </w:lvl>
    <w:lvl w:ilvl="4" w:tplc="040C0003" w:tentative="1">
      <w:start w:val="1"/>
      <w:numFmt w:val="bullet"/>
      <w:lvlText w:val="o"/>
      <w:lvlJc w:val="left"/>
      <w:pPr>
        <w:ind w:left="6329" w:hanging="360"/>
      </w:pPr>
      <w:rPr>
        <w:rFonts w:ascii="Courier New" w:hAnsi="Courier New" w:cs="Courier New" w:hint="default"/>
      </w:rPr>
    </w:lvl>
    <w:lvl w:ilvl="5" w:tplc="040C0005" w:tentative="1">
      <w:start w:val="1"/>
      <w:numFmt w:val="bullet"/>
      <w:lvlText w:val=""/>
      <w:lvlJc w:val="left"/>
      <w:pPr>
        <w:ind w:left="7049" w:hanging="360"/>
      </w:pPr>
      <w:rPr>
        <w:rFonts w:ascii="Wingdings" w:hAnsi="Wingdings" w:hint="default"/>
      </w:rPr>
    </w:lvl>
    <w:lvl w:ilvl="6" w:tplc="040C0001" w:tentative="1">
      <w:start w:val="1"/>
      <w:numFmt w:val="bullet"/>
      <w:lvlText w:val=""/>
      <w:lvlJc w:val="left"/>
      <w:pPr>
        <w:ind w:left="7769" w:hanging="360"/>
      </w:pPr>
      <w:rPr>
        <w:rFonts w:ascii="Symbol" w:hAnsi="Symbol" w:hint="default"/>
      </w:rPr>
    </w:lvl>
    <w:lvl w:ilvl="7" w:tplc="040C0003" w:tentative="1">
      <w:start w:val="1"/>
      <w:numFmt w:val="bullet"/>
      <w:lvlText w:val="o"/>
      <w:lvlJc w:val="left"/>
      <w:pPr>
        <w:ind w:left="8489" w:hanging="360"/>
      </w:pPr>
      <w:rPr>
        <w:rFonts w:ascii="Courier New" w:hAnsi="Courier New" w:cs="Courier New" w:hint="default"/>
      </w:rPr>
    </w:lvl>
    <w:lvl w:ilvl="8" w:tplc="040C0005" w:tentative="1">
      <w:start w:val="1"/>
      <w:numFmt w:val="bullet"/>
      <w:lvlText w:val=""/>
      <w:lvlJc w:val="left"/>
      <w:pPr>
        <w:ind w:left="9209" w:hanging="360"/>
      </w:pPr>
      <w:rPr>
        <w:rFonts w:ascii="Wingdings" w:hAnsi="Wingdings" w:hint="default"/>
      </w:rPr>
    </w:lvl>
  </w:abstractNum>
  <w:abstractNum w:abstractNumId="18" w15:restartNumberingAfterBreak="0">
    <w:nsid w:val="39D67C3B"/>
    <w:multiLevelType w:val="hybridMultilevel"/>
    <w:tmpl w:val="7C48561A"/>
    <w:lvl w:ilvl="0" w:tplc="040C0009">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9" w15:restartNumberingAfterBreak="0">
    <w:nsid w:val="3FDD5388"/>
    <w:multiLevelType w:val="hybridMultilevel"/>
    <w:tmpl w:val="96EA1EC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62662CF"/>
    <w:multiLevelType w:val="hybridMultilevel"/>
    <w:tmpl w:val="E272D1A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8483AB2"/>
    <w:multiLevelType w:val="hybridMultilevel"/>
    <w:tmpl w:val="E3A0158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8510B4A"/>
    <w:multiLevelType w:val="hybridMultilevel"/>
    <w:tmpl w:val="70E2108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975422E"/>
    <w:multiLevelType w:val="hybridMultilevel"/>
    <w:tmpl w:val="67349A8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C1920BA"/>
    <w:multiLevelType w:val="hybridMultilevel"/>
    <w:tmpl w:val="6BE81CE8"/>
    <w:lvl w:ilvl="0" w:tplc="040C0009">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25" w15:restartNumberingAfterBreak="0">
    <w:nsid w:val="4C79733A"/>
    <w:multiLevelType w:val="hybridMultilevel"/>
    <w:tmpl w:val="89109CF6"/>
    <w:lvl w:ilvl="0" w:tplc="321821CE">
      <w:start w:val="1"/>
      <w:numFmt w:val="decimal"/>
      <w:pStyle w:val="Style1-Marianne"/>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ED46EBC"/>
    <w:multiLevelType w:val="hybridMultilevel"/>
    <w:tmpl w:val="04F21D1A"/>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7" w15:restartNumberingAfterBreak="0">
    <w:nsid w:val="51CF40E5"/>
    <w:multiLevelType w:val="hybridMultilevel"/>
    <w:tmpl w:val="80E40CA4"/>
    <w:lvl w:ilvl="0" w:tplc="040C000B">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3953994"/>
    <w:multiLevelType w:val="hybridMultilevel"/>
    <w:tmpl w:val="2A5EC5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53E7B7B"/>
    <w:multiLevelType w:val="hybridMultilevel"/>
    <w:tmpl w:val="FEA6E0D6"/>
    <w:lvl w:ilvl="0" w:tplc="1C265A02">
      <w:start w:val="1"/>
      <w:numFmt w:val="bullet"/>
      <w:lvlText w:val="-"/>
      <w:lvlJc w:val="left"/>
      <w:pPr>
        <w:ind w:left="720" w:hanging="360"/>
      </w:pPr>
      <w:rPr>
        <w:rFonts w:ascii="Marianne" w:eastAsiaTheme="minorHAnsi" w:hAnsi="Marianne" w:cstheme="minorBidi"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16D6F9D"/>
    <w:multiLevelType w:val="hybridMultilevel"/>
    <w:tmpl w:val="4AF87FC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39649FA"/>
    <w:multiLevelType w:val="hybridMultilevel"/>
    <w:tmpl w:val="7DCC5DFC"/>
    <w:lvl w:ilvl="0" w:tplc="040C0009">
      <w:start w:val="1"/>
      <w:numFmt w:val="bullet"/>
      <w:lvlText w:val=""/>
      <w:lvlJc w:val="left"/>
      <w:pPr>
        <w:ind w:left="720" w:hanging="360"/>
      </w:pPr>
      <w:rPr>
        <w:rFonts w:ascii="Wingdings" w:hAnsi="Wingdings"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4E0392B"/>
    <w:multiLevelType w:val="hybridMultilevel"/>
    <w:tmpl w:val="367C8CD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D937085"/>
    <w:multiLevelType w:val="hybridMultilevel"/>
    <w:tmpl w:val="E466C8E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0623035"/>
    <w:multiLevelType w:val="hybridMultilevel"/>
    <w:tmpl w:val="47C4783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0BD52B5"/>
    <w:multiLevelType w:val="hybridMultilevel"/>
    <w:tmpl w:val="5D5ACAA0"/>
    <w:lvl w:ilvl="0" w:tplc="B2DE62B0">
      <w:numFmt w:val="bullet"/>
      <w:lvlText w:val=""/>
      <w:lvlJc w:val="left"/>
      <w:pPr>
        <w:ind w:left="720" w:hanging="360"/>
      </w:pPr>
      <w:rPr>
        <w:rFonts w:ascii="Wingdings" w:eastAsiaTheme="minorHAnsi" w:hAnsi="Wingdings" w:cs="Times New Roman"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1727E67"/>
    <w:multiLevelType w:val="hybridMultilevel"/>
    <w:tmpl w:val="FFC6F1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1DF45A7"/>
    <w:multiLevelType w:val="hybridMultilevel"/>
    <w:tmpl w:val="CA9C56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DEB767D"/>
    <w:multiLevelType w:val="hybridMultilevel"/>
    <w:tmpl w:val="C01C7EB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E99176F"/>
    <w:multiLevelType w:val="hybridMultilevel"/>
    <w:tmpl w:val="552CCF3A"/>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25"/>
  </w:num>
  <w:num w:numId="2">
    <w:abstractNumId w:val="12"/>
  </w:num>
  <w:num w:numId="3">
    <w:abstractNumId w:val="16"/>
  </w:num>
  <w:num w:numId="4">
    <w:abstractNumId w:val="13"/>
  </w:num>
  <w:num w:numId="5">
    <w:abstractNumId w:val="30"/>
  </w:num>
  <w:num w:numId="6">
    <w:abstractNumId w:val="19"/>
  </w:num>
  <w:num w:numId="7">
    <w:abstractNumId w:val="7"/>
  </w:num>
  <w:num w:numId="8">
    <w:abstractNumId w:val="20"/>
  </w:num>
  <w:num w:numId="9">
    <w:abstractNumId w:val="36"/>
  </w:num>
  <w:num w:numId="10">
    <w:abstractNumId w:val="39"/>
  </w:num>
  <w:num w:numId="11">
    <w:abstractNumId w:val="4"/>
  </w:num>
  <w:num w:numId="12">
    <w:abstractNumId w:val="31"/>
  </w:num>
  <w:num w:numId="13">
    <w:abstractNumId w:val="29"/>
  </w:num>
  <w:num w:numId="14">
    <w:abstractNumId w:val="5"/>
  </w:num>
  <w:num w:numId="15">
    <w:abstractNumId w:val="18"/>
  </w:num>
  <w:num w:numId="16">
    <w:abstractNumId w:val="10"/>
  </w:num>
  <w:num w:numId="17">
    <w:abstractNumId w:val="38"/>
  </w:num>
  <w:num w:numId="18">
    <w:abstractNumId w:val="27"/>
  </w:num>
  <w:num w:numId="19">
    <w:abstractNumId w:val="8"/>
  </w:num>
  <w:num w:numId="20">
    <w:abstractNumId w:val="33"/>
  </w:num>
  <w:num w:numId="21">
    <w:abstractNumId w:val="37"/>
  </w:num>
  <w:num w:numId="22">
    <w:abstractNumId w:val="26"/>
  </w:num>
  <w:num w:numId="23">
    <w:abstractNumId w:val="23"/>
  </w:num>
  <w:num w:numId="24">
    <w:abstractNumId w:val="21"/>
  </w:num>
  <w:num w:numId="25">
    <w:abstractNumId w:val="11"/>
  </w:num>
  <w:num w:numId="26">
    <w:abstractNumId w:val="14"/>
  </w:num>
  <w:num w:numId="27">
    <w:abstractNumId w:val="22"/>
  </w:num>
  <w:num w:numId="28">
    <w:abstractNumId w:val="28"/>
  </w:num>
  <w:num w:numId="29">
    <w:abstractNumId w:val="34"/>
  </w:num>
  <w:num w:numId="30">
    <w:abstractNumId w:val="6"/>
  </w:num>
  <w:num w:numId="31">
    <w:abstractNumId w:val="35"/>
  </w:num>
  <w:num w:numId="32">
    <w:abstractNumId w:val="24"/>
  </w:num>
  <w:num w:numId="33">
    <w:abstractNumId w:val="15"/>
  </w:num>
  <w:num w:numId="34">
    <w:abstractNumId w:val="32"/>
  </w:num>
  <w:num w:numId="35">
    <w:abstractNumId w:val="17"/>
  </w:num>
  <w:num w:numId="36">
    <w:abstractNumId w:val="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hdrShapeDefaults>
    <o:shapedefaults v:ext="edit" spidmax="18433">
      <o:colormru v:ext="edit" colors="#aecc8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433">
      <o:colormru v:ext="edit" colors="#aecc86"/>
    </o:shapedefaults>
    <o:shapelayout v:ext="edit">
      <o:idmap v:ext="edit" data="1"/>
    </o:shapelayout>
  </w:shapeDefaults>
  <w:decimalSymbol w:val=","/>
  <w:listSeparator w:val=";"/>
  <w15:chartTrackingRefBased/>
  <w15:docId w15:val="{E83726A3-202C-44FE-9B4B-A3521467C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arianne" w:eastAsiaTheme="minorHAnsi" w:hAnsi="Marianne" w:cstheme="minorBidi"/>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240" w:after="0"/>
      <w:outlineLvl w:val="0"/>
    </w:pPr>
    <w:rPr>
      <w:rFonts w:ascii="Marianne ExtraBold" w:eastAsiaTheme="majorEastAsia" w:hAnsi="Marianne ExtraBold" w:cstheme="majorBidi"/>
      <w:color w:val="FFFFFF" w:themeColor="background1"/>
      <w:sz w:val="96"/>
      <w:szCs w:val="32"/>
    </w:rPr>
  </w:style>
  <w:style w:type="paragraph" w:styleId="Titre2">
    <w:name w:val="heading 2"/>
    <w:basedOn w:val="Normal"/>
    <w:next w:val="Normal"/>
    <w:link w:val="Titre2C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Pr>
      <w:rFonts w:asciiTheme="majorHAnsi" w:eastAsiaTheme="majorEastAsia" w:hAnsiTheme="majorHAnsi" w:cstheme="majorBidi"/>
      <w:color w:val="2F5496" w:themeColor="accent1" w:themeShade="BF"/>
      <w:sz w:val="26"/>
      <w:szCs w:val="26"/>
    </w:rPr>
  </w:style>
  <w:style w:type="character" w:styleId="lev">
    <w:name w:val="Strong"/>
    <w:basedOn w:val="Policepardfaut"/>
    <w:qFormat/>
    <w:rPr>
      <w:b/>
      <w:bCs/>
    </w:rPr>
  </w:style>
  <w:style w:type="paragraph" w:customStyle="1" w:styleId="Style1-Marianne">
    <w:name w:val="Style1-Marianne"/>
    <w:basedOn w:val="Titre2"/>
    <w:link w:val="Style1-MarianneCar"/>
    <w:qFormat/>
    <w:pPr>
      <w:numPr>
        <w:numId w:val="1"/>
      </w:numPr>
    </w:pPr>
    <w:rPr>
      <w:rFonts w:ascii="Marianne" w:hAnsi="Marianne"/>
      <w:b/>
      <w:color w:val="auto"/>
    </w:rPr>
  </w:style>
  <w:style w:type="character" w:customStyle="1" w:styleId="Titre1Car">
    <w:name w:val="Titre 1 Car"/>
    <w:basedOn w:val="Policepardfaut"/>
    <w:link w:val="Titre1"/>
    <w:uiPriority w:val="9"/>
    <w:rPr>
      <w:rFonts w:ascii="Marianne ExtraBold" w:eastAsiaTheme="majorEastAsia" w:hAnsi="Marianne ExtraBold" w:cstheme="majorBidi"/>
      <w:color w:val="FFFFFF" w:themeColor="background1"/>
      <w:sz w:val="96"/>
      <w:szCs w:val="32"/>
    </w:rPr>
  </w:style>
  <w:style w:type="character" w:customStyle="1" w:styleId="Style1-MarianneCar">
    <w:name w:val="Style1-Marianne Car"/>
    <w:basedOn w:val="Titre2Car"/>
    <w:link w:val="Style1-Marianne"/>
    <w:rPr>
      <w:rFonts w:asciiTheme="majorHAnsi" w:eastAsiaTheme="majorEastAsia" w:hAnsiTheme="majorHAnsi" w:cstheme="majorBidi"/>
      <w:b/>
      <w:color w:val="2F5496" w:themeColor="accent1" w:themeShade="BF"/>
      <w:sz w:val="26"/>
      <w:szCs w:val="26"/>
    </w:rPr>
  </w:style>
  <w:style w:type="paragraph" w:styleId="En-ttedetabledesmatires">
    <w:name w:val="TOC Heading"/>
    <w:basedOn w:val="Titre1"/>
    <w:next w:val="Normal"/>
    <w:uiPriority w:val="39"/>
    <w:unhideWhenUsed/>
    <w:qFormat/>
    <w:pPr>
      <w:outlineLvl w:val="9"/>
    </w:pPr>
    <w:rPr>
      <w:lang w:eastAsia="fr-FR"/>
    </w:rPr>
  </w:style>
  <w:style w:type="paragraph" w:styleId="TM2">
    <w:name w:val="toc 2"/>
    <w:basedOn w:val="Normal"/>
    <w:next w:val="Normal"/>
    <w:autoRedefine/>
    <w:uiPriority w:val="39"/>
    <w:unhideWhenUsed/>
    <w:pPr>
      <w:spacing w:after="100"/>
      <w:ind w:left="200"/>
    </w:pPr>
  </w:style>
  <w:style w:type="character" w:styleId="Lienhypertexte">
    <w:name w:val="Hyperlink"/>
    <w:basedOn w:val="Policepardfaut"/>
    <w:uiPriority w:val="99"/>
    <w:unhideWhenUsed/>
    <w:rPr>
      <w:color w:val="0563C1" w:themeColor="hyperlink"/>
      <w:u w:val="single"/>
    </w:rPr>
  </w:style>
  <w:style w:type="paragraph" w:customStyle="1" w:styleId="Style1">
    <w:name w:val="Style1"/>
    <w:basedOn w:val="Titre1"/>
    <w:next w:val="Titre1"/>
    <w:link w:val="Style1Car"/>
    <w:qFormat/>
    <w:rPr>
      <w:rFonts w:ascii="Marianne" w:hAnsi="Marianne"/>
      <w:b/>
      <w:sz w:val="84"/>
      <w:szCs w:val="52"/>
    </w:rPr>
  </w:style>
  <w:style w:type="paragraph" w:customStyle="1" w:styleId="Style2">
    <w:name w:val="Style2"/>
    <w:basedOn w:val="Titre2"/>
    <w:link w:val="Style2Car"/>
    <w:qFormat/>
    <w:rPr>
      <w:rFonts w:ascii="Marianne" w:hAnsi="Marianne"/>
      <w:b/>
      <w:color w:val="466964"/>
      <w:sz w:val="56"/>
    </w:rPr>
  </w:style>
  <w:style w:type="character" w:customStyle="1" w:styleId="Style1Car">
    <w:name w:val="Style1 Car"/>
    <w:basedOn w:val="Titre1Car"/>
    <w:link w:val="Style1"/>
    <w:rPr>
      <w:rFonts w:ascii="Marianne ExtraBold" w:eastAsiaTheme="majorEastAsia" w:hAnsi="Marianne ExtraBold" w:cstheme="majorBidi"/>
      <w:b/>
      <w:color w:val="FFFFFF" w:themeColor="background1"/>
      <w:sz w:val="84"/>
      <w:szCs w:val="52"/>
    </w:rPr>
  </w:style>
  <w:style w:type="paragraph" w:customStyle="1" w:styleId="Style3">
    <w:name w:val="Style3"/>
    <w:basedOn w:val="Titre3"/>
    <w:link w:val="Style3Car"/>
    <w:qFormat/>
    <w:pPr>
      <w:spacing w:line="240" w:lineRule="auto"/>
    </w:pPr>
    <w:rPr>
      <w:rFonts w:ascii="Marianne" w:hAnsi="Marianne"/>
      <w:b/>
      <w:color w:val="FFFFFF" w:themeColor="background1"/>
      <w:sz w:val="36"/>
    </w:rPr>
  </w:style>
  <w:style w:type="character" w:customStyle="1" w:styleId="Style2Car">
    <w:name w:val="Style2 Car"/>
    <w:basedOn w:val="Titre2Car"/>
    <w:link w:val="Style2"/>
    <w:rPr>
      <w:rFonts w:asciiTheme="majorHAnsi" w:eastAsiaTheme="majorEastAsia" w:hAnsiTheme="majorHAnsi" w:cstheme="majorBidi"/>
      <w:b/>
      <w:color w:val="466964"/>
      <w:sz w:val="56"/>
      <w:szCs w:val="26"/>
    </w:rPr>
  </w:style>
  <w:style w:type="paragraph" w:styleId="Paragraphedeliste">
    <w:name w:val="List Paragraph"/>
    <w:basedOn w:val="Normal"/>
    <w:uiPriority w:val="34"/>
    <w:qFormat/>
    <w:pPr>
      <w:ind w:left="720"/>
      <w:contextualSpacing/>
    </w:pPr>
  </w:style>
  <w:style w:type="character" w:customStyle="1" w:styleId="Style3Car">
    <w:name w:val="Style3 Car"/>
    <w:basedOn w:val="Style2Car"/>
    <w:link w:val="Style3"/>
    <w:rPr>
      <w:rFonts w:asciiTheme="majorHAnsi" w:eastAsiaTheme="majorEastAsia" w:hAnsiTheme="majorHAnsi" w:cstheme="majorBidi"/>
      <w:b/>
      <w:color w:val="FFFFFF" w:themeColor="background1"/>
      <w:sz w:val="36"/>
      <w:szCs w:val="24"/>
    </w:rPr>
  </w:style>
  <w:style w:type="character" w:customStyle="1" w:styleId="Titre3Car">
    <w:name w:val="Titre 3 Car"/>
    <w:basedOn w:val="Policepardfaut"/>
    <w:link w:val="Titre3"/>
    <w:uiPriority w:val="9"/>
    <w:rPr>
      <w:rFonts w:asciiTheme="majorHAnsi" w:eastAsiaTheme="majorEastAsia" w:hAnsiTheme="majorHAnsi" w:cstheme="majorBidi"/>
      <w:color w:val="1F3763" w:themeColor="accent1" w:themeShade="7F"/>
      <w:sz w:val="24"/>
      <w:szCs w:val="24"/>
    </w:rPr>
  </w:style>
  <w:style w:type="paragraph" w:styleId="Notedebasdepage">
    <w:name w:val="footnote text"/>
    <w:basedOn w:val="Normal"/>
    <w:link w:val="NotedebasdepageCar"/>
    <w:unhideWhenUsed/>
    <w:pPr>
      <w:spacing w:after="0" w:line="240" w:lineRule="auto"/>
    </w:pPr>
    <w:rPr>
      <w:szCs w:val="20"/>
    </w:rPr>
  </w:style>
  <w:style w:type="character" w:customStyle="1" w:styleId="NotedebasdepageCar">
    <w:name w:val="Note de bas de page Car"/>
    <w:basedOn w:val="Policepardfaut"/>
    <w:link w:val="Notedebasdepage"/>
    <w:rPr>
      <w:szCs w:val="20"/>
    </w:rPr>
  </w:style>
  <w:style w:type="character" w:styleId="Appelnotedebasdep">
    <w:name w:val="footnote reference"/>
    <w:basedOn w:val="Policepardfaut"/>
    <w:unhideWhenUsed/>
    <w:rPr>
      <w:vertAlign w:val="superscript"/>
    </w:rPr>
  </w:style>
  <w:style w:type="paragraph" w:styleId="Notedefin">
    <w:name w:val="endnote text"/>
    <w:basedOn w:val="Normal"/>
    <w:link w:val="NotedefinCar"/>
    <w:uiPriority w:val="99"/>
    <w:semiHidden/>
    <w:unhideWhenUsed/>
    <w:pPr>
      <w:spacing w:after="0" w:line="240" w:lineRule="auto"/>
    </w:pPr>
    <w:rPr>
      <w:szCs w:val="20"/>
    </w:rPr>
  </w:style>
  <w:style w:type="character" w:customStyle="1" w:styleId="NotedefinCar">
    <w:name w:val="Note de fin Car"/>
    <w:basedOn w:val="Policepardfaut"/>
    <w:link w:val="Notedefin"/>
    <w:uiPriority w:val="99"/>
    <w:semiHidden/>
    <w:rPr>
      <w:szCs w:val="20"/>
    </w:rPr>
  </w:style>
  <w:style w:type="character" w:styleId="Appeldenotedefin">
    <w:name w:val="endnote reference"/>
    <w:basedOn w:val="Policepardfaut"/>
    <w:uiPriority w:val="99"/>
    <w:semiHidden/>
    <w:unhideWhenUsed/>
    <w:rPr>
      <w:vertAlign w:val="superscript"/>
    </w:rPr>
  </w:style>
  <w:style w:type="table" w:styleId="Grilledutableau">
    <w:name w:val="Table Grid"/>
    <w:basedOn w:val="Tableau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pPr>
      <w:tabs>
        <w:tab w:val="right" w:leader="dot" w:pos="9628"/>
      </w:tabs>
      <w:spacing w:after="100"/>
    </w:pPr>
    <w:rPr>
      <w:rFonts w:eastAsiaTheme="majorEastAsia" w:cstheme="majorBidi"/>
      <w:b/>
      <w:bCs/>
      <w:noProof/>
    </w:rPr>
  </w:style>
  <w:style w:type="paragraph" w:styleId="TM3">
    <w:name w:val="toc 3"/>
    <w:basedOn w:val="Normal"/>
    <w:next w:val="Normal"/>
    <w:autoRedefine/>
    <w:uiPriority w:val="39"/>
    <w:unhideWhenUsed/>
    <w:pPr>
      <w:spacing w:after="100"/>
      <w:ind w:left="400"/>
    </w:pPr>
  </w:style>
  <w:style w:type="character" w:styleId="Mentionnonrsolue">
    <w:name w:val="Unresolved Mention"/>
    <w:basedOn w:val="Policepardfaut"/>
    <w:uiPriority w:val="99"/>
    <w:semiHidden/>
    <w:unhideWhenUsed/>
    <w:rPr>
      <w:color w:val="605E5C"/>
      <w:shd w:val="clear" w:color="auto" w:fill="E1DFDD"/>
    </w:rPr>
  </w:style>
  <w:style w:type="paragraph" w:customStyle="1" w:styleId="Style4">
    <w:name w:val="Style4"/>
    <w:basedOn w:val="Titre4"/>
    <w:link w:val="Style4Car"/>
    <w:qFormat/>
    <w:rPr>
      <w:rFonts w:ascii="Marianne" w:hAnsi="Marianne"/>
      <w:i w:val="0"/>
      <w:color w:val="5770BE"/>
      <w:sz w:val="28"/>
      <w:u w:val="single"/>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2F5496" w:themeColor="accent1" w:themeShade="BF"/>
    </w:rPr>
  </w:style>
  <w:style w:type="character" w:customStyle="1" w:styleId="Style4Car">
    <w:name w:val="Style4 Car"/>
    <w:basedOn w:val="Titre4Car"/>
    <w:link w:val="Style4"/>
    <w:rPr>
      <w:rFonts w:asciiTheme="majorHAnsi" w:eastAsiaTheme="majorEastAsia" w:hAnsiTheme="majorHAnsi" w:cstheme="majorBidi"/>
      <w:i w:val="0"/>
      <w:iCs/>
      <w:color w:val="5770BE"/>
      <w:sz w:val="28"/>
      <w:u w:val="single"/>
    </w:rPr>
  </w:style>
  <w:style w:type="paragraph" w:styleId="En-tte">
    <w:name w:val="header"/>
    <w:aliases w:val="En-tête1,E.e,E,En-tête11,E.e1,E1,En-tête-1,En-tête-2"/>
    <w:basedOn w:val="Normal"/>
    <w:link w:val="En-tteCar"/>
    <w:uiPriority w:val="99"/>
    <w:unhideWhenUsed/>
    <w:pPr>
      <w:tabs>
        <w:tab w:val="center" w:pos="4536"/>
        <w:tab w:val="right" w:pos="9072"/>
      </w:tabs>
      <w:spacing w:after="0" w:line="240" w:lineRule="auto"/>
    </w:pPr>
  </w:style>
  <w:style w:type="character" w:customStyle="1" w:styleId="En-tteCar">
    <w:name w:val="En-tête Car"/>
    <w:aliases w:val="En-tête1 Car,E.e Car,E Car,En-tête11 Car,E.e1 Car,E1 Car,En-tête-1 Car,En-tête-2 Car"/>
    <w:basedOn w:val="Policepardfaut"/>
    <w:link w:val="En-tte"/>
    <w:uiPriority w:val="99"/>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paragraph" w:customStyle="1" w:styleId="Paragraphedeliste1">
    <w:name w:val="Paragraphe de liste1"/>
    <w:basedOn w:val="Normal"/>
    <w:pPr>
      <w:widowControl w:val="0"/>
      <w:suppressAutoHyphens/>
      <w:spacing w:after="0" w:line="240" w:lineRule="auto"/>
      <w:ind w:left="720"/>
    </w:pPr>
    <w:rPr>
      <w:rFonts w:ascii="Times New Roman" w:eastAsia="SimSun" w:hAnsi="Times New Roman" w:cs="Mangal"/>
      <w:kern w:val="1"/>
      <w:sz w:val="24"/>
      <w:szCs w:val="24"/>
      <w:lang w:eastAsia="hi-IN" w:bidi="hi-IN"/>
    </w:rPr>
  </w:style>
  <w:style w:type="paragraph" w:styleId="Corpsdetexte">
    <w:name w:val="Body Text"/>
    <w:basedOn w:val="Normal"/>
    <w:link w:val="CorpsdetexteCar"/>
    <w:pPr>
      <w:widowControl w:val="0"/>
      <w:suppressAutoHyphens/>
      <w:spacing w:after="120" w:line="240" w:lineRule="auto"/>
    </w:pPr>
    <w:rPr>
      <w:rFonts w:ascii="Times New Roman" w:eastAsia="SimSun" w:hAnsi="Times New Roman" w:cs="Mangal"/>
      <w:kern w:val="1"/>
      <w:sz w:val="24"/>
      <w:szCs w:val="24"/>
      <w:lang w:eastAsia="hi-IN" w:bidi="hi-IN"/>
    </w:rPr>
  </w:style>
  <w:style w:type="character" w:customStyle="1" w:styleId="CorpsdetexteCar">
    <w:name w:val="Corps de texte Car"/>
    <w:basedOn w:val="Policepardfaut"/>
    <w:link w:val="Corpsdetexte"/>
    <w:rPr>
      <w:rFonts w:ascii="Times New Roman" w:eastAsia="SimSun" w:hAnsi="Times New Roman" w:cs="Mangal"/>
      <w:kern w:val="1"/>
      <w:sz w:val="24"/>
      <w:szCs w:val="24"/>
      <w:lang w:eastAsia="hi-IN" w:bidi="hi-IN"/>
    </w:rPr>
  </w:style>
  <w:style w:type="paragraph" w:customStyle="1" w:styleId="Contenudetableau">
    <w:name w:val="Contenu de tableau"/>
    <w:basedOn w:val="Normal"/>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Paragraphedeliste2">
    <w:name w:val="Paragraphe de liste2"/>
    <w:basedOn w:val="Normal"/>
    <w:pPr>
      <w:widowControl w:val="0"/>
      <w:suppressAutoHyphens/>
      <w:spacing w:after="0" w:line="240" w:lineRule="auto"/>
      <w:ind w:left="720"/>
    </w:pPr>
    <w:rPr>
      <w:rFonts w:ascii="Times New Roman" w:eastAsia="SimSun" w:hAnsi="Times New Roman" w:cs="Mangal"/>
      <w:kern w:val="1"/>
      <w:sz w:val="24"/>
      <w:szCs w:val="24"/>
      <w:lang w:eastAsia="hi-IN" w:bidi="hi-IN"/>
    </w:rPr>
  </w:style>
  <w:style w:type="character" w:styleId="Lienhypertextesuivivisit">
    <w:name w:val="FollowedHyperlink"/>
    <w:basedOn w:val="Policepardfaut"/>
    <w:uiPriority w:val="99"/>
    <w:semiHidden/>
    <w:unhideWhenUsed/>
    <w:rPr>
      <w:color w:val="954F72" w:themeColor="followed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cs="Times New Roman"/>
      <w:sz w:val="24"/>
      <w:szCs w:val="24"/>
      <w:lang w:eastAsia="fr-FR"/>
    </w:rPr>
  </w:style>
  <w:style w:type="character" w:customStyle="1" w:styleId="Policepardfaut1">
    <w:name w:val="Police par défaut1"/>
  </w:style>
  <w:style w:type="paragraph" w:customStyle="1" w:styleId="Titredetableau">
    <w:name w:val="Titre de tableau"/>
    <w:basedOn w:val="Contenudetableau"/>
    <w:pPr>
      <w:jc w:val="center"/>
    </w:pPr>
    <w:rPr>
      <w:b/>
      <w:bCs/>
    </w:rPr>
  </w:style>
  <w:style w:type="paragraph" w:customStyle="1" w:styleId="Notedebasdepage1">
    <w:name w:val="Note de bas de page1"/>
    <w:basedOn w:val="Normal"/>
    <w:pPr>
      <w:widowControl w:val="0"/>
      <w:suppressAutoHyphens/>
      <w:spacing w:after="0" w:line="240" w:lineRule="auto"/>
    </w:pPr>
    <w:rPr>
      <w:rFonts w:ascii="Times New Roman" w:eastAsia="SimSun" w:hAnsi="Times New Roman" w:cs="Mangal"/>
      <w:kern w:val="1"/>
      <w:szCs w:val="20"/>
      <w:lang w:eastAsia="hi-IN" w:bidi="hi-IN"/>
    </w:rPr>
  </w:style>
  <w:style w:type="character" w:styleId="Marquedecommentaire">
    <w:name w:val="annotation reference"/>
    <w:basedOn w:val="Policepardfaut"/>
    <w:uiPriority w:val="99"/>
    <w:semiHidden/>
    <w:unhideWhenUsed/>
    <w:rPr>
      <w:rFonts w:cs="Times New Roman"/>
      <w:sz w:val="16"/>
      <w:szCs w:val="16"/>
    </w:rPr>
  </w:style>
  <w:style w:type="paragraph" w:styleId="Commentaire">
    <w:name w:val="annotation text"/>
    <w:basedOn w:val="Normal"/>
    <w:link w:val="CommentaireCar"/>
    <w:uiPriority w:val="99"/>
    <w:unhideWhenUsed/>
    <w:pPr>
      <w:spacing w:line="240" w:lineRule="auto"/>
    </w:pPr>
    <w:rPr>
      <w:rFonts w:asciiTheme="minorHAnsi" w:eastAsia="Times New Roman" w:hAnsiTheme="minorHAnsi" w:cs="Times New Roman"/>
      <w:szCs w:val="20"/>
    </w:rPr>
  </w:style>
  <w:style w:type="character" w:customStyle="1" w:styleId="CommentaireCar">
    <w:name w:val="Commentaire Car"/>
    <w:basedOn w:val="Policepardfaut"/>
    <w:link w:val="Commentaire"/>
    <w:uiPriority w:val="99"/>
    <w:rPr>
      <w:rFonts w:asciiTheme="minorHAnsi" w:eastAsia="Times New Roman" w:hAnsiTheme="minorHAnsi" w:cs="Times New Roman"/>
      <w:szCs w:val="20"/>
    </w:rPr>
  </w:style>
  <w:style w:type="paragraph" w:styleId="PrformatHTML">
    <w:name w:val="HTML Preformatted"/>
    <w:basedOn w:val="Normal"/>
    <w:link w:val="PrformatHTMLC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lang w:eastAsia="fr-FR"/>
    </w:rPr>
  </w:style>
  <w:style w:type="character" w:customStyle="1" w:styleId="PrformatHTMLCar">
    <w:name w:val="Préformaté HTML Car"/>
    <w:basedOn w:val="Policepardfaut"/>
    <w:link w:val="PrformatHTML"/>
    <w:uiPriority w:val="99"/>
    <w:rPr>
      <w:rFonts w:ascii="Courier New" w:eastAsia="Times New Roman" w:hAnsi="Courier New" w:cs="Courier New"/>
      <w:szCs w:val="20"/>
      <w:lang w:eastAsia="fr-FR"/>
    </w:rPr>
  </w:style>
  <w:style w:type="paragraph" w:customStyle="1" w:styleId="name-article">
    <w:name w:val="name-article"/>
    <w:basedOn w:val="Normal"/>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ous-titre">
    <w:name w:val="Subtitle"/>
    <w:basedOn w:val="Normal"/>
    <w:next w:val="Normal"/>
    <w:link w:val="Sous-titreCar"/>
    <w:uiPriority w:val="11"/>
    <w:qFormat/>
    <w:pPr>
      <w:numPr>
        <w:ilvl w:val="1"/>
      </w:numPr>
      <w:tabs>
        <w:tab w:val="center" w:pos="4536"/>
        <w:tab w:val="right" w:pos="9072"/>
      </w:tabs>
      <w:spacing w:after="100" w:afterAutospacing="1" w:line="240" w:lineRule="auto"/>
      <w:jc w:val="center"/>
    </w:pPr>
    <w:rPr>
      <w:rFonts w:eastAsiaTheme="minorEastAsia" w:cs="Arial"/>
      <w:b/>
      <w:color w:val="000000" w:themeColor="text1"/>
      <w:spacing w:val="15"/>
      <w:sz w:val="24"/>
      <w:szCs w:val="20"/>
    </w:rPr>
  </w:style>
  <w:style w:type="character" w:customStyle="1" w:styleId="Sous-titreCar">
    <w:name w:val="Sous-titre Car"/>
    <w:basedOn w:val="Policepardfaut"/>
    <w:link w:val="Sous-titre"/>
    <w:uiPriority w:val="11"/>
    <w:rPr>
      <w:rFonts w:eastAsiaTheme="minorEastAsia" w:cs="Arial"/>
      <w:b/>
      <w:color w:val="000000" w:themeColor="text1"/>
      <w:spacing w:val="15"/>
      <w:sz w:val="24"/>
      <w:szCs w:val="20"/>
    </w:rPr>
  </w:style>
  <w:style w:type="paragraph" w:styleId="Objetducommentaire">
    <w:name w:val="annotation subject"/>
    <w:basedOn w:val="Commentaire"/>
    <w:next w:val="Commentaire"/>
    <w:link w:val="ObjetducommentaireCar"/>
    <w:uiPriority w:val="99"/>
    <w:semiHidden/>
    <w:unhideWhenUsed/>
    <w:rPr>
      <w:rFonts w:ascii="Marianne" w:eastAsiaTheme="minorHAnsi" w:hAnsi="Marianne" w:cstheme="minorBidi"/>
      <w:b/>
      <w:bCs/>
    </w:rPr>
  </w:style>
  <w:style w:type="character" w:customStyle="1" w:styleId="ObjetducommentaireCar">
    <w:name w:val="Objet du commentaire Car"/>
    <w:basedOn w:val="CommentaireCar"/>
    <w:link w:val="Objetducommentaire"/>
    <w:uiPriority w:val="99"/>
    <w:semiHidden/>
    <w:rPr>
      <w:rFonts w:asciiTheme="minorHAnsi" w:eastAsia="Times New Roman" w:hAnsiTheme="minorHAnsi" w:cs="Times New Roman"/>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83939">
      <w:bodyDiv w:val="1"/>
      <w:marLeft w:val="0"/>
      <w:marRight w:val="0"/>
      <w:marTop w:val="0"/>
      <w:marBottom w:val="0"/>
      <w:divBdr>
        <w:top w:val="none" w:sz="0" w:space="0" w:color="auto"/>
        <w:left w:val="none" w:sz="0" w:space="0" w:color="auto"/>
        <w:bottom w:val="none" w:sz="0" w:space="0" w:color="auto"/>
        <w:right w:val="none" w:sz="0" w:space="0" w:color="auto"/>
      </w:divBdr>
    </w:div>
    <w:div w:id="65106638">
      <w:bodyDiv w:val="1"/>
      <w:marLeft w:val="0"/>
      <w:marRight w:val="0"/>
      <w:marTop w:val="0"/>
      <w:marBottom w:val="0"/>
      <w:divBdr>
        <w:top w:val="none" w:sz="0" w:space="0" w:color="auto"/>
        <w:left w:val="none" w:sz="0" w:space="0" w:color="auto"/>
        <w:bottom w:val="none" w:sz="0" w:space="0" w:color="auto"/>
        <w:right w:val="none" w:sz="0" w:space="0" w:color="auto"/>
      </w:divBdr>
    </w:div>
    <w:div w:id="128060424">
      <w:bodyDiv w:val="1"/>
      <w:marLeft w:val="0"/>
      <w:marRight w:val="0"/>
      <w:marTop w:val="0"/>
      <w:marBottom w:val="0"/>
      <w:divBdr>
        <w:top w:val="none" w:sz="0" w:space="0" w:color="auto"/>
        <w:left w:val="none" w:sz="0" w:space="0" w:color="auto"/>
        <w:bottom w:val="none" w:sz="0" w:space="0" w:color="auto"/>
        <w:right w:val="none" w:sz="0" w:space="0" w:color="auto"/>
      </w:divBdr>
    </w:div>
    <w:div w:id="136800245">
      <w:bodyDiv w:val="1"/>
      <w:marLeft w:val="0"/>
      <w:marRight w:val="0"/>
      <w:marTop w:val="0"/>
      <w:marBottom w:val="0"/>
      <w:divBdr>
        <w:top w:val="none" w:sz="0" w:space="0" w:color="auto"/>
        <w:left w:val="none" w:sz="0" w:space="0" w:color="auto"/>
        <w:bottom w:val="none" w:sz="0" w:space="0" w:color="auto"/>
        <w:right w:val="none" w:sz="0" w:space="0" w:color="auto"/>
      </w:divBdr>
    </w:div>
    <w:div w:id="206795489">
      <w:bodyDiv w:val="1"/>
      <w:marLeft w:val="0"/>
      <w:marRight w:val="0"/>
      <w:marTop w:val="0"/>
      <w:marBottom w:val="0"/>
      <w:divBdr>
        <w:top w:val="none" w:sz="0" w:space="0" w:color="auto"/>
        <w:left w:val="none" w:sz="0" w:space="0" w:color="auto"/>
        <w:bottom w:val="none" w:sz="0" w:space="0" w:color="auto"/>
        <w:right w:val="none" w:sz="0" w:space="0" w:color="auto"/>
      </w:divBdr>
    </w:div>
    <w:div w:id="270207919">
      <w:bodyDiv w:val="1"/>
      <w:marLeft w:val="0"/>
      <w:marRight w:val="0"/>
      <w:marTop w:val="0"/>
      <w:marBottom w:val="0"/>
      <w:divBdr>
        <w:top w:val="none" w:sz="0" w:space="0" w:color="auto"/>
        <w:left w:val="none" w:sz="0" w:space="0" w:color="auto"/>
        <w:bottom w:val="none" w:sz="0" w:space="0" w:color="auto"/>
        <w:right w:val="none" w:sz="0" w:space="0" w:color="auto"/>
      </w:divBdr>
      <w:divsChild>
        <w:div w:id="365761885">
          <w:marLeft w:val="0"/>
          <w:marRight w:val="0"/>
          <w:marTop w:val="0"/>
          <w:marBottom w:val="0"/>
          <w:divBdr>
            <w:top w:val="none" w:sz="0" w:space="0" w:color="auto"/>
            <w:left w:val="none" w:sz="0" w:space="0" w:color="auto"/>
            <w:bottom w:val="none" w:sz="0" w:space="0" w:color="auto"/>
            <w:right w:val="none" w:sz="0" w:space="0" w:color="auto"/>
          </w:divBdr>
          <w:divsChild>
            <w:div w:id="265112398">
              <w:marLeft w:val="0"/>
              <w:marRight w:val="0"/>
              <w:marTop w:val="0"/>
              <w:marBottom w:val="0"/>
              <w:divBdr>
                <w:top w:val="none" w:sz="0" w:space="0" w:color="auto"/>
                <w:left w:val="none" w:sz="0" w:space="0" w:color="auto"/>
                <w:bottom w:val="none" w:sz="0" w:space="0" w:color="auto"/>
                <w:right w:val="none" w:sz="0" w:space="0" w:color="auto"/>
              </w:divBdr>
              <w:divsChild>
                <w:div w:id="2041123435">
                  <w:marLeft w:val="0"/>
                  <w:marRight w:val="0"/>
                  <w:marTop w:val="0"/>
                  <w:marBottom w:val="0"/>
                  <w:divBdr>
                    <w:top w:val="none" w:sz="0" w:space="0" w:color="auto"/>
                    <w:left w:val="none" w:sz="0" w:space="0" w:color="auto"/>
                    <w:bottom w:val="none" w:sz="0" w:space="0" w:color="auto"/>
                    <w:right w:val="none" w:sz="0" w:space="0" w:color="auto"/>
                  </w:divBdr>
                  <w:divsChild>
                    <w:div w:id="12952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218796">
      <w:bodyDiv w:val="1"/>
      <w:marLeft w:val="0"/>
      <w:marRight w:val="0"/>
      <w:marTop w:val="0"/>
      <w:marBottom w:val="0"/>
      <w:divBdr>
        <w:top w:val="none" w:sz="0" w:space="0" w:color="auto"/>
        <w:left w:val="none" w:sz="0" w:space="0" w:color="auto"/>
        <w:bottom w:val="none" w:sz="0" w:space="0" w:color="auto"/>
        <w:right w:val="none" w:sz="0" w:space="0" w:color="auto"/>
      </w:divBdr>
    </w:div>
    <w:div w:id="395520379">
      <w:bodyDiv w:val="1"/>
      <w:marLeft w:val="0"/>
      <w:marRight w:val="0"/>
      <w:marTop w:val="0"/>
      <w:marBottom w:val="0"/>
      <w:divBdr>
        <w:top w:val="none" w:sz="0" w:space="0" w:color="auto"/>
        <w:left w:val="none" w:sz="0" w:space="0" w:color="auto"/>
        <w:bottom w:val="none" w:sz="0" w:space="0" w:color="auto"/>
        <w:right w:val="none" w:sz="0" w:space="0" w:color="auto"/>
      </w:divBdr>
    </w:div>
    <w:div w:id="400324746">
      <w:bodyDiv w:val="1"/>
      <w:marLeft w:val="0"/>
      <w:marRight w:val="0"/>
      <w:marTop w:val="0"/>
      <w:marBottom w:val="0"/>
      <w:divBdr>
        <w:top w:val="none" w:sz="0" w:space="0" w:color="auto"/>
        <w:left w:val="none" w:sz="0" w:space="0" w:color="auto"/>
        <w:bottom w:val="none" w:sz="0" w:space="0" w:color="auto"/>
        <w:right w:val="none" w:sz="0" w:space="0" w:color="auto"/>
      </w:divBdr>
    </w:div>
    <w:div w:id="527261217">
      <w:bodyDiv w:val="1"/>
      <w:marLeft w:val="0"/>
      <w:marRight w:val="0"/>
      <w:marTop w:val="0"/>
      <w:marBottom w:val="0"/>
      <w:divBdr>
        <w:top w:val="none" w:sz="0" w:space="0" w:color="auto"/>
        <w:left w:val="none" w:sz="0" w:space="0" w:color="auto"/>
        <w:bottom w:val="none" w:sz="0" w:space="0" w:color="auto"/>
        <w:right w:val="none" w:sz="0" w:space="0" w:color="auto"/>
      </w:divBdr>
    </w:div>
    <w:div w:id="527377586">
      <w:bodyDiv w:val="1"/>
      <w:marLeft w:val="0"/>
      <w:marRight w:val="0"/>
      <w:marTop w:val="0"/>
      <w:marBottom w:val="0"/>
      <w:divBdr>
        <w:top w:val="none" w:sz="0" w:space="0" w:color="auto"/>
        <w:left w:val="none" w:sz="0" w:space="0" w:color="auto"/>
        <w:bottom w:val="none" w:sz="0" w:space="0" w:color="auto"/>
        <w:right w:val="none" w:sz="0" w:space="0" w:color="auto"/>
      </w:divBdr>
    </w:div>
    <w:div w:id="572202240">
      <w:bodyDiv w:val="1"/>
      <w:marLeft w:val="0"/>
      <w:marRight w:val="0"/>
      <w:marTop w:val="0"/>
      <w:marBottom w:val="0"/>
      <w:divBdr>
        <w:top w:val="none" w:sz="0" w:space="0" w:color="auto"/>
        <w:left w:val="none" w:sz="0" w:space="0" w:color="auto"/>
        <w:bottom w:val="none" w:sz="0" w:space="0" w:color="auto"/>
        <w:right w:val="none" w:sz="0" w:space="0" w:color="auto"/>
      </w:divBdr>
    </w:div>
    <w:div w:id="843130531">
      <w:bodyDiv w:val="1"/>
      <w:marLeft w:val="0"/>
      <w:marRight w:val="0"/>
      <w:marTop w:val="0"/>
      <w:marBottom w:val="0"/>
      <w:divBdr>
        <w:top w:val="none" w:sz="0" w:space="0" w:color="auto"/>
        <w:left w:val="none" w:sz="0" w:space="0" w:color="auto"/>
        <w:bottom w:val="none" w:sz="0" w:space="0" w:color="auto"/>
        <w:right w:val="none" w:sz="0" w:space="0" w:color="auto"/>
      </w:divBdr>
    </w:div>
    <w:div w:id="899486881">
      <w:bodyDiv w:val="1"/>
      <w:marLeft w:val="0"/>
      <w:marRight w:val="0"/>
      <w:marTop w:val="0"/>
      <w:marBottom w:val="0"/>
      <w:divBdr>
        <w:top w:val="none" w:sz="0" w:space="0" w:color="auto"/>
        <w:left w:val="none" w:sz="0" w:space="0" w:color="auto"/>
        <w:bottom w:val="none" w:sz="0" w:space="0" w:color="auto"/>
        <w:right w:val="none" w:sz="0" w:space="0" w:color="auto"/>
      </w:divBdr>
    </w:div>
    <w:div w:id="903103926">
      <w:bodyDiv w:val="1"/>
      <w:marLeft w:val="0"/>
      <w:marRight w:val="0"/>
      <w:marTop w:val="0"/>
      <w:marBottom w:val="0"/>
      <w:divBdr>
        <w:top w:val="none" w:sz="0" w:space="0" w:color="auto"/>
        <w:left w:val="none" w:sz="0" w:space="0" w:color="auto"/>
        <w:bottom w:val="none" w:sz="0" w:space="0" w:color="auto"/>
        <w:right w:val="none" w:sz="0" w:space="0" w:color="auto"/>
      </w:divBdr>
    </w:div>
    <w:div w:id="920873589">
      <w:bodyDiv w:val="1"/>
      <w:marLeft w:val="0"/>
      <w:marRight w:val="0"/>
      <w:marTop w:val="0"/>
      <w:marBottom w:val="0"/>
      <w:divBdr>
        <w:top w:val="none" w:sz="0" w:space="0" w:color="auto"/>
        <w:left w:val="none" w:sz="0" w:space="0" w:color="auto"/>
        <w:bottom w:val="none" w:sz="0" w:space="0" w:color="auto"/>
        <w:right w:val="none" w:sz="0" w:space="0" w:color="auto"/>
      </w:divBdr>
    </w:div>
    <w:div w:id="952056129">
      <w:bodyDiv w:val="1"/>
      <w:marLeft w:val="0"/>
      <w:marRight w:val="0"/>
      <w:marTop w:val="0"/>
      <w:marBottom w:val="0"/>
      <w:divBdr>
        <w:top w:val="none" w:sz="0" w:space="0" w:color="auto"/>
        <w:left w:val="none" w:sz="0" w:space="0" w:color="auto"/>
        <w:bottom w:val="none" w:sz="0" w:space="0" w:color="auto"/>
        <w:right w:val="none" w:sz="0" w:space="0" w:color="auto"/>
      </w:divBdr>
    </w:div>
    <w:div w:id="991830612">
      <w:bodyDiv w:val="1"/>
      <w:marLeft w:val="0"/>
      <w:marRight w:val="0"/>
      <w:marTop w:val="0"/>
      <w:marBottom w:val="0"/>
      <w:divBdr>
        <w:top w:val="none" w:sz="0" w:space="0" w:color="auto"/>
        <w:left w:val="none" w:sz="0" w:space="0" w:color="auto"/>
        <w:bottom w:val="none" w:sz="0" w:space="0" w:color="auto"/>
        <w:right w:val="none" w:sz="0" w:space="0" w:color="auto"/>
      </w:divBdr>
    </w:div>
    <w:div w:id="995303900">
      <w:bodyDiv w:val="1"/>
      <w:marLeft w:val="0"/>
      <w:marRight w:val="0"/>
      <w:marTop w:val="0"/>
      <w:marBottom w:val="0"/>
      <w:divBdr>
        <w:top w:val="none" w:sz="0" w:space="0" w:color="auto"/>
        <w:left w:val="none" w:sz="0" w:space="0" w:color="auto"/>
        <w:bottom w:val="none" w:sz="0" w:space="0" w:color="auto"/>
        <w:right w:val="none" w:sz="0" w:space="0" w:color="auto"/>
      </w:divBdr>
    </w:div>
    <w:div w:id="1007513002">
      <w:bodyDiv w:val="1"/>
      <w:marLeft w:val="0"/>
      <w:marRight w:val="0"/>
      <w:marTop w:val="0"/>
      <w:marBottom w:val="0"/>
      <w:divBdr>
        <w:top w:val="none" w:sz="0" w:space="0" w:color="auto"/>
        <w:left w:val="none" w:sz="0" w:space="0" w:color="auto"/>
        <w:bottom w:val="none" w:sz="0" w:space="0" w:color="auto"/>
        <w:right w:val="none" w:sz="0" w:space="0" w:color="auto"/>
      </w:divBdr>
    </w:div>
    <w:div w:id="1199778069">
      <w:bodyDiv w:val="1"/>
      <w:marLeft w:val="0"/>
      <w:marRight w:val="0"/>
      <w:marTop w:val="0"/>
      <w:marBottom w:val="0"/>
      <w:divBdr>
        <w:top w:val="none" w:sz="0" w:space="0" w:color="auto"/>
        <w:left w:val="none" w:sz="0" w:space="0" w:color="auto"/>
        <w:bottom w:val="none" w:sz="0" w:space="0" w:color="auto"/>
        <w:right w:val="none" w:sz="0" w:space="0" w:color="auto"/>
      </w:divBdr>
    </w:div>
    <w:div w:id="1200509095">
      <w:bodyDiv w:val="1"/>
      <w:marLeft w:val="0"/>
      <w:marRight w:val="0"/>
      <w:marTop w:val="0"/>
      <w:marBottom w:val="0"/>
      <w:divBdr>
        <w:top w:val="none" w:sz="0" w:space="0" w:color="auto"/>
        <w:left w:val="none" w:sz="0" w:space="0" w:color="auto"/>
        <w:bottom w:val="none" w:sz="0" w:space="0" w:color="auto"/>
        <w:right w:val="none" w:sz="0" w:space="0" w:color="auto"/>
      </w:divBdr>
    </w:div>
    <w:div w:id="1317803554">
      <w:bodyDiv w:val="1"/>
      <w:marLeft w:val="0"/>
      <w:marRight w:val="0"/>
      <w:marTop w:val="0"/>
      <w:marBottom w:val="0"/>
      <w:divBdr>
        <w:top w:val="none" w:sz="0" w:space="0" w:color="auto"/>
        <w:left w:val="none" w:sz="0" w:space="0" w:color="auto"/>
        <w:bottom w:val="none" w:sz="0" w:space="0" w:color="auto"/>
        <w:right w:val="none" w:sz="0" w:space="0" w:color="auto"/>
      </w:divBdr>
    </w:div>
    <w:div w:id="1361129308">
      <w:bodyDiv w:val="1"/>
      <w:marLeft w:val="0"/>
      <w:marRight w:val="0"/>
      <w:marTop w:val="0"/>
      <w:marBottom w:val="0"/>
      <w:divBdr>
        <w:top w:val="none" w:sz="0" w:space="0" w:color="auto"/>
        <w:left w:val="none" w:sz="0" w:space="0" w:color="auto"/>
        <w:bottom w:val="none" w:sz="0" w:space="0" w:color="auto"/>
        <w:right w:val="none" w:sz="0" w:space="0" w:color="auto"/>
      </w:divBdr>
    </w:div>
    <w:div w:id="1428307475">
      <w:bodyDiv w:val="1"/>
      <w:marLeft w:val="0"/>
      <w:marRight w:val="0"/>
      <w:marTop w:val="0"/>
      <w:marBottom w:val="0"/>
      <w:divBdr>
        <w:top w:val="none" w:sz="0" w:space="0" w:color="auto"/>
        <w:left w:val="none" w:sz="0" w:space="0" w:color="auto"/>
        <w:bottom w:val="none" w:sz="0" w:space="0" w:color="auto"/>
        <w:right w:val="none" w:sz="0" w:space="0" w:color="auto"/>
      </w:divBdr>
    </w:div>
    <w:div w:id="1496186948">
      <w:bodyDiv w:val="1"/>
      <w:marLeft w:val="0"/>
      <w:marRight w:val="0"/>
      <w:marTop w:val="0"/>
      <w:marBottom w:val="0"/>
      <w:divBdr>
        <w:top w:val="none" w:sz="0" w:space="0" w:color="auto"/>
        <w:left w:val="none" w:sz="0" w:space="0" w:color="auto"/>
        <w:bottom w:val="none" w:sz="0" w:space="0" w:color="auto"/>
        <w:right w:val="none" w:sz="0" w:space="0" w:color="auto"/>
      </w:divBdr>
    </w:div>
    <w:div w:id="1504320459">
      <w:bodyDiv w:val="1"/>
      <w:marLeft w:val="0"/>
      <w:marRight w:val="0"/>
      <w:marTop w:val="0"/>
      <w:marBottom w:val="0"/>
      <w:divBdr>
        <w:top w:val="none" w:sz="0" w:space="0" w:color="auto"/>
        <w:left w:val="none" w:sz="0" w:space="0" w:color="auto"/>
        <w:bottom w:val="none" w:sz="0" w:space="0" w:color="auto"/>
        <w:right w:val="none" w:sz="0" w:space="0" w:color="auto"/>
      </w:divBdr>
    </w:div>
    <w:div w:id="1536120087">
      <w:bodyDiv w:val="1"/>
      <w:marLeft w:val="0"/>
      <w:marRight w:val="0"/>
      <w:marTop w:val="0"/>
      <w:marBottom w:val="0"/>
      <w:divBdr>
        <w:top w:val="none" w:sz="0" w:space="0" w:color="auto"/>
        <w:left w:val="none" w:sz="0" w:space="0" w:color="auto"/>
        <w:bottom w:val="none" w:sz="0" w:space="0" w:color="auto"/>
        <w:right w:val="none" w:sz="0" w:space="0" w:color="auto"/>
      </w:divBdr>
    </w:div>
    <w:div w:id="1540507785">
      <w:bodyDiv w:val="1"/>
      <w:marLeft w:val="0"/>
      <w:marRight w:val="0"/>
      <w:marTop w:val="0"/>
      <w:marBottom w:val="0"/>
      <w:divBdr>
        <w:top w:val="none" w:sz="0" w:space="0" w:color="auto"/>
        <w:left w:val="none" w:sz="0" w:space="0" w:color="auto"/>
        <w:bottom w:val="none" w:sz="0" w:space="0" w:color="auto"/>
        <w:right w:val="none" w:sz="0" w:space="0" w:color="auto"/>
      </w:divBdr>
    </w:div>
    <w:div w:id="1546327695">
      <w:bodyDiv w:val="1"/>
      <w:marLeft w:val="0"/>
      <w:marRight w:val="0"/>
      <w:marTop w:val="0"/>
      <w:marBottom w:val="0"/>
      <w:divBdr>
        <w:top w:val="none" w:sz="0" w:space="0" w:color="auto"/>
        <w:left w:val="none" w:sz="0" w:space="0" w:color="auto"/>
        <w:bottom w:val="none" w:sz="0" w:space="0" w:color="auto"/>
        <w:right w:val="none" w:sz="0" w:space="0" w:color="auto"/>
      </w:divBdr>
    </w:div>
    <w:div w:id="1714571128">
      <w:bodyDiv w:val="1"/>
      <w:marLeft w:val="0"/>
      <w:marRight w:val="0"/>
      <w:marTop w:val="0"/>
      <w:marBottom w:val="0"/>
      <w:divBdr>
        <w:top w:val="none" w:sz="0" w:space="0" w:color="auto"/>
        <w:left w:val="none" w:sz="0" w:space="0" w:color="auto"/>
        <w:bottom w:val="none" w:sz="0" w:space="0" w:color="auto"/>
        <w:right w:val="none" w:sz="0" w:space="0" w:color="auto"/>
      </w:divBdr>
    </w:div>
    <w:div w:id="1743484398">
      <w:bodyDiv w:val="1"/>
      <w:marLeft w:val="0"/>
      <w:marRight w:val="0"/>
      <w:marTop w:val="0"/>
      <w:marBottom w:val="0"/>
      <w:divBdr>
        <w:top w:val="none" w:sz="0" w:space="0" w:color="auto"/>
        <w:left w:val="none" w:sz="0" w:space="0" w:color="auto"/>
        <w:bottom w:val="none" w:sz="0" w:space="0" w:color="auto"/>
        <w:right w:val="none" w:sz="0" w:space="0" w:color="auto"/>
      </w:divBdr>
    </w:div>
    <w:div w:id="1798571777">
      <w:bodyDiv w:val="1"/>
      <w:marLeft w:val="0"/>
      <w:marRight w:val="0"/>
      <w:marTop w:val="0"/>
      <w:marBottom w:val="0"/>
      <w:divBdr>
        <w:top w:val="none" w:sz="0" w:space="0" w:color="auto"/>
        <w:left w:val="none" w:sz="0" w:space="0" w:color="auto"/>
        <w:bottom w:val="none" w:sz="0" w:space="0" w:color="auto"/>
        <w:right w:val="none" w:sz="0" w:space="0" w:color="auto"/>
      </w:divBdr>
    </w:div>
    <w:div w:id="1811821747">
      <w:bodyDiv w:val="1"/>
      <w:marLeft w:val="0"/>
      <w:marRight w:val="0"/>
      <w:marTop w:val="0"/>
      <w:marBottom w:val="0"/>
      <w:divBdr>
        <w:top w:val="none" w:sz="0" w:space="0" w:color="auto"/>
        <w:left w:val="none" w:sz="0" w:space="0" w:color="auto"/>
        <w:bottom w:val="none" w:sz="0" w:space="0" w:color="auto"/>
        <w:right w:val="none" w:sz="0" w:space="0" w:color="auto"/>
      </w:divBdr>
    </w:div>
    <w:div w:id="1843855561">
      <w:bodyDiv w:val="1"/>
      <w:marLeft w:val="0"/>
      <w:marRight w:val="0"/>
      <w:marTop w:val="0"/>
      <w:marBottom w:val="0"/>
      <w:divBdr>
        <w:top w:val="none" w:sz="0" w:space="0" w:color="auto"/>
        <w:left w:val="none" w:sz="0" w:space="0" w:color="auto"/>
        <w:bottom w:val="none" w:sz="0" w:space="0" w:color="auto"/>
        <w:right w:val="none" w:sz="0" w:space="0" w:color="auto"/>
      </w:divBdr>
    </w:div>
    <w:div w:id="1940605073">
      <w:bodyDiv w:val="1"/>
      <w:marLeft w:val="0"/>
      <w:marRight w:val="0"/>
      <w:marTop w:val="0"/>
      <w:marBottom w:val="0"/>
      <w:divBdr>
        <w:top w:val="none" w:sz="0" w:space="0" w:color="auto"/>
        <w:left w:val="none" w:sz="0" w:space="0" w:color="auto"/>
        <w:bottom w:val="none" w:sz="0" w:space="0" w:color="auto"/>
        <w:right w:val="none" w:sz="0" w:space="0" w:color="auto"/>
      </w:divBdr>
    </w:div>
    <w:div w:id="2098406983">
      <w:bodyDiv w:val="1"/>
      <w:marLeft w:val="0"/>
      <w:marRight w:val="0"/>
      <w:marTop w:val="0"/>
      <w:marBottom w:val="0"/>
      <w:divBdr>
        <w:top w:val="none" w:sz="0" w:space="0" w:color="auto"/>
        <w:left w:val="none" w:sz="0" w:space="0" w:color="auto"/>
        <w:bottom w:val="none" w:sz="0" w:space="0" w:color="auto"/>
        <w:right w:val="none" w:sz="0" w:space="0" w:color="auto"/>
      </w:divBdr>
    </w:div>
    <w:div w:id="2100252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egifrance.gouv.fr/loda/article_lc/LEGIARTI000006451893" TargetMode="External"/><Relationship Id="rId21" Type="http://schemas.openxmlformats.org/officeDocument/2006/relationships/hyperlink" Target="https://www.legifrance.gouv.fr/loda/id/LEGISCTA000006091594" TargetMode="External"/><Relationship Id="rId42" Type="http://schemas.openxmlformats.org/officeDocument/2006/relationships/hyperlink" Target="https://www.legifrance.gouv.fr/loda/article_lc/LEGIARTI000041987642" TargetMode="External"/><Relationship Id="rId47" Type="http://schemas.openxmlformats.org/officeDocument/2006/relationships/hyperlink" Target="https://www.legifrance.gouv.fr/loda/article_lc/LEGIARTI000041416506" TargetMode="External"/><Relationship Id="rId63" Type="http://schemas.openxmlformats.org/officeDocument/2006/relationships/hyperlink" Target="https://www.legifrance.gouv.fr/jorf/article_jo/JORFARTI000051956646" TargetMode="External"/><Relationship Id="rId68" Type="http://schemas.openxmlformats.org/officeDocument/2006/relationships/hyperlink" Target="https://cisirh.github.io/espace-noyau/" TargetMode="External"/><Relationship Id="rId84" Type="http://schemas.openxmlformats.org/officeDocument/2006/relationships/hyperlink" Target="https://raw.githubusercontent.com/CISIRH/espace-noyau/main/Noyau%20RH%20FPE/6.%20NOMENCLATURES%20ET%20AUTRES%20REFERENTIELS/Nomenclatures%20SIRH/Informations%20compl%C3%A9mentaires/POPULATION_REF_25.10.00.xlsx" TargetMode="External"/><Relationship Id="rId89" Type="http://schemas.openxmlformats.org/officeDocument/2006/relationships/footer" Target="footer1.xml"/><Relationship Id="rId16" Type="http://schemas.openxmlformats.org/officeDocument/2006/relationships/hyperlink" Target="https://www.legifrance.gouv.fr/codes/article_lc/LEGIARTI000044425070" TargetMode="External"/><Relationship Id="rId11" Type="http://schemas.openxmlformats.org/officeDocument/2006/relationships/hyperlink" Target="file:///Z:\03-BARRI\REFERENTIELS\RDP\GUIDES%20RdP\GUIDE%20DE%20LA%20REMUNERATION%20PRINCIPALE-FPE\Guide%20de%20la%20r&#233;mun&#233;ration%20principale%20de%20la%20Fonction%20Publique%20dEtat%20-%20FPE%20VF.docx" TargetMode="External"/><Relationship Id="rId32" Type="http://schemas.openxmlformats.org/officeDocument/2006/relationships/hyperlink" Target="https://www.legifrance.gouv.fr/loda/id/LEGITEXT000006064738/2020-10-14" TargetMode="External"/><Relationship Id="rId37" Type="http://schemas.openxmlformats.org/officeDocument/2006/relationships/hyperlink" Target="https://www.legifrance.gouv.fr/jorf/id/JORFTEXT000000279682" TargetMode="External"/><Relationship Id="rId53" Type="http://schemas.openxmlformats.org/officeDocument/2006/relationships/image" Target="media/image3.emf"/><Relationship Id="rId58" Type="http://schemas.openxmlformats.org/officeDocument/2006/relationships/package" Target="embeddings/Microsoft_Excel_Worksheet.xlsx"/><Relationship Id="rId74" Type="http://schemas.openxmlformats.org/officeDocument/2006/relationships/hyperlink" Target="https://raw.githubusercontent.com/CISIRH/espace-noyau/main/Noyau%20RH%20FPE/4.%20REFERENTIEL%20DE%20PAYE/Minist&#232;re%20des%20Arm&#233;es/Recueil%20des%20fiches%20RdP_Minist&#232;re%20des%20Arm&#233;es.pdf" TargetMode="External"/><Relationship Id="rId79" Type="http://schemas.openxmlformats.org/officeDocument/2006/relationships/hyperlink" Target="https://raw.githubusercontent.com/CISIRH/espace-noyau/main/Noyau%20RH%20FPE/5.%20PAY-PAYSAGE/Documentation/Calendrier_remise_fichiers.odt" TargetMode="External"/><Relationship Id="rId5" Type="http://schemas.openxmlformats.org/officeDocument/2006/relationships/webSettings" Target="webSettings.xml"/><Relationship Id="rId90" Type="http://schemas.openxmlformats.org/officeDocument/2006/relationships/footer" Target="footer2.xml"/><Relationship Id="rId14" Type="http://schemas.openxmlformats.org/officeDocument/2006/relationships/hyperlink" Target="https://www.legifrance.gouv.fr/loda/id/JORFTEXT000000679861" TargetMode="External"/><Relationship Id="rId22" Type="http://schemas.openxmlformats.org/officeDocument/2006/relationships/hyperlink" Target="https://www.legifrance.gouv.fr/jorf/id/JORFTEXT000047709539" TargetMode="External"/><Relationship Id="rId27" Type="http://schemas.openxmlformats.org/officeDocument/2006/relationships/hyperlink" Target="https://www.legifrance.gouv.fr/loda/id/LEGITEXT000006064738/2020-10-14" TargetMode="External"/><Relationship Id="rId30" Type="http://schemas.openxmlformats.org/officeDocument/2006/relationships/hyperlink" Target="https://www.legifrance.gouv.fr/loda/article_lc/LEGIARTI000047781383" TargetMode="External"/><Relationship Id="rId35" Type="http://schemas.openxmlformats.org/officeDocument/2006/relationships/hyperlink" Target="https://www.legifrance.gouv.fr/jorf/article_jo/JORFARTI000051490926" TargetMode="External"/><Relationship Id="rId43" Type="http://schemas.openxmlformats.org/officeDocument/2006/relationships/hyperlink" Target="https://www.legifrance.gouv.fr/loda/article_lc/LEGIARTI000051891952" TargetMode="External"/><Relationship Id="rId48" Type="http://schemas.openxmlformats.org/officeDocument/2006/relationships/hyperlink" Target="https://www.legifrance.gouv.fr/loda/id/LEGITEXT000006064738/2025-08-12/" TargetMode="External"/><Relationship Id="rId56" Type="http://schemas.openxmlformats.org/officeDocument/2006/relationships/hyperlink" Target="https://www.legifrance.gouv.fr/codes/texte_lc/LEGITEXT000006072050/2020-01-01/" TargetMode="External"/><Relationship Id="rId64" Type="http://schemas.openxmlformats.org/officeDocument/2006/relationships/hyperlink" Target="https://www.legifrance.gouv.fr/loda/article_lc/LEGIARTI000026311061" TargetMode="External"/><Relationship Id="rId69" Type="http://schemas.openxmlformats.org/officeDocument/2006/relationships/hyperlink" Target="https://raw.githubusercontent.com/CISIRH/espace-noyau/main/Noyau%20RH%20FPE/4.%20REFERENTIEL%20DE%20PAYE/Cour%20des%20Comptes/Recueil%20des%20fiches%20RdP_Cour%20des%20Comptes.pdf" TargetMode="External"/><Relationship Id="rId77" Type="http://schemas.openxmlformats.org/officeDocument/2006/relationships/hyperlink" Target="https://raw.githubusercontent.com/CISIRH/espace-noyau/main/Noyau%20RH%20FPE/4.%20REFERENTIEL%20DE%20PAYE/Validation_BARRI_Fiches_RdP_divers_minist%C3%A8res" TargetMode="External"/><Relationship Id="rId8" Type="http://schemas.openxmlformats.org/officeDocument/2006/relationships/image" Target="media/image1.png"/><Relationship Id="rId51" Type="http://schemas.openxmlformats.org/officeDocument/2006/relationships/hyperlink" Target="https://www.legifrance.gouv.fr/loda/article_lc/LEGIARTI000026928462/2020-10-14" TargetMode="External"/><Relationship Id="rId72" Type="http://schemas.openxmlformats.org/officeDocument/2006/relationships/hyperlink" Target="https://raw.githubusercontent.com/CISIRH/espace-noyau/main/Noyau%20RH%20FPE/4.%20REFERENTIEL%20DE%20PAYE/Minist&#232;re%20de%20l'Int&#233;rieur/Recueil%20des%20fiches%20RdP_Minist&#232;re%20de%20l'Int&#233;rieur.pdf" TargetMode="External"/><Relationship Id="rId80" Type="http://schemas.openxmlformats.org/officeDocument/2006/relationships/hyperlink" Target="https://raw.githubusercontent.com/CISIRH/espace-noyau/main/Noyau%20RH%20FPE/5.%20PAY-PAYSAGE/Documentation/Planning_Acomptes_PAY_PAYSAGE.ods" TargetMode="External"/><Relationship Id="rId85" Type="http://schemas.openxmlformats.org/officeDocument/2006/relationships/hyperlink" Target="https://outils.cisirh.gouv.fr/" TargetMode="External"/><Relationship Id="rId3" Type="http://schemas.openxmlformats.org/officeDocument/2006/relationships/styles" Target="styles.xml"/><Relationship Id="rId12" Type="http://schemas.openxmlformats.org/officeDocument/2006/relationships/hyperlink" Target="https://www.legifrance.gouv.fr/codes/article_lc/LEGIARTI000044427929/2022-03-01" TargetMode="External"/><Relationship Id="rId17" Type="http://schemas.openxmlformats.org/officeDocument/2006/relationships/hyperlink" Target="https://www.legifrance.gouv.fr/jorf/article_jo/JORFARTI000051956379" TargetMode="External"/><Relationship Id="rId25" Type="http://schemas.openxmlformats.org/officeDocument/2006/relationships/hyperlink" Target="https://www.legifrance.gouv.fr/codes/article_lc/LEGIARTI000044424811/2022-03-01" TargetMode="External"/><Relationship Id="rId33" Type="http://schemas.openxmlformats.org/officeDocument/2006/relationships/hyperlink" Target="https://www.legifrance.gouv.fr/loda/id/LEGITEXT000006064738/2020-10-14" TargetMode="External"/><Relationship Id="rId38" Type="http://schemas.openxmlformats.org/officeDocument/2006/relationships/hyperlink" Target="https://www.legifrance.gouv.fr/loda/id/JORFTEXT000000794003/" TargetMode="External"/><Relationship Id="rId46" Type="http://schemas.openxmlformats.org/officeDocument/2006/relationships/hyperlink" Target="https://www.legifrance.gouv.fr/loda/id/JORFTEXT000000356073/2025-08-12/" TargetMode="External"/><Relationship Id="rId59" Type="http://schemas.openxmlformats.org/officeDocument/2006/relationships/hyperlink" Target="https://www.legifrance.gouv.fr/codes/texte_lc/LEGITEXT000044416551" TargetMode="External"/><Relationship Id="rId67" Type="http://schemas.openxmlformats.org/officeDocument/2006/relationships/hyperlink" Target="https://www.legifrance.gouv.fr/loda/id/JORFTEXT000028879653/2025-08-25/" TargetMode="External"/><Relationship Id="rId20" Type="http://schemas.openxmlformats.org/officeDocument/2006/relationships/hyperlink" Target="https://www.legifrance.gouv.fr/codes/section_lc/LEGITEXT000044416551/LEGISCTA000044423735/2022-03-01/" TargetMode="External"/><Relationship Id="rId41" Type="http://schemas.openxmlformats.org/officeDocument/2006/relationships/hyperlink" Target="https://www.legifrance.gouv.fr/loda/id/JORFTEXT000000362602/" TargetMode="External"/><Relationship Id="rId54" Type="http://schemas.openxmlformats.org/officeDocument/2006/relationships/hyperlink" Target="https://www.legifrance.gouv.fr/loda/id/JORFTEXT000000699956/2025-09-01/" TargetMode="External"/><Relationship Id="rId62" Type="http://schemas.openxmlformats.org/officeDocument/2006/relationships/hyperlink" Target="https://www.legifrance.gouv.fr/jorf/article_jo/JORFARTI000051956324" TargetMode="External"/><Relationship Id="rId70" Type="http://schemas.openxmlformats.org/officeDocument/2006/relationships/hyperlink" Target="https://raw.githubusercontent.com/CISIRH/espace-noyau/main/Noyau%20RH%20FPE/4.%20REFERENTIEL%20DE%20PAYE/Interminist&#233;riel/Recueil%20des%20fiches%20RdP_INTERMINISTERIEL.pdf" TargetMode="External"/><Relationship Id="rId75" Type="http://schemas.openxmlformats.org/officeDocument/2006/relationships/hyperlink" Target="https://raw.githubusercontent.com/CISIRH/espace-noyau/main/Noyau%20RH%20FPE/4.%20REFERENTIEL%20DE%20PAYE/M&#233;t&#233;o%20France/Recueil%20des%20fiches%20RdP_M&#233;t&#233;o%20France.pdf" TargetMode="External"/><Relationship Id="rId83" Type="http://schemas.openxmlformats.org/officeDocument/2006/relationships/hyperlink" Target="https://raw.githubusercontent.com/CISIRH/espace-noyau/main/Noyau%20RH%20FPE/6.%20NOMENCLATURES%20ET%20AUTRES%20REFERENTIELS/Nomenclatures%20PAYE/GEST/BG_CODE_BJ_0_25.10.00_25.00.00.xlsx" TargetMode="External"/><Relationship Id="rId88" Type="http://schemas.openxmlformats.org/officeDocument/2006/relationships/hyperlink" Target="https://www.fonction-publique.gouv.fr"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legifrance.gouv.fr/codes/article_lc/LEGIARTI000044425078" TargetMode="External"/><Relationship Id="rId23" Type="http://schemas.openxmlformats.org/officeDocument/2006/relationships/hyperlink" Target="https://www.legifrance.gouv.fr/jorf/id/JORFTEXT000034512822" TargetMode="External"/><Relationship Id="rId28" Type="http://schemas.openxmlformats.org/officeDocument/2006/relationships/hyperlink" Target="https://www.legifrance.gouv.fr/loda/article_lc/LEGIARTI000047780477" TargetMode="External"/><Relationship Id="rId36" Type="http://schemas.openxmlformats.org/officeDocument/2006/relationships/hyperlink" Target="https://www.legifrance.gouv.fr/loda/id/JORFTEXT000042577190/2025-07-30/" TargetMode="External"/><Relationship Id="rId49" Type="http://schemas.openxmlformats.org/officeDocument/2006/relationships/hyperlink" Target="https://www.fonction-publique.gouv.fr/files/files/ArchivePortailFP/www.fonction-publique.gouv.fr/files/files/statut_et_remunerations/circulaire_fp_12_03_2001_ind_residence.pdf" TargetMode="External"/><Relationship Id="rId57" Type="http://schemas.openxmlformats.org/officeDocument/2006/relationships/image" Target="media/image4.emf"/><Relationship Id="rId10" Type="http://schemas.openxmlformats.org/officeDocument/2006/relationships/image" Target="media/image2.png"/><Relationship Id="rId31" Type="http://schemas.openxmlformats.org/officeDocument/2006/relationships/hyperlink" Target="https://www.legifrance.gouv.fr/loda/article_lc/LEGIARTI000047751768" TargetMode="External"/><Relationship Id="rId44" Type="http://schemas.openxmlformats.org/officeDocument/2006/relationships/hyperlink" Target="https://www.legifrance.gouv.fr/loda/id/JORFTEXT000046389367/2025-08-12/" TargetMode="External"/><Relationship Id="rId52" Type="http://schemas.openxmlformats.org/officeDocument/2006/relationships/hyperlink" Target="https://www.legifrance.gouv.fr/codes/article_lc/LEGIARTI000044424665" TargetMode="External"/><Relationship Id="rId60" Type="http://schemas.openxmlformats.org/officeDocument/2006/relationships/hyperlink" Target="https://www.legifrance.gouv.fr/jorf/id/JORFTEXT000051954922" TargetMode="External"/><Relationship Id="rId65" Type="http://schemas.openxmlformats.org/officeDocument/2006/relationships/hyperlink" Target="https://www.legifrance.gouv.fr/loda/article_lc/LEGIARTI000047751768" TargetMode="External"/><Relationship Id="rId73" Type="http://schemas.openxmlformats.org/officeDocument/2006/relationships/hyperlink" Target="https://raw.githubusercontent.com/CISIRH/espace-noyau/main/Noyau%20RH%20FPE/4.%20REFERENTIEL%20DE%20PAYE/Minist&#232;re%20de%20la%20Culture/Recueil%20des%20fiches%20RdP_Minist&#232;re%20de%20la%20Culture.pdf" TargetMode="External"/><Relationship Id="rId78" Type="http://schemas.openxmlformats.org/officeDocument/2006/relationships/hyperlink" Target="https://cisirh.github.io/espace-noyau/" TargetMode="External"/><Relationship Id="rId81" Type="http://schemas.openxmlformats.org/officeDocument/2006/relationships/hyperlink" Target="https://raw.githubusercontent.com/CISIRH/espace-noyau/main/Noyau%20RH%20FPE/4.%20REFERENTIEL%20DE%20PAYE/Z.%20Impacts%20des%20cong%C3%A9s%20et%20absences/Cartographie_ICA_Titulaire_FPE.XLSX" TargetMode="External"/><Relationship Id="rId86" Type="http://schemas.openxmlformats.org/officeDocument/2006/relationships/hyperlink" Target="https://www.fonction-publique.gouv.fr/toutes-les-actualites/temps-partiel-dans-la-fonction-publique-un-nouveau-guide-pour-tout-comprendre" TargetMode="External"/><Relationship Id="rId4" Type="http://schemas.openxmlformats.org/officeDocument/2006/relationships/settings" Target="settings.xml"/><Relationship Id="rId9" Type="http://schemas.openxmlformats.org/officeDocument/2006/relationships/image" Target="cid:image001.png@01DC8AB4.18B1BCC0" TargetMode="External"/><Relationship Id="rId13" Type="http://schemas.openxmlformats.org/officeDocument/2006/relationships/hyperlink" Target="https://www.legifrance.gouv.fr/codes/article_lc/LEGIARTI000044424835/2025-08-05/" TargetMode="External"/><Relationship Id="rId18" Type="http://schemas.openxmlformats.org/officeDocument/2006/relationships/hyperlink" Target="https://www.legifrance.gouv.fr/codes/section_lc/LEGITEXT000044416551/LEGISCTA000044422750/" TargetMode="External"/><Relationship Id="rId39" Type="http://schemas.openxmlformats.org/officeDocument/2006/relationships/hyperlink" Target="file:///C:\Users\mmoussif-adc\AppData\Local\Microsoft\Windows\INetCache\Content.Outlook\ELZN2WLP\Arr&#234;t&#233;%20du%208%20octobre%202007%20fixant%20les%20&#233;chelonnements%20indiciaires%20des%20personnels%20des%20cultes%20d'Alsace%20et%20de%20Moselle" TargetMode="External"/><Relationship Id="rId34" Type="http://schemas.openxmlformats.org/officeDocument/2006/relationships/hyperlink" Target="https://www.legifrance.gouv.fr/loda/id/JORFTEXT000000703628/" TargetMode="External"/><Relationship Id="rId50" Type="http://schemas.openxmlformats.org/officeDocument/2006/relationships/hyperlink" Target="https://www.legifrance.gouv.fr/loda/article_lc/LEGIARTI000006454420/2020-10-14" TargetMode="External"/><Relationship Id="rId55" Type="http://schemas.openxmlformats.org/officeDocument/2006/relationships/hyperlink" Target="https://www.legifrance.gouv.fr/download/pdf/circ?id=41433" TargetMode="External"/><Relationship Id="rId76" Type="http://schemas.openxmlformats.org/officeDocument/2006/relationships/hyperlink" Target="https://raw.githubusercontent.com/CISIRH/espace-noyau/main/Noyau%20RH%20FPE/4.%20REFERENTIEL%20DE%20PAYE/Minist&#232;re%20de%20la%20Justice/Recueil%20des%20fiches%20RdP_Minist&#232;re%20de%20la%20Justice.pdf" TargetMode="External"/><Relationship Id="rId7" Type="http://schemas.openxmlformats.org/officeDocument/2006/relationships/endnotes" Target="endnotes.xml"/><Relationship Id="rId71" Type="http://schemas.openxmlformats.org/officeDocument/2006/relationships/hyperlink" Target="https://raw.githubusercontent.com/CISIRH/espace-noyau/main/Noyau%20RH%20FPE/4.%20REFERENTIEL%20DE%20PAYE/Minist&#232;re%20de%20l'Agriculture/Recueil%20des%20fiches%20RdP_Minist&#232;re%20de%20l'Agriculture.pdf"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www.legifrance.gouv.fr/loda/article_lc/LEGIARTI000047714925" TargetMode="External"/><Relationship Id="rId24" Type="http://schemas.openxmlformats.org/officeDocument/2006/relationships/hyperlink" Target="https://www.legifrance.gouv.fr/codes/article_lc/LEGIARTI000044424813/" TargetMode="External"/><Relationship Id="rId40" Type="http://schemas.openxmlformats.org/officeDocument/2006/relationships/hyperlink" Target="https://www.legifrance.gouv.fr/loda/id/JORFTEXT000041987165?init=true&amp;page=1&amp;query=2020-710&amp;searchField=ALL&amp;tab_selection=all" TargetMode="External"/><Relationship Id="rId45" Type="http://schemas.openxmlformats.org/officeDocument/2006/relationships/hyperlink" Target="https://www.legifrance.gouv.fr/loda/id/LEGISCTA000046390197" TargetMode="External"/><Relationship Id="rId66" Type="http://schemas.openxmlformats.org/officeDocument/2006/relationships/hyperlink" Target="https://www.legifrance.gouv.fr/loda/article_lc/LEGIARTI000026311063" TargetMode="External"/><Relationship Id="rId87" Type="http://schemas.openxmlformats.org/officeDocument/2006/relationships/hyperlink" Target="Guide%20relatif%20&#224;%20l&#8217;apprentissage%20&#224;%20destination%20des%20employeurs%20publics%20de%20la%20fonction%20publique%20de%20l&#8217;&#201;tat" TargetMode="External"/><Relationship Id="rId61" Type="http://schemas.openxmlformats.org/officeDocument/2006/relationships/hyperlink" Target="https://www.legifrance.gouv.fr/codes/article_lc/LEGIARTI000044426784/2022-07-29" TargetMode="External"/><Relationship Id="rId82" Type="http://schemas.openxmlformats.org/officeDocument/2006/relationships/hyperlink" Target="https://raw.githubusercontent.com/CISIRH/espace-noyau/main/Noyau%20RH%20FPE/4.%20REFERENTIEL%20DE%20PAYE/1.%20Glossaire%20RDP/Glossaire_RDP.docx" TargetMode="External"/><Relationship Id="rId19" Type="http://schemas.openxmlformats.org/officeDocument/2006/relationships/hyperlink" Target="https://raw.githubusercontent.com/CISIRH/espace-noyau/main/Noyau%20RH%20FPE/6.%20NOMENCLATURES%20ET%20AUTRES%20REFERENTIELS/Nomenclatures%20PAYE/GEST/BG_TRSC_STATUT_25.10.00.xl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63EFE-F90A-406B-B487-30D9DD6A83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49</Pages>
  <Words>10844</Words>
  <Characters>59648</Characters>
  <Application>Microsoft Office Word</Application>
  <DocSecurity>0</DocSecurity>
  <Lines>497</Lines>
  <Paragraphs>140</Paragraphs>
  <ScaleCrop>false</ScaleCrop>
  <HeadingPairs>
    <vt:vector size="2" baseType="variant">
      <vt:variant>
        <vt:lpstr>Titre</vt:lpstr>
      </vt:variant>
      <vt:variant>
        <vt:i4>1</vt:i4>
      </vt:variant>
    </vt:vector>
  </HeadingPairs>
  <TitlesOfParts>
    <vt:vector size="1" baseType="lpstr">
      <vt:lpstr/>
    </vt:vector>
  </TitlesOfParts>
  <Company>Ministere Finances</Company>
  <LinksUpToDate>false</LinksUpToDate>
  <CharactersWithSpaces>70352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PONTHIAUX Marine</dc:creator>
  <cp:keywords/>
  <dc:description/>
  <cp:lastModifiedBy>JACQUES Sylvie</cp:lastModifiedBy>
  <cp:revision>76</cp:revision>
  <cp:lastPrinted>2026-02-25T13:31:00Z</cp:lastPrinted>
  <dcterms:created xsi:type="dcterms:W3CDTF">2026-03-16T14:35:00Z</dcterms:created>
  <dcterms:modified xsi:type="dcterms:W3CDTF">2026-03-27T11:24:00Z</dcterms:modified>
</cp:coreProperties>
</file>