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Rapport d'analyse des risques</w:t>
      </w:r>
    </w:p>
    <w:p>
      <w:pPr>
        <w:jc w:val="center"/>
      </w:pPr>
      <w:r>
        <w:rPr>
          <w:color w:val="556070"/>
          <w:sz w:val="26"/>
        </w:rPr>
        <w:t>Méthode EBIOS Risk Manager (ANSSI)</w:t>
      </w:r>
    </w:p>
    <w:p/>
    <w:p/>
    <w:p/>
    <w:p>
      <w:pPr>
        <w:jc w:val="center"/>
      </w:pPr>
      <w:r>
        <w:rPr>
          <w:b/>
          <w:color w:val="1E3A5F"/>
          <w:sz w:val="32"/>
        </w:rPr>
        <w:t>{contexte_societe}</w:t>
      </w:r>
    </w:p>
    <w:p>
      <w:pPr>
        <w:jc w:val="center"/>
      </w:pPr>
      <w:r>
        <w:rPr>
          <w:sz w:val="24"/>
        </w:rPr>
        <w:t>Périmètre de l'étude : {contexte_objet}</w:t>
      </w:r>
    </w:p>
    <w:tbl>
      <w:tblPr>
        <w:tblW w:type="auto" w:w="0"/>
        <w:tblLook w:firstColumn="1" w:firstRow="1" w:lastColumn="0" w:lastRow="0" w:noHBand="0" w:noVBand="1" w:val="04A0"/>
        <w:tblpPr w:vertAnchor="margin" w:horzAnchor="margin" w:tblpXSpec="center" w:tblpYSpec="bottom"/>
        <w:tblW w:w="3800" w:type="pct"/>
        <w:tblBorders>
          <w:top w:val="single" w:sz="4" w:space="0" w:color="C7D2DD"/>
          <w:left w:val="single" w:sz="4" w:space="0" w:color="C7D2DD"/>
          <w:bottom w:val="single" w:sz="4" w:space="0" w:color="C7D2DD"/>
          <w:right w:val="single" w:sz="4" w:space="0" w:color="C7D2DD"/>
          <w:insideH w:val="single" w:sz="4" w:space="0" w:color="C7D2DD"/>
          <w:insideV w:val="single" w:sz="4" w:space="0" w:color="C7D2DD"/>
        </w:tblBorders>
      </w:tblPr>
      <w:tblGrid>
        <w:gridCol w:w="4320"/>
        <w:gridCol w:w="4320"/>
      </w:tblGrid>
      <w:tr>
        <w:tc>
          <w:tcPr>
            <w:tcW w:type="dxa" w:w="4320"/>
            <w:shd w:val="clear" w:fill="EEF2F7"/>
            <w:tcW w:w="1700" w:type="dxa"/>
          </w:tcPr>
          <w:p>
            <w:r>
              <w:rPr>
                <w:b/>
                <w:color w:val="1E3A5F"/>
                <w:sz w:val="19"/>
              </w:rPr>
              <w:t>Rédacteur</w:t>
            </w:r>
          </w:p>
        </w:tc>
        <w:tc>
          <w:tcPr>
            <w:tcW w:type="dxa" w:w="4320"/>
          </w:tcPr>
          <w:p>
            <w:r>
              <w:rPr>
                <w:b w:val="0"/>
                <w:sz w:val="19"/>
              </w:rPr>
              <w:t>{cart_redacteur}</w:t>
            </w:r>
          </w:p>
        </w:tc>
      </w:tr>
      <w:tr>
        <w:tc>
          <w:tcPr>
            <w:tcW w:type="dxa" w:w="4320"/>
            <w:shd w:val="clear" w:fill="EEF2F7"/>
            <w:tcW w:w="1700" w:type="dxa"/>
          </w:tcPr>
          <w:p>
            <w:r>
              <w:rPr>
                <w:b/>
                <w:color w:val="1E3A5F"/>
                <w:sz w:val="19"/>
              </w:rPr>
              <w:t>Contributeurs</w:t>
            </w:r>
          </w:p>
        </w:tc>
        <w:tc>
          <w:tcPr>
            <w:tcW w:type="dxa" w:w="4320"/>
          </w:tcPr>
          <w:p>
            <w:r>
              <w:rPr>
                <w:b w:val="0"/>
                <w:sz w:val="19"/>
              </w:rPr>
              <w:t>{cart_contributeurs}</w:t>
            </w:r>
          </w:p>
        </w:tc>
      </w:tr>
      <w:tr>
        <w:tc>
          <w:tcPr>
            <w:tcW w:type="dxa" w:w="4320"/>
            <w:shd w:val="clear" w:fill="EEF2F7"/>
            <w:tcW w:w="1700" w:type="dxa"/>
          </w:tcPr>
          <w:p>
            <w:r>
              <w:rPr>
                <w:b/>
                <w:color w:val="1E3A5F"/>
                <w:sz w:val="19"/>
              </w:rPr>
              <w:t>Version</w:t>
            </w:r>
          </w:p>
        </w:tc>
        <w:tc>
          <w:tcPr>
            <w:tcW w:type="dxa" w:w="4320"/>
          </w:tcPr>
          <w:p>
            <w:r>
              <w:rPr>
                <w:b w:val="0"/>
                <w:sz w:val="19"/>
              </w:rPr>
              <w:t>{cart_version}</w:t>
            </w:r>
          </w:p>
        </w:tc>
      </w:tr>
      <w:tr>
        <w:tc>
          <w:tcPr>
            <w:tcW w:type="dxa" w:w="4320"/>
            <w:shd w:val="clear" w:fill="EEF2F7"/>
            <w:tcW w:w="1700" w:type="dxa"/>
          </w:tcPr>
          <w:p>
            <w:r>
              <w:rPr>
                <w:b/>
                <w:color w:val="1E3A5F"/>
                <w:sz w:val="19"/>
              </w:rPr>
              <w:t>Date</w:t>
            </w:r>
          </w:p>
        </w:tc>
        <w:tc>
          <w:tcPr>
            <w:tcW w:type="dxa" w:w="4320"/>
          </w:tcPr>
          <w:p>
            <w:r>
              <w:rPr>
                <w:b w:val="0"/>
                <w:sz w:val="19"/>
              </w:rPr>
              <w:t>{cart_date}</w:t>
            </w:r>
          </w:p>
        </w:tc>
      </w:tr>
      <w:tr>
        <w:tc>
          <w:tcPr>
            <w:tcW w:type="dxa" w:w="4320"/>
            <w:shd w:val="clear" w:fill="EEF2F7"/>
            <w:tcW w:w="1700" w:type="dxa"/>
          </w:tcPr>
          <w:p>
            <w:r>
              <w:rPr>
                <w:b/>
                <w:color w:val="1E3A5F"/>
                <w:sz w:val="19"/>
              </w:rPr>
              <w:t>Classification</w:t>
            </w:r>
          </w:p>
        </w:tc>
        <w:tc>
          <w:tcPr>
            <w:tcW w:type="dxa" w:w="4320"/>
          </w:tcPr>
          <w:p>
            <w:r>
              <w:rPr>
                <w:b/>
                <w:sz w:val="19"/>
              </w:rPr>
              <w:t>{cart_classification}</w:t>
            </w:r>
          </w:p>
        </w:tc>
      </w:tr>
      <w:tr>
        <w:tc>
          <w:tcPr>
            <w:tcW w:type="dxa" w:w="8640"/>
            <w:gridSpan w:val="2"/>
            <w:shd w:val="clear" w:fill="1E3A5F"/>
          </w:tcPr>
          <w:p>
            <w:r>
              <w:rPr>
                <w:b/>
                <w:color w:val="FFFFFF"/>
                <w:sz w:val="19"/>
              </w:rPr>
              <w:t>Validation</w:t>
            </w:r>
          </w:p>
        </w:tc>
      </w:tr>
      <w:tr>
        <w:tc>
          <w:tcPr>
            <w:tcW w:type="dxa" w:w="4320"/>
            <w:shd w:val="clear" w:fill="EEF2F7"/>
            <w:tcW w:w="1700" w:type="dxa"/>
          </w:tcPr>
          <w:p>
            <w:r>
              <w:rPr>
                <w:b/>
                <w:color w:val="1E3A5F"/>
                <w:sz w:val="19"/>
              </w:rPr>
              <w:t>Date</w:t>
            </w:r>
          </w:p>
        </w:tc>
        <w:tc>
          <w:tcPr>
            <w:tcW w:type="dxa" w:w="4320"/>
          </w:tcPr>
          <w:p>
            <w:r>
              <w:rPr>
                <w:b w:val="0"/>
                <w:sz w:val="19"/>
              </w:rPr>
            </w:r>
          </w:p>
        </w:tc>
      </w:tr>
      <w:tr>
        <w:tc>
          <w:tcPr>
            <w:tcW w:type="dxa" w:w="4320"/>
            <w:shd w:val="clear" w:fill="EEF2F7"/>
            <w:tcW w:w="1700" w:type="dxa"/>
          </w:tcPr>
          <w:p>
            <w:r>
              <w:rPr>
                <w:b/>
                <w:color w:val="1E3A5F"/>
                <w:sz w:val="19"/>
              </w:rPr>
              <w:t>Nom / signature</w:t>
            </w:r>
          </w:p>
        </w:tc>
        <w:tc>
          <w:tcPr>
            <w:tcW w:type="dxa" w:w="4320"/>
          </w:tcPr>
          <w:p>
            <w:r>
              <w:rPr>
                <w:b w:val="0"/>
                <w:sz w:val="19"/>
              </w:rPr>
            </w:r>
          </w:p>
          <w:p/>
          <w:p/>
        </w:tc>
      </w:tr>
    </w:tbl>
    <w:p>
      <w:r>
        <w:br w:type="page"/>
      </w:r>
    </w:p>
    <w:p>
      <w:pPr>
        <w:pStyle w:val="Heading1"/>
        <w:numPr>
          <w:ilvl w:val="0"/>
          <w:numId w:val="0"/>
        </w:numPr>
      </w:pPr>
      <w:r>
        <w:t>Table des matières</w:t>
      </w:r>
    </w:p>
    <w:p>
      <w:r>
        <w:fldChar w:fldCharType="begin" w:dirty="true"/>
      </w:r>
      <w:r>
        <w:instrText xml:space="preserve"> TOC \o "1-3" \h \z \u </w:instrText>
      </w:r>
      <w:r>
        <w:fldChar w:fldCharType="separate"/>
      </w:r>
      <w:r>
        <w:t>La table des matières sera générée à l'ouverture (clic droit → Mettre à jour les champs).</w:t>
      </w:r>
      <w:r>
        <w:fldChar w:fldCharType="end"/>
      </w:r>
    </w:p>
    <w:p>
      <w:r>
        <w:br w:type="page"/>
      </w:r>
    </w:p>
    <w:p>
      <w:pPr>
        <w:pStyle w:val="Heading1"/>
        <w:numPr>
          <w:ilvl w:val="0"/>
          <w:numId w:val="0"/>
        </w:numPr>
      </w:pPr>
      <w:r>
        <w:t>Synthèse managériale</w:t>
      </w:r>
    </w:p>
    <w:p>
      <w:r>
        <w:t>La présente analyse de risques porte sur {contexte_objet} de l'organisation {contexte_societe}. Elle applique la méthode EBIOS Risk Manager de l'ANSSI, structurée en cinq ateliers :</w:t>
      </w:r>
    </w:p>
    <w:p>
      <w:pPr>
        <w:pStyle w:val="ListBullet"/>
      </w:pPr>
      <w:r>
        <w:t>Atelier 1 — cadrage et socle de sécurité</w:t>
      </w:r>
    </w:p>
    <w:p>
      <w:pPr>
        <w:pStyle w:val="ListBullet"/>
      </w:pPr>
      <w:r>
        <w:t>Atelier 2 — identification des sources de risque et des objectifs visés</w:t>
      </w:r>
    </w:p>
    <w:p>
      <w:pPr>
        <w:pStyle w:val="ListBullet"/>
      </w:pPr>
      <w:r>
        <w:t>Atelier 3 — construction des scénarios stratégiques</w:t>
      </w:r>
    </w:p>
    <w:p>
      <w:pPr>
        <w:pStyle w:val="ListBullet"/>
      </w:pPr>
      <w:r>
        <w:t>Atelier 4 — élaboration des scénarios opérationnels</w:t>
      </w:r>
    </w:p>
    <w:p>
      <w:pPr>
        <w:pStyle w:val="ListBullet"/>
      </w:pPr>
      <w:r>
        <w:t>Atelier 5 — traitement et acceptation du risque</w:t>
      </w:r>
    </w:p>
    <w:p>
      <w:r>
        <w:t>L'objectif est d'éclairer les décisions de la direction sur les risques à traiter en priorité.</w:t>
      </w:r>
    </w:p>
    <w:p>
      <w:r>
        <w:t>À l'issue de l'étude, la cartographie des risques résiduels fait apparaître :</w:t>
      </w:r>
    </w:p>
    <w:p>
      <w:pPr>
        <w:pStyle w:val="ListBullet"/>
      </w:pPr>
      <w:r>
        <w:t>{dist_eleve} risque(s) de niveau élevé</w:t>
      </w:r>
    </w:p>
    <w:p>
      <w:pPr>
        <w:pStyle w:val="ListBullet"/>
      </w:pPr>
      <w:r>
        <w:t>{dist_moyen} risque(s) de niveau moyen</w:t>
      </w:r>
    </w:p>
    <w:p>
      <w:pPr>
        <w:pStyle w:val="ListBullet"/>
      </w:pPr>
      <w:r>
        <w:t>{dist_faible} risque(s) de niveau faible</w:t>
      </w:r>
    </w:p>
    <w:p>
      <w:r>
        <w:t>Le niveau de couverture du socle de sécurité est évalué à {socle_avg} %. {mes_todo} mesure(s) restent à mettre en œuvre dans le cadre du PACS (Plan d'Amélioration Continue de la Sécurité).</w:t>
      </w:r>
    </w:p>
    <w:p>
      <w:r>
        <w:t>Appréciation générale et priorités retenues par la direction : ……………………………………………………………………………………</w:t>
      </w:r>
    </w:p>
    <w:p>
      <w:r>
        <w:t>Décision d'acceptation des risques résiduels : ……………………………………………………………………………………</w:t>
      </w:r>
    </w:p>
    <w:p>
      <w:r>
        <w:br w:type="page"/>
      </w:r>
    </w:p>
    <w:p>
      <w:pPr>
        <w:pStyle w:val="Heading1"/>
      </w:pPr>
      <w:r>
        <w:t>Cadrage et socle de sécurité</w:t>
      </w:r>
    </w:p>
    <w:p>
      <w:r>
        <w:t>L'objectif de cette phase de l'analyse est de délimiter le périmètre métier et technique de l'étude : recenser les valeurs métier (missions, processus et informations essentiels), les rattacher à leurs biens supports (composants du SI qui les portent), caractériser les événements redoutés et apprécier leur gravité, puis établir le socle de sécurité.</w:t>
      </w:r>
    </w:p>
    <w:p>
      <w:r>
        <w:t>L'établissement du socle de sécurité consiste à mesurer les écarts du système d'information par rapport au référentiel de sécurité retenu — au choix les 42 mesures d'hygiène de l'ANSSI ou la norme ISO/IEC 27001. Ce socle constitue le niveau de sécurité de base attendu : l'analyse de risque EBIOS Risk Manager a vocation à être conduite dans un contexte où il est déjà suffisamment couvert, l'étude se concentrant alors sur les risques résiduels qui subsistent au-delà de ce socle.</w:t>
      </w:r>
    </w:p>
    <w:p>
      <w:pPr>
        <w:pStyle w:val="Heading2"/>
      </w:pPr>
      <w:r>
        <w:t>Contexte et objectifs de l'étude</w:t>
      </w:r>
    </w:p>
    <w:p>
      <w:r>
        <w:t>Objet de l'étude : {contexte_objet}</w:t>
      </w:r>
    </w:p>
    <w:p>
      <w:r>
        <w:t>Réglementation et référentiels applicables : {contexte_reglementation}</w:t>
      </w:r>
    </w:p>
    <w:p>
      <w:r>
        <w:t>Socle de sécurité retenu : {contexte_socle}</w:t>
      </w:r>
    </w:p>
    <w:p>
      <w:r>
        <w:t>Éléments de contexte complémentaires (enjeux, contraintes, hypothèses) : ……………………………………………………………</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Valeur métier et bien support : </w:t>
            </w:r>
            <w:r>
              <w:rPr>
                <w:sz w:val="19"/>
              </w:rPr>
              <w:t>une valeur métier est ce que l'organisation doit protéger — une mission, un processus ou une information essentiels ; un bien support est l'élément concret du système d'information qui la porte (serveur, application, réseau, local, intervenant…). Une même valeur métier peut reposer sur plusieurs biens supports, et c'est généralement le bien support qui constitue la cible technique d'une attaque.</w:t>
            </w:r>
          </w:p>
        </w:tc>
      </w:tr>
    </w:tbl>
    <w:p>
      <w:pPr>
        <w:sectPr>
          <w:footerReference w:type="default" r:id="rId9"/>
          <w:footerReference w:type="first" r:id="rId24"/>
          <w:pgSz w:w="12240" w:h="15840"/>
          <w:pgMar w:top="1440" w:right="1800" w:bottom="1440" w:left="1800" w:header="720" w:footer="720" w:gutter="0"/>
          <w:cols w:space="720"/>
          <w:titlePg/>
          <w:docGrid w:linePitch="360"/>
        </w:sectPr>
      </w:pPr>
    </w:p>
    <w:p>
      <w:pPr>
        <w:pStyle w:val="Heading2"/>
      </w:pPr>
      <w:r>
        <w:t>Valeurs métier</w:t>
      </w:r>
    </w:p>
    <w:p>
      <w:r>
        <w:t>Une valeur métier est une information ou un processus essentiel à l'organisation, qu'il convient de protéger ; elle est rattachée à un responsable métier.</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Abrév.</w:t>
            </w:r>
          </w:p>
        </w:tc>
        <w:tc>
          <w:tcPr>
            <w:tcW w:type="auto" w:w="0"/>
          </w:tcPr>
          <w:p>
            <w:r>
              <w:rPr>
                <w:b/>
              </w:rPr>
              <w:t>Nom</w:t>
            </w:r>
          </w:p>
        </w:tc>
        <w:tc>
          <w:tcPr>
            <w:tcW w:type="auto" w:w="0"/>
          </w:tcPr>
          <w:p>
            <w:r>
              <w:rPr>
                <w:b/>
              </w:rPr>
              <w:t>Nature</w:t>
            </w:r>
          </w:p>
        </w:tc>
        <w:tc>
          <w:tcPr>
            <w:tcW w:type="auto" w:w="0"/>
          </w:tcPr>
          <w:p>
            <w:r>
              <w:rPr>
                <w:b/>
              </w:rPr>
              <w:t>Description</w:t>
            </w:r>
          </w:p>
        </w:tc>
        <w:tc>
          <w:tcPr>
            <w:tcW w:type="auto" w:w="0"/>
          </w:tcPr>
          <w:p>
            <w:r>
              <w:rPr>
                <w:b/>
              </w:rPr>
              <w:t>Responsable</w:t>
            </w:r>
          </w:p>
        </w:tc>
      </w:tr>
      <w:tr>
        <w:tc>
          <w:tcPr>
            <w:tcW w:type="auto" w:w="0"/>
          </w:tcPr>
          <w:p>
            <w:r>
              <w:t>{#vm}{id}</w:t>
            </w:r>
          </w:p>
        </w:tc>
        <w:tc>
          <w:tcPr>
            <w:tcW w:type="auto" w:w="0"/>
          </w:tcPr>
          <w:p>
            <w:r>
              <w:t>{nom}</w:t>
            </w:r>
          </w:p>
        </w:tc>
        <w:tc>
          <w:tcPr>
            <w:tcW w:type="auto" w:w="0"/>
          </w:tcPr>
          <w:p>
            <w:r>
              <w:t>{nature}</w:t>
            </w:r>
          </w:p>
        </w:tc>
        <w:tc>
          <w:tcPr>
            <w:tcW w:type="auto" w:w="0"/>
          </w:tcPr>
          <w:p>
            <w:r>
              <w:t>{description}</w:t>
            </w:r>
          </w:p>
        </w:tc>
        <w:tc>
          <w:tcPr>
            <w:tcW w:type="auto" w:w="0"/>
          </w:tcPr>
          <w:p>
            <w:r>
              <w:t>{responsable}{/vm}</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Valeurs métier de l'étude</w:t>
      </w:r>
    </w:p>
    <w:p>
      <w:pPr>
        <w:sectPr>
          <w:footerReference w:type="default" r:id="rId10"/>
          <w:pgSz w:w="15840" w:h="12240" w:orient="landscape"/>
          <w:pgMar w:top="1440" w:right="1800" w:bottom="1440" w:left="1800" w:header="720" w:footer="720" w:gutter="0"/>
          <w:cols w:space="720"/>
          <w:docGrid w:linePitch="360"/>
        </w:sectPr>
      </w:pPr>
    </w:p>
    <w:p>
      <w:pPr>
        <w:pStyle w:val="Heading2"/>
      </w:pPr>
      <w:r>
        <w:t>Biens supports</w:t>
      </w:r>
    </w:p>
    <w:p>
      <w:r>
        <w:t>Un bien support est un composant du SI (serveur, application, réseau, local, intervenant…) sur lequel repose une ou plusieurs valeurs métier.</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auto" w:w="0"/>
          </w:tcPr>
          <w:p>
            <w:r>
              <w:rPr>
                <w:b/>
              </w:rPr>
              <w:t>Abrév.</w:t>
            </w:r>
          </w:p>
        </w:tc>
        <w:tc>
          <w:tcPr>
            <w:tcW w:type="auto" w:w="0"/>
          </w:tcPr>
          <w:p>
            <w:r>
              <w:rPr>
                <w:b/>
              </w:rPr>
              <w:t>Nom</w:t>
            </w:r>
          </w:p>
        </w:tc>
        <w:tc>
          <w:tcPr>
            <w:tcW w:type="auto" w:w="0"/>
          </w:tcPr>
          <w:p>
            <w:r>
              <w:rPr>
                <w:b/>
              </w:rPr>
              <w:t>Type</w:t>
            </w:r>
          </w:p>
        </w:tc>
        <w:tc>
          <w:tcPr>
            <w:tcW w:type="auto" w:w="0"/>
          </w:tcPr>
          <w:p>
            <w:r>
              <w:rPr>
                <w:b/>
              </w:rPr>
              <w:t>Valeur métier</w:t>
            </w:r>
          </w:p>
        </w:tc>
        <w:tc>
          <w:tcPr>
            <w:tcW w:type="auto" w:w="0"/>
          </w:tcPr>
          <w:p>
            <w:r>
              <w:rPr>
                <w:b/>
              </w:rPr>
              <w:t>Localisation</w:t>
            </w:r>
          </w:p>
        </w:tc>
        <w:tc>
          <w:tcPr>
            <w:tcW w:type="auto" w:w="0"/>
          </w:tcPr>
          <w:p>
            <w:r>
              <w:rPr>
                <w:b/>
              </w:rPr>
              <w:t>Propriétaire</w:t>
            </w:r>
          </w:p>
        </w:tc>
      </w:tr>
      <w:tr>
        <w:tc>
          <w:tcPr>
            <w:tcW w:type="auto" w:w="0"/>
          </w:tcPr>
          <w:p>
            <w:r>
              <w:t>{#bs}{id}</w:t>
            </w:r>
          </w:p>
        </w:tc>
        <w:tc>
          <w:tcPr>
            <w:tcW w:type="auto" w:w="0"/>
          </w:tcPr>
          <w:p>
            <w:r>
              <w:t>{nom}</w:t>
            </w:r>
          </w:p>
        </w:tc>
        <w:tc>
          <w:tcPr>
            <w:tcW w:type="auto" w:w="0"/>
          </w:tcPr>
          <w:p>
            <w:r>
              <w:t>{type}</w:t>
            </w:r>
          </w:p>
        </w:tc>
        <w:tc>
          <w:tcPr>
            <w:tcW w:type="auto" w:w="0"/>
          </w:tcPr>
          <w:p>
            <w:r>
              <w:t>{vm}</w:t>
            </w:r>
          </w:p>
        </w:tc>
        <w:tc>
          <w:tcPr>
            <w:tcW w:type="auto" w:w="0"/>
          </w:tcPr>
          <w:p>
            <w:r>
              <w:t>{localisation}</w:t>
            </w:r>
          </w:p>
        </w:tc>
        <w:tc>
          <w:tcPr>
            <w:tcW w:type="auto" w:w="0"/>
          </w:tcPr>
          <w:p>
            <w:r>
              <w:t>{proprietaire}{/bs}</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Biens supports rattachés aux valeurs métier</w:t>
      </w:r>
    </w:p>
    <w:p>
      <w:pPr>
        <w:sectPr>
          <w:footerReference w:type="default" r:id="rId11"/>
          <w:pgSz w:w="12240" w:h="15840"/>
          <w:pgMar w:top="1440" w:right="1800" w:bottom="1440" w:left="1800" w:header="720" w:footer="720" w:gutter="0"/>
          <w:cols w:space="720"/>
          <w:docGrid w:linePitch="360"/>
        </w:sectPr>
      </w:pPr>
    </w:p>
    <w:p>
      <w:pPr>
        <w:pStyle w:val="Heading2"/>
      </w:pPr>
      <w:r>
        <w:t>Événements redoutés</w:t>
      </w:r>
    </w:p>
    <w:p>
      <w:r>
        <w:t>Un événement redouté est une atteinte à une valeur métier (disponibilité, intégrité, confidentialité, traçabilité) et les impacts qui en découlent (missions, humains, financiers, juridiques, image). Le niveau de gravité retenu pour chaque événement redouté correspond au maximum des niveaux atteints sur les différents critères de l'échelle de gravité (financier, réputation, réglementaire, données personnelles, opérationnel).</w:t>
      </w:r>
    </w:p>
    <w:p>
      <w:r>
        <w:t xml:space="preserve">L'échelle de gravité utilisée est détaillée en </w:t>
      </w:r>
      <w:hyperlink w:anchor="annexe_gravite">
        <w:r>
          <w:rPr>
            <w:color w:val="1E3A5F"/>
            <w:u w:val="single"/>
          </w:rPr>
          <w:t>Annexe A — Échelle de gravité</w:t>
        </w:r>
      </w:hyperlink>
      <w:r>
        <w:t>.</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Abrév.</w:t>
            </w:r>
          </w:p>
        </w:tc>
        <w:tc>
          <w:tcPr>
            <w:tcW w:type="auto" w:w="0"/>
          </w:tcPr>
          <w:p>
            <w:r>
              <w:rPr>
                <w:b/>
              </w:rPr>
              <w:t>Valeur métier</w:t>
            </w:r>
          </w:p>
        </w:tc>
        <w:tc>
          <w:tcPr>
            <w:tcW w:type="auto" w:w="0"/>
          </w:tcPr>
          <w:p>
            <w:r>
              <w:rPr>
                <w:b/>
              </w:rPr>
              <w:t>Événement redouté</w:t>
            </w:r>
          </w:p>
        </w:tc>
        <w:tc>
          <w:tcPr>
            <w:tcW w:type="auto" w:w="0"/>
          </w:tcPr>
          <w:p>
            <w:r>
              <w:rPr>
                <w:b/>
              </w:rPr>
              <w:t>Impacts</w:t>
            </w:r>
          </w:p>
        </w:tc>
        <w:tc>
          <w:tcPr>
            <w:tcW w:type="auto" w:w="0"/>
          </w:tcPr>
          <w:p>
            <w:r>
              <w:rPr>
                <w:b/>
              </w:rPr>
              <w:t>Gravité</w:t>
            </w:r>
          </w:p>
        </w:tc>
      </w:tr>
      <w:tr>
        <w:tc>
          <w:tcPr>
            <w:tcW w:type="auto" w:w="0"/>
          </w:tcPr>
          <w:p>
            <w:r>
              <w:t>{#er}{id}</w:t>
            </w:r>
          </w:p>
        </w:tc>
        <w:tc>
          <w:tcPr>
            <w:tcW w:type="auto" w:w="0"/>
          </w:tcPr>
          <w:p>
            <w:r>
              <w:t>{vm}</w:t>
            </w:r>
          </w:p>
        </w:tc>
        <w:tc>
          <w:tcPr>
            <w:tcW w:type="auto" w:w="0"/>
          </w:tcPr>
          <w:p>
            <w:r>
              <w:t>{evenement}</w:t>
            </w:r>
          </w:p>
        </w:tc>
        <w:tc>
          <w:tcPr>
            <w:tcW w:type="auto" w:w="0"/>
          </w:tcPr>
          <w:p>
            <w:r>
              <w:t>{impacts}</w:t>
            </w:r>
          </w:p>
        </w:tc>
        <w:tc>
          <w:tcPr>
            <w:tcW w:type="auto" w:w="0"/>
          </w:tcPr>
          <w:p>
            <w:r>
              <w:t>{gravite}{/er}</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Événements redoutés et niveaux de gravité</w:t>
      </w:r>
    </w:p>
    <w:p>
      <w:pPr>
        <w:pStyle w:val="Heading2"/>
      </w:pPr>
      <w:r>
        <w:t>Socle de sécurité</w:t>
      </w:r>
    </w:p>
    <w:p>
      <w:r>
        <w:t>Le socle de sécurité regroupe les exigences des référentiels applicables et leur état d'application. Le taux de couverture global est la moyenne des taux de conformité (en %) des exigences évaluées.</w:t>
      </w:r>
    </w:p>
    <w:p>
      <w:r>
        <w:t>Niveau de couverture global du socle évalué dans cette étude : {socle_avg} %.</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Réf. exigence</w:t>
            </w:r>
          </w:p>
        </w:tc>
        <w:tc>
          <w:tcPr>
            <w:tcW w:type="auto" w:w="0"/>
          </w:tcPr>
          <w:p>
            <w:r>
              <w:rPr>
                <w:b/>
              </w:rPr>
              <w:t>Thème</w:t>
            </w:r>
          </w:p>
        </w:tc>
        <w:tc>
          <w:tcPr>
            <w:tcW w:type="auto" w:w="0"/>
          </w:tcPr>
          <w:p>
            <w:r>
              <w:rPr>
                <w:b/>
              </w:rPr>
              <w:t>Mesure</w:t>
            </w:r>
          </w:p>
        </w:tc>
        <w:tc>
          <w:tcPr>
            <w:tcW w:type="auto" w:w="0"/>
          </w:tcPr>
          <w:p>
            <w:r>
              <w:rPr>
                <w:b/>
              </w:rPr>
              <w:t>Conformité</w:t>
            </w:r>
          </w:p>
        </w:tc>
        <w:tc>
          <w:tcPr>
            <w:tcW w:type="auto" w:w="0"/>
          </w:tcPr>
          <w:p>
            <w:r>
              <w:rPr>
                <w:b/>
              </w:rPr>
              <w:t>Écart</w:t>
            </w:r>
          </w:p>
        </w:tc>
      </w:tr>
      <w:tr>
        <w:tc>
          <w:tcPr>
            <w:tcW w:type="auto" w:w="0"/>
          </w:tcPr>
          <w:p>
            <w:r>
              <w:t>{#socle}{ref}</w:t>
            </w:r>
          </w:p>
        </w:tc>
        <w:tc>
          <w:tcPr>
            <w:tcW w:type="auto" w:w="0"/>
          </w:tcPr>
          <w:p>
            <w:r>
              <w:t>{theme}</w:t>
            </w:r>
          </w:p>
        </w:tc>
        <w:tc>
          <w:tcPr>
            <w:tcW w:type="auto" w:w="0"/>
          </w:tcPr>
          <w:p>
            <w:r>
              <w:t>{mesure}</w:t>
            </w:r>
          </w:p>
        </w:tc>
        <w:tc>
          <w:tcPr>
            <w:tcW w:type="auto" w:w="0"/>
          </w:tcPr>
          <w:p>
            <w:r>
              <w:t>{conformite}</w:t>
            </w:r>
          </w:p>
        </w:tc>
        <w:tc>
          <w:tcPr>
            <w:tcW w:type="auto" w:w="0"/>
          </w:tcPr>
          <w:p>
            <w:r>
              <w:t>{ecart}{/socle}</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Évaluation du socle de sécurité</w:t>
      </w:r>
    </w:p>
    <w:p>
      <w:pPr>
        <w:pStyle w:val="Heading3"/>
      </w:pPr>
      <w:r>
        <w:t>Mesures prévues pour le socle</w:t>
      </w:r>
    </w:p>
    <w:p>
      <w:r>
        <w:t>Pour les exigences partiellement ou non couvertes, les mesures correctives déjà prévues alimentent le PACS (Plan d'Amélioration Continue de la Sécurité, chapitre Traitement du risque).</w:t>
      </w:r>
    </w:p>
    <w:tbl>
      <w:tblPr>
        <w:tblStyle w:val="LightGrid-Accent1"/>
        <w:tblW w:type="auto" w:w="0"/>
        <w:tblLayout w:type="autofit"/>
        <w:tblLook w:firstColumn="1" w:firstRow="1" w:lastColumn="0" w:lastRow="0" w:noHBand="0" w:noVBand="1" w:val="04A0"/>
      </w:tblPr>
      <w:tblGrid>
        <w:gridCol w:w="4080"/>
        <w:gridCol w:w="4080"/>
        <w:gridCol w:w="4080"/>
      </w:tblGrid>
      <w:tr>
        <w:tc>
          <w:tcPr>
            <w:tcW w:type="auto" w:w="0"/>
          </w:tcPr>
          <w:p>
            <w:r>
              <w:rPr>
                <w:b/>
              </w:rPr>
              <w:t>Réf. exigence</w:t>
            </w:r>
          </w:p>
        </w:tc>
        <w:tc>
          <w:tcPr>
            <w:tcW w:type="auto" w:w="0"/>
          </w:tcPr>
          <w:p>
            <w:r>
              <w:rPr>
                <w:b/>
              </w:rPr>
              <w:t>Mesure / exigence</w:t>
            </w:r>
          </w:p>
        </w:tc>
        <w:tc>
          <w:tcPr>
            <w:tcW w:type="auto" w:w="0"/>
          </w:tcPr>
          <w:p>
            <w:r>
              <w:rPr>
                <w:b/>
              </w:rPr>
              <w:t>Mesures prévues</w:t>
            </w:r>
          </w:p>
        </w:tc>
      </w:tr>
      <w:tr>
        <w:tc>
          <w:tcPr>
            <w:tcW w:type="auto" w:w="0"/>
          </w:tcPr>
          <w:p>
            <w:r>
              <w:t>{#socle_planned}{ref}</w:t>
            </w:r>
          </w:p>
        </w:tc>
        <w:tc>
          <w:tcPr>
            <w:tcW w:type="auto" w:w="0"/>
          </w:tcPr>
          <w:p>
            <w:r>
              <w:t>{mesure}</w:t>
            </w:r>
          </w:p>
        </w:tc>
        <w:tc>
          <w:tcPr>
            <w:tcW w:type="auto" w:w="0"/>
          </w:tcPr>
          <w:p>
            <w:r>
              <w:t>{mesures_prevues}{/socle_planned}</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Mesures prévues pour combler les écarts du socle</w:t>
      </w:r>
    </w:p>
    <w:p>
      <w:pPr>
        <w:sectPr>
          <w:footerReference w:type="default" r:id="rId12"/>
          <w:pgSz w:w="15840" w:h="12240" w:orient="landscape"/>
          <w:pgMar w:top="1440" w:right="1800" w:bottom="1440" w:left="1800" w:header="720" w:footer="720" w:gutter="0"/>
          <w:cols w:space="720"/>
          <w:docGrid w:linePitch="360"/>
        </w:sectPr>
      </w:pPr>
    </w:p>
    <w:p>
      <w:pPr>
        <w:pStyle w:val="Heading1"/>
      </w:pPr>
      <w:r>
        <w:t>Sources de risque et objectifs visés</w:t>
      </w:r>
    </w:p>
    <w:p>
      <w:r>
        <w:t>L'objectif de cette phase de l'analyse est d'identifier « qui ou quoi » pourrait porter atteinte aux valeurs métier et « pourquoi », puis de retenir les couples source de risque / objectif visé les plus pertinents.</w:t>
      </w:r>
    </w:p>
    <w:p>
      <w:pPr>
        <w:pStyle w:val="Heading2"/>
      </w:pPr>
      <w:r>
        <w:t>Sources de risque</w:t>
      </w:r>
    </w:p>
    <w:p>
      <w:r>
        <w:t>Une source de risque (SR) est un acteur — humain ou non — susceptible de générer un risque : cybercriminel, concurrent, État, hacktiviste, employé malveillant ou négligent, prestataire…</w:t>
      </w:r>
    </w:p>
    <w:tbl>
      <w:tblPr>
        <w:tblStyle w:val="LightGrid-Accent1"/>
        <w:tblW w:type="auto" w:w="0"/>
        <w:tblLayout w:type="autofit"/>
        <w:tblLook w:firstColumn="1" w:firstRow="1" w:lastColumn="0" w:lastRow="0" w:noHBand="0" w:noVBand="1" w:val="04A0"/>
      </w:tblPr>
      <w:tblGrid>
        <w:gridCol w:w="4320"/>
        <w:gridCol w:w="4320"/>
      </w:tblGrid>
      <w:tr>
        <w:tc>
          <w:tcPr>
            <w:tcW w:type="auto" w:w="0"/>
          </w:tcPr>
          <w:p>
            <w:r>
              <w:rPr>
                <w:b/>
              </w:rPr>
              <w:t>Abrév.</w:t>
            </w:r>
          </w:p>
        </w:tc>
        <w:tc>
          <w:tcPr>
            <w:tcW w:type="auto" w:w="0"/>
          </w:tcPr>
          <w:p>
            <w:r>
              <w:rPr>
                <w:b/>
              </w:rPr>
              <w:t>Source de risque</w:t>
            </w:r>
          </w:p>
        </w:tc>
      </w:tr>
      <w:tr>
        <w:tc>
          <w:tcPr>
            <w:tcW w:type="auto" w:w="0"/>
          </w:tcPr>
          <w:p>
            <w:r>
              <w:t>{#sr_list}{id}</w:t>
            </w:r>
          </w:p>
        </w:tc>
        <w:tc>
          <w:tcPr>
            <w:tcW w:type="auto" w:w="0"/>
          </w:tcPr>
          <w:p>
            <w:r>
              <w:t>{nom}{/sr_list}</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Sources de risque identifiées</w:t>
      </w:r>
    </w:p>
    <w:p>
      <w:pPr>
        <w:pStyle w:val="Heading2"/>
      </w:pPr>
      <w:r>
        <w:t>Objectifs visés</w:t>
      </w:r>
    </w:p>
    <w:p>
      <w:r>
        <w:t>Un objectif visé (OV) est la finalité poursuivie par la source de risque : espionnage, sabotage, gain financier, lucratif, déstabilisation, défi…</w:t>
      </w:r>
    </w:p>
    <w:tbl>
      <w:tblPr>
        <w:tblStyle w:val="LightGrid-Accent1"/>
        <w:tblW w:type="auto" w:w="0"/>
        <w:tblLayout w:type="autofit"/>
        <w:tblLook w:firstColumn="1" w:firstRow="1" w:lastColumn="0" w:lastRow="0" w:noHBand="0" w:noVBand="1" w:val="04A0"/>
      </w:tblPr>
      <w:tblGrid>
        <w:gridCol w:w="4320"/>
        <w:gridCol w:w="4320"/>
      </w:tblGrid>
      <w:tr>
        <w:tc>
          <w:tcPr>
            <w:tcW w:type="auto" w:w="0"/>
          </w:tcPr>
          <w:p>
            <w:r>
              <w:rPr>
                <w:b/>
              </w:rPr>
              <w:t>Abrév.</w:t>
            </w:r>
          </w:p>
        </w:tc>
        <w:tc>
          <w:tcPr>
            <w:tcW w:type="auto" w:w="0"/>
          </w:tcPr>
          <w:p>
            <w:r>
              <w:rPr>
                <w:b/>
              </w:rPr>
              <w:t>Objectif visé</w:t>
            </w:r>
          </w:p>
        </w:tc>
      </w:tr>
      <w:tr>
        <w:tc>
          <w:tcPr>
            <w:tcW w:type="auto" w:w="0"/>
          </w:tcPr>
          <w:p>
            <w:r>
              <w:t>{#ov_list}{id}</w:t>
            </w:r>
          </w:p>
        </w:tc>
        <w:tc>
          <w:tcPr>
            <w:tcW w:type="auto" w:w="0"/>
          </w:tcPr>
          <w:p>
            <w:r>
              <w:t>{nom}{/ov_list}</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Objectifs visés identifiés</w:t>
      </w:r>
    </w:p>
    <w:p>
      <w:pPr>
        <w:sectPr>
          <w:footerReference w:type="default" r:id="rId13"/>
          <w:pgSz w:w="12240" w:h="15840"/>
          <w:pgMar w:top="1440" w:right="1800" w:bottom="1440" w:left="1800" w:header="720" w:footer="720" w:gutter="0"/>
          <w:cols w:space="720"/>
          <w:docGrid w:linePitch="360"/>
        </w:sectPr>
      </w:pPr>
    </w:p>
    <w:p>
      <w:pPr>
        <w:pStyle w:val="Heading2"/>
      </w:pPr>
      <w:r>
        <w:t>Couples Source de risque / Objectif visé évalués</w:t>
      </w:r>
    </w:p>
    <w:p>
      <w:r>
        <w:t>La pertinence d'un couple SR/OV est la somme de trois critères notés de 0 à 4 — motivation, ressources et activité de la source (score de 0 à 12). La priorité en découle : P1 si le score est strictement supérieur à 7, P2 s'il est compris entre 5 et 7, « Non retenu » entre 3 et 4, « Écarté » entre 1 et 2. Le tableau ci-dessous présente l'ensemble des couples évalués avec leur priorité : seuls les couples P1 et P2 sont retenus pour la suite de l'étude, les couples « Non retenu » et « Écarté » étant exclus.</w:t>
      </w:r>
    </w:p>
    <w:tbl>
      <w:tblPr>
        <w:tblStyle w:val="LightGrid-Accent1"/>
        <w:tblW w:type="auto" w:w="0"/>
        <w:tblLayout w:type="autofit"/>
        <w:tblLook w:firstColumn="1" w:firstRow="1" w:lastColumn="0" w:lastRow="0" w:noHBand="0" w:noVBand="1" w:val="04A0"/>
      </w:tblPr>
      <w:tblGrid>
        <w:gridCol w:w="1360"/>
        <w:gridCol w:w="1360"/>
        <w:gridCol w:w="1360"/>
        <w:gridCol w:w="1360"/>
        <w:gridCol w:w="1360"/>
        <w:gridCol w:w="1360"/>
        <w:gridCol w:w="1360"/>
        <w:gridCol w:w="1360"/>
        <w:gridCol w:w="1360"/>
      </w:tblGrid>
      <w:tr>
        <w:tc>
          <w:tcPr>
            <w:tcW w:type="auto" w:w="0"/>
          </w:tcPr>
          <w:p>
            <w:r>
              <w:rPr>
                <w:b/>
              </w:rPr>
              <w:t>Couple</w:t>
            </w:r>
          </w:p>
        </w:tc>
        <w:tc>
          <w:tcPr>
            <w:tcW w:type="auto" w:w="0"/>
          </w:tcPr>
          <w:p>
            <w:r>
              <w:rPr>
                <w:b/>
              </w:rPr>
              <w:t>Source</w:t>
            </w:r>
          </w:p>
        </w:tc>
        <w:tc>
          <w:tcPr>
            <w:tcW w:type="auto" w:w="0"/>
          </w:tcPr>
          <w:p>
            <w:r>
              <w:rPr>
                <w:b/>
              </w:rPr>
              <w:t>Objectif visé</w:t>
            </w:r>
          </w:p>
        </w:tc>
        <w:tc>
          <w:tcPr>
            <w:tcW w:type="auto" w:w="0"/>
          </w:tcPr>
          <w:p>
            <w:r>
              <w:rPr>
                <w:b/>
              </w:rPr>
              <w:t>Motiv.</w:t>
            </w:r>
          </w:p>
        </w:tc>
        <w:tc>
          <w:tcPr>
            <w:tcW w:type="auto" w:w="0"/>
          </w:tcPr>
          <w:p>
            <w:r>
              <w:rPr>
                <w:b/>
              </w:rPr>
              <w:t>Ress.</w:t>
            </w:r>
          </w:p>
        </w:tc>
        <w:tc>
          <w:tcPr>
            <w:tcW w:type="auto" w:w="0"/>
          </w:tcPr>
          <w:p>
            <w:r>
              <w:rPr>
                <w:b/>
              </w:rPr>
              <w:t>Activ.</w:t>
            </w:r>
          </w:p>
        </w:tc>
        <w:tc>
          <w:tcPr>
            <w:tcW w:type="auto" w:w="0"/>
          </w:tcPr>
          <w:p>
            <w:r>
              <w:rPr>
                <w:b/>
              </w:rPr>
              <w:t>Pertinence</w:t>
            </w:r>
          </w:p>
        </w:tc>
        <w:tc>
          <w:tcPr>
            <w:tcW w:type="auto" w:w="0"/>
          </w:tcPr>
          <w:p>
            <w:r>
              <w:rPr>
                <w:b/>
              </w:rPr>
              <w:t>Priorité</w:t>
            </w:r>
          </w:p>
        </w:tc>
        <w:tc>
          <w:tcPr>
            <w:tcW w:type="auto" w:w="0"/>
          </w:tcPr>
          <w:p>
            <w:r>
              <w:rPr>
                <w:b/>
              </w:rPr>
              <w:t>Justification</w:t>
            </w:r>
          </w:p>
        </w:tc>
      </w:tr>
      <w:tr>
        <w:tc>
          <w:tcPr>
            <w:tcW w:type="auto" w:w="0"/>
          </w:tcPr>
          <w:p>
            <w:r>
              <w:t>{#srov}{couple}</w:t>
            </w:r>
          </w:p>
        </w:tc>
        <w:tc>
          <w:tcPr>
            <w:tcW w:type="auto" w:w="0"/>
          </w:tcPr>
          <w:p>
            <w:r>
              <w:t>{sr}</w:t>
            </w:r>
          </w:p>
        </w:tc>
        <w:tc>
          <w:tcPr>
            <w:tcW w:type="auto" w:w="0"/>
          </w:tcPr>
          <w:p>
            <w:r>
              <w:t>{ov}</w:t>
            </w:r>
          </w:p>
        </w:tc>
        <w:tc>
          <w:tcPr>
            <w:tcW w:type="auto" w:w="0"/>
          </w:tcPr>
          <w:p>
            <w:r>
              <w:t>{motivation}</w:t>
            </w:r>
          </w:p>
        </w:tc>
        <w:tc>
          <w:tcPr>
            <w:tcW w:type="auto" w:w="0"/>
          </w:tcPr>
          <w:p>
            <w:r>
              <w:t>{ressources}</w:t>
            </w:r>
          </w:p>
        </w:tc>
        <w:tc>
          <w:tcPr>
            <w:tcW w:type="auto" w:w="0"/>
          </w:tcPr>
          <w:p>
            <w:r>
              <w:t>{activite}</w:t>
            </w:r>
          </w:p>
        </w:tc>
        <w:tc>
          <w:tcPr>
            <w:tcW w:type="auto" w:w="0"/>
          </w:tcPr>
          <w:p>
            <w:r>
              <w:t>{pertinence}</w:t>
            </w:r>
          </w:p>
        </w:tc>
        <w:tc>
          <w:tcPr>
            <w:tcW w:type="auto" w:w="0"/>
          </w:tcPr>
          <w:p>
            <w:r>
              <w:t>{priorite}</w:t>
            </w:r>
          </w:p>
        </w:tc>
        <w:tc>
          <w:tcPr>
            <w:tcW w:type="auto" w:w="0"/>
          </w:tcPr>
          <w:p>
            <w:r>
              <w:t>{justification}{/srov}</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Couples SR/OV évalués et priorisés</w:t>
      </w:r>
    </w:p>
    <w:p>
      <w:pPr>
        <w:sectPr>
          <w:footerReference w:type="default" r:id="rId14"/>
          <w:pgSz w:w="15840" w:h="12240" w:orient="landscape"/>
          <w:pgMar w:top="1440" w:right="1800" w:bottom="1440" w:left="1800" w:header="720" w:footer="720" w:gutter="0"/>
          <w:cols w:space="720"/>
          <w:docGrid w:linePitch="360"/>
        </w:sectPr>
      </w:pPr>
    </w:p>
    <w:p>
      <w:pPr>
        <w:pStyle w:val="Heading1"/>
      </w:pPr>
      <w:r>
        <w:t>Scénarios stratégiques</w:t>
      </w:r>
    </w:p>
    <w:p>
      <w:r>
        <w:t>L'objectif de cette phase de l'analyse est, à partir des couples SR/OV retenus, d'établir la cartographie de la menace numérique de l'écosystème (parties prenantes : prestataires, partenaires, fournisseurs…), puis de construire les scénarios stratégiques — chemins d'attaque de haut niveau, souvent via l'écosystème, vers les valeurs métier. Chaque partie prenante est évaluée selon quatre critères : dépendance, pénétration, maturité cyber et confiance.</w:t>
      </w:r>
    </w:p>
    <w:p>
      <w:pPr>
        <w:pStyle w:val="Heading2"/>
      </w:pPr>
      <w:r>
        <w:t>Parties prenantes de l'écosystème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auto" w:w="0"/>
          </w:tcPr>
          <w:p>
            <w:r>
              <w:rPr>
                <w:b/>
              </w:rPr>
              <w:t>Abrév.</w:t>
            </w:r>
          </w:p>
        </w:tc>
        <w:tc>
          <w:tcPr>
            <w:tcW w:type="auto" w:w="0"/>
          </w:tcPr>
          <w:p>
            <w:r>
              <w:rPr>
                <w:b/>
              </w:rPr>
              <w:t>Nom</w:t>
            </w:r>
          </w:p>
        </w:tc>
        <w:tc>
          <w:tcPr>
            <w:tcW w:type="auto" w:w="0"/>
          </w:tcPr>
          <w:p>
            <w:r>
              <w:rPr>
                <w:b/>
              </w:rPr>
              <w:t>Catégorie</w:t>
            </w:r>
          </w:p>
        </w:tc>
      </w:tr>
      <w:tr>
        <w:tc>
          <w:tcPr>
            <w:tcW w:type="auto" w:w="0"/>
          </w:tcPr>
          <w:p>
            <w:r>
              <w:t>{#pp}{id}</w:t>
            </w:r>
          </w:p>
        </w:tc>
        <w:tc>
          <w:tcPr>
            <w:tcW w:type="auto" w:w="0"/>
          </w:tcPr>
          <w:p>
            <w:r>
              <w:t>{nom}</w:t>
            </w:r>
          </w:p>
        </w:tc>
        <w:tc>
          <w:tcPr>
            <w:tcW w:type="auto" w:w="0"/>
          </w:tcPr>
          <w:p>
            <w:r>
              <w:t>{categorie}{/pp}</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Parties prenantes de l'écosystème</w:t>
      </w:r>
    </w:p>
    <w:p>
      <w:pPr>
        <w:pStyle w:val="Heading2"/>
      </w:pPr>
      <w:r>
        <w:t>Évaluation des parties prenantes (menace)</w:t>
      </w:r>
    </w:p>
    <w:p>
      <w:r>
        <w:t>Le niveau de menace combine l'exposition (dépendance × pénétration) et la fiabilité (maturité × confiance) de chaque partie prenante : menace = (dépendance × pénétration) / (maturité × confiance). Le niveau d'exposition qui en résulte (faible à critique) est indiqué pour chaque partie prenante.</w:t>
      </w:r>
    </w:p>
    <w:tbl>
      <w:tblPr>
        <w:tblStyle w:val="LightGrid-Accent1"/>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auto" w:w="0"/>
          </w:tcPr>
          <w:p>
            <w:r>
              <w:rPr>
                <w:b/>
              </w:rPr>
              <w:t>Nom</w:t>
            </w:r>
          </w:p>
        </w:tc>
        <w:tc>
          <w:tcPr>
            <w:tcW w:type="auto" w:w="0"/>
          </w:tcPr>
          <w:p>
            <w:r>
              <w:rPr>
                <w:b/>
              </w:rPr>
              <w:t>Dépend.</w:t>
            </w:r>
          </w:p>
        </w:tc>
        <w:tc>
          <w:tcPr>
            <w:tcW w:type="auto" w:w="0"/>
          </w:tcPr>
          <w:p>
            <w:r>
              <w:rPr>
                <w:b/>
              </w:rPr>
              <w:t>Pénétr.</w:t>
            </w:r>
          </w:p>
        </w:tc>
        <w:tc>
          <w:tcPr>
            <w:tcW w:type="auto" w:w="0"/>
          </w:tcPr>
          <w:p>
            <w:r>
              <w:rPr>
                <w:b/>
              </w:rPr>
              <w:t>Matur.</w:t>
            </w:r>
          </w:p>
        </w:tc>
        <w:tc>
          <w:tcPr>
            <w:tcW w:type="auto" w:w="0"/>
          </w:tcPr>
          <w:p>
            <w:r>
              <w:rPr>
                <w:b/>
              </w:rPr>
              <w:t>Confiance</w:t>
            </w:r>
          </w:p>
        </w:tc>
        <w:tc>
          <w:tcPr>
            <w:tcW w:type="auto" w:w="0"/>
          </w:tcPr>
          <w:p>
            <w:r>
              <w:rPr>
                <w:b/>
              </w:rPr>
              <w:t>Menace</w:t>
            </w:r>
          </w:p>
        </w:tc>
        <w:tc>
          <w:tcPr>
            <w:tcW w:type="auto" w:w="0"/>
          </w:tcPr>
          <w:p>
            <w:r>
              <w:rPr>
                <w:b/>
              </w:rPr>
              <w:t>Exposition</w:t>
            </w:r>
          </w:p>
        </w:tc>
      </w:tr>
      <w:tr>
        <w:tc>
          <w:tcPr>
            <w:tcW w:type="auto" w:w="0"/>
          </w:tcPr>
          <w:p>
            <w:r>
              <w:t>{#pp_eval}{nom}</w:t>
            </w:r>
          </w:p>
        </w:tc>
        <w:tc>
          <w:tcPr>
            <w:tcW w:type="auto" w:w="0"/>
          </w:tcPr>
          <w:p>
            <w:r>
              <w:t>{dependance}</w:t>
            </w:r>
          </w:p>
        </w:tc>
        <w:tc>
          <w:tcPr>
            <w:tcW w:type="auto" w:w="0"/>
          </w:tcPr>
          <w:p>
            <w:r>
              <w:t>{penetration}</w:t>
            </w:r>
          </w:p>
        </w:tc>
        <w:tc>
          <w:tcPr>
            <w:tcW w:type="auto" w:w="0"/>
          </w:tcPr>
          <w:p>
            <w:r>
              <w:t>{maturite}</w:t>
            </w:r>
          </w:p>
        </w:tc>
        <w:tc>
          <w:tcPr>
            <w:tcW w:type="auto" w:w="0"/>
          </w:tcPr>
          <w:p>
            <w:r>
              <w:t>{confiance}</w:t>
            </w:r>
          </w:p>
        </w:tc>
        <w:tc>
          <w:tcPr>
            <w:tcW w:type="auto" w:w="0"/>
          </w:tcPr>
          <w:p>
            <w:r>
              <w:t>{menace}</w:t>
            </w:r>
          </w:p>
        </w:tc>
        <w:tc>
          <w:tcPr>
            <w:tcW w:type="auto" w:w="0"/>
          </w:tcPr>
          <w:p>
            <w:r>
              <w:t>{exposition}{/pp_eval}</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Évaluation de la menace portée par les parties prenantes</w:t>
      </w:r>
    </w:p>
    <w:p>
      <w:pPr>
        <w:sectPr>
          <w:footerReference w:type="default" r:id="rId15"/>
          <w:pgSz w:w="12240" w:h="15840"/>
          <w:pgMar w:top="1440" w:right="1800" w:bottom="1440" w:left="1800" w:header="720" w:footer="720" w:gutter="0"/>
          <w:cols w:space="720"/>
          <w:docGrid w:linePitch="360"/>
        </w:sectPr>
      </w:pPr>
    </w:p>
    <w:p>
      <w:pPr>
        <w:pStyle w:val="Heading2"/>
      </w:pPr>
      <w:r>
        <w:t>Cartographie de la menace de l'écosystème</w:t>
      </w:r>
    </w:p>
    <w:p>
      <w:r>
        <w:t>Représentation de la menace portée par les parties prenantes, avant puis après application des mesures sur l'écosystème.</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6120"/>
        <w:gridCol w:w="6120"/>
      </w:tblGrid>
      <w:tr>
        <w:tc>
          <w:tcPr>
            <w:tcW w:type="dxa" w:w="6120"/>
            <w:shd w:val="clear" w:fill="F4F7FA"/>
            <w:vAlign w:val="center"/>
            <w:tcW w:w="540" w:type="dxa"/>
          </w:tcPr>
          <w:p>
            <w:pPr>
              <w:jc w:val="center"/>
            </w:pPr>
            <w:r>
              <w:rPr>
                <w:sz w:val="32"/>
              </w:rPr>
              <w:t>💡</w:t>
            </w:r>
          </w:p>
        </w:tc>
        <w:tc>
          <w:tcPr>
            <w:tcW w:type="dxa" w:w="6120"/>
            <w:shd w:val="clear" w:fill="F4F7FA"/>
            <w:vAlign w:val="center"/>
          </w:tcPr>
          <w:p>
            <w:r>
              <w:rPr>
                <w:b/>
                <w:color w:val="1E3A5F"/>
                <w:sz w:val="19"/>
              </w:rPr>
              <w:t xml:space="preserve">Comment lire la cartographie : </w:t>
            </w:r>
            <w:r>
              <w:rPr>
                <w:sz w:val="19"/>
              </w:rPr>
              <w:t>chaque partie prenante est un cercle positionné par rapport au centre : plus elle est proche du centre, plus la menace qu'elle représente est élevée. La couleur traduit sa fiabilité (maturité × confiance), du rouge (faible) au vert (élevée) ; la taille du cercle reflète son exposition (dépendance × pénétration). Les zones concentriques distinguent la zone de veille (extérieure), de contrôle, puis de danger (centrale).</w:t>
            </w:r>
          </w:p>
        </w:tc>
      </w:tr>
    </w:tbl>
    <w:p>
      <w:pPr>
        <w:jc w:val="center"/>
      </w:pPr>
      <w:r>
        <w:t>@@IMG:pp_map_initial@@</w:t>
      </w:r>
    </w:p>
    <w:p>
      <w:pPr>
        <w:jc w:val="center"/>
      </w:pPr>
      <w:r>
        <w:rPr>
          <w:b/>
          <w:color w:val="556070"/>
          <w:sz w:val="17"/>
        </w:rPr>
        <w:t xml:space="preserve">Figure </w:t>
      </w:r>
      <w:r>
        <w:rPr>
          <w:b/>
          <w:color w:val="556070"/>
          <w:sz w:val="17"/>
        </w:rPr>
        <w:fldChar w:fldCharType="begin"/>
      </w:r>
      <w:r>
        <w:rPr>
          <w:b/>
          <w:color w:val="556070"/>
          <w:sz w:val="17"/>
        </w:rPr>
        <w:instrText xml:space="preserve"> SEQ Figure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Cartographie de la menace de l'écosystème — avant traitement</w:t>
      </w:r>
    </w:p>
    <w:p>
      <w:pPr>
        <w:jc w:val="center"/>
      </w:pPr>
      <w:r>
        <w:t>@@IMG:pp_map_residual@@</w:t>
      </w:r>
    </w:p>
    <w:p>
      <w:pPr>
        <w:jc w:val="center"/>
      </w:pPr>
      <w:r>
        <w:rPr>
          <w:b/>
          <w:color w:val="556070"/>
          <w:sz w:val="17"/>
        </w:rPr>
        <w:t xml:space="preserve">Figure </w:t>
      </w:r>
      <w:r>
        <w:rPr>
          <w:b/>
          <w:color w:val="556070"/>
          <w:sz w:val="17"/>
        </w:rPr>
        <w:fldChar w:fldCharType="begin"/>
      </w:r>
      <w:r>
        <w:rPr>
          <w:b/>
          <w:color w:val="556070"/>
          <w:sz w:val="17"/>
        </w:rPr>
        <w:instrText xml:space="preserve"> SEQ Figure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Cartographie de la menace de l'écosystème — après traitement</w:t>
      </w:r>
    </w:p>
    <w:p>
      <w:pPr>
        <w:pStyle w:val="Heading2"/>
      </w:pPr>
      <w:r>
        <w:t>Scénarios stratégiques identifiés</w:t>
      </w:r>
    </w:p>
    <w:p>
      <w:r>
        <w:t>{ss_count} scénario(s) stratégique(s) ont été identifiés à l'issue de cet atelier ; ils sont décrits dans le tableau suivant.</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Réf.</w:t>
            </w:r>
          </w:p>
        </w:tc>
        <w:tc>
          <w:tcPr>
            <w:tcW w:type="auto" w:w="0"/>
          </w:tcPr>
          <w:p>
            <w:r>
              <w:rPr>
                <w:b/>
              </w:rPr>
              <w:t>Scénario stratégique</w:t>
            </w:r>
          </w:p>
        </w:tc>
        <w:tc>
          <w:tcPr>
            <w:tcW w:type="auto" w:w="0"/>
          </w:tcPr>
          <w:p>
            <w:r>
              <w:rPr>
                <w:b/>
              </w:rPr>
              <w:t>Partie prenante</w:t>
            </w:r>
          </w:p>
        </w:tc>
        <w:tc>
          <w:tcPr>
            <w:tcW w:type="auto" w:w="0"/>
          </w:tcPr>
          <w:p>
            <w:r>
              <w:rPr>
                <w:b/>
              </w:rPr>
              <w:t>Bien support</w:t>
            </w:r>
          </w:p>
        </w:tc>
        <w:tc>
          <w:tcPr>
            <w:tcW w:type="auto" w:w="0"/>
          </w:tcPr>
          <w:p>
            <w:r>
              <w:rPr>
                <w:b/>
              </w:rPr>
              <w:t>Événement redouté</w:t>
            </w:r>
          </w:p>
        </w:tc>
      </w:tr>
      <w:tr>
        <w:tc>
          <w:tcPr>
            <w:tcW w:type="auto" w:w="0"/>
          </w:tcPr>
          <w:p>
            <w:r>
              <w:t>{#ss}{id}</w:t>
            </w:r>
          </w:p>
        </w:tc>
        <w:tc>
          <w:tcPr>
            <w:tcW w:type="auto" w:w="0"/>
          </w:tcPr>
          <w:p>
            <w:r>
              <w:t>{scenario}</w:t>
            </w:r>
          </w:p>
        </w:tc>
        <w:tc>
          <w:tcPr>
            <w:tcW w:type="auto" w:w="0"/>
          </w:tcPr>
          <w:p>
            <w:r>
              <w:t>{pp}</w:t>
            </w:r>
          </w:p>
        </w:tc>
        <w:tc>
          <w:tcPr>
            <w:tcW w:type="auto" w:w="0"/>
          </w:tcPr>
          <w:p>
            <w:r>
              <w:t>{bs}</w:t>
            </w:r>
          </w:p>
        </w:tc>
        <w:tc>
          <w:tcPr>
            <w:tcW w:type="auto" w:w="0"/>
          </w:tcPr>
          <w:p>
            <w:r>
              <w:t>{er}{/ss}</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Scénarios stratégiques identifiés</w:t>
      </w:r>
    </w:p>
    <w:p>
      <w:pPr>
        <w:sectPr>
          <w:footerReference w:type="default" r:id="rId16"/>
          <w:pgSz w:w="15840" w:h="12240" w:orient="landscape"/>
          <w:pgMar w:top="1440" w:right="1800" w:bottom="1440" w:left="1800" w:header="720" w:footer="720" w:gutter="0"/>
          <w:cols w:space="720"/>
          <w:docGrid w:linePitch="360"/>
        </w:sectPr>
      </w:pPr>
    </w:p>
    <w:p>
      <w:pPr>
        <w:pStyle w:val="Heading1"/>
      </w:pPr>
      <w:r>
        <w:t>Scénarios opérationnels</w:t>
      </w:r>
    </w:p>
    <w:p>
      <w:r>
        <w:t>L'objectif de cette phase de l'analyse est de détailler techniquement chaque scénario stratégique en une séquence d'actions élémentaires (chemin d'attaque). Dans le contexte de cette étude, les actions ne sont pas regroupées selon les quatre phases génériques d'EBIOS RM (connaître, rentrer, trouver, exploiter) mais selon les phases de la kill chain du référentiel MITRE ATT&amp;CK (reconnaissance, accès initial, exécution, persistance, élévation de privilèges, mouvement latéral, exfiltration / impact), plus représentatives des modes opératoires observés.</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Taux de faiblesse : </w:t>
            </w:r>
            <w:r>
              <w:rPr>
                <w:sz w:val="19"/>
              </w:rPr>
              <w:t>pour chaque scénario opérationnel, on évalue un taux de faiblesse. Pour chaque phase du chemin d'attaque, on apprécie l'efficacité des mesures déjà en place (Absent, Partiel, Efficace), qui réduit la probabilité que la phase aboutisse. Le taux de faiblesse du scénario agrège ces efficacités selon la formule : taux = max(0 ; 2 × n(Absent) + n(Partiel) − 2 × n(Efficace)) / (2 × n(phases)). Un taux proche de 1 traduit un chemin d'attaque peu entravé par les mesures existantes.</w:t>
            </w:r>
          </w:p>
        </w:tc>
      </w:tr>
    </w:tbl>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Vraisemblance : </w:t>
            </w:r>
            <w:r>
              <w:rPr>
                <w:sz w:val="19"/>
              </w:rPr>
              <w:t>le taux de faiblesse est converti en vraisemblance opérationnelle (V op) : V op = 4 si le taux ≥ 0,7 ; 3 si ≥ 0,4 ; 2 si ≥ 0,2 ; 1 sinon. La vraisemblance porte sur le scénario stratégique : elle est égale au maximum des vraisemblances opérationnelles des scénarios opérationnels qui le composent.</w:t>
            </w:r>
          </w:p>
        </w:tc>
      </w:tr>
    </w:tbl>
    <w:p>
      <w:pPr>
        <w:sectPr>
          <w:footerReference w:type="default" r:id="rId17"/>
          <w:pgSz w:w="12240" w:h="15840"/>
          <w:pgMar w:top="1440" w:right="1800" w:bottom="1440" w:left="1800" w:header="720" w:footer="720" w:gutter="0"/>
          <w:cols w:space="720"/>
          <w:docGrid w:linePitch="360"/>
        </w:sectPr>
      </w:pPr>
    </w:p>
    <w:p>
      <w:r>
        <w:t>{#ss_groups}</w:t>
      </w:r>
    </w:p>
    <w:p>
      <w:pPr>
        <w:pStyle w:val="Heading2"/>
      </w:pPr>
      <w:r>
        <w:t>{ss_label}</w:t>
      </w:r>
    </w:p>
    <w:p>
      <w:r>
        <w:t>{ss_intro_pre}</w:t>
      </w:r>
    </w:p>
    <w:p>
      <w:r>
        <w:t>{#er_multi}</w:t>
      </w:r>
    </w:p>
    <w:p>
      <w:r>
        <w:t>Il pourrait aboutir aux événements redoutés suivants :</w:t>
      </w:r>
    </w:p>
    <w:p>
      <w:pPr>
        <w:pStyle w:val="ListBullet"/>
      </w:pPr>
      <w:r>
        <w:t>{#er_list}{er}{/er_list}</w:t>
      </w:r>
    </w:p>
    <w:p>
      <w:r>
        <w:t>{/er_multi}</w:t>
      </w:r>
    </w:p>
    <w:p>
      <w:r>
        <w:t>{#er_single}</w:t>
      </w:r>
    </w:p>
    <w:p>
      <w:r>
        <w:t>Il pourrait aboutir à l'événement redouté suivant : {er_one}.</w:t>
      </w:r>
    </w:p>
    <w:p>
      <w:r>
        <w:t>{/er_single}</w:t>
      </w:r>
    </w:p>
    <w:p>
      <w:r>
        <w:t>{ss_intro_post}</w:t>
      </w:r>
    </w:p>
    <w:p>
      <w:r>
        <w:t>{#sops}</w:t>
      </w:r>
    </w:p>
    <w:p>
      <w:pPr>
        <w:pStyle w:val="Heading3"/>
      </w:pPr>
      <w:r>
        <w:t>Scénario opérationnel {sop_label}</w:t>
      </w:r>
    </w:p>
    <w:p>
      <w:r>
        <w:t>{taux_phrase}</w:t>
      </w:r>
    </w:p>
    <w:tbl>
      <w:tblPr>
        <w:tblStyle w:val="LightGrid-Accent1"/>
        <w:tblW w:type="auto" w:w="0"/>
        <w:tblLayout w:type="autofit"/>
        <w:tblLook w:firstColumn="1" w:firstRow="1" w:lastColumn="0" w:lastRow="0" w:noHBand="0" w:noVBand="1" w:val="04A0"/>
      </w:tblPr>
      <w:tblGrid>
        <w:gridCol w:w="3060"/>
        <w:gridCol w:w="3060"/>
        <w:gridCol w:w="3060"/>
        <w:gridCol w:w="3060"/>
      </w:tblGrid>
      <w:tr>
        <w:tc>
          <w:tcPr>
            <w:tcW w:type="auto" w:w="0"/>
          </w:tcPr>
          <w:p>
            <w:r>
              <w:rPr>
                <w:b/>
              </w:rPr>
              <w:t>Phase</w:t>
            </w:r>
          </w:p>
        </w:tc>
        <w:tc>
          <w:tcPr>
            <w:tcW w:type="auto" w:w="0"/>
          </w:tcPr>
          <w:p>
            <w:r>
              <w:rPr>
                <w:b/>
              </w:rPr>
              <w:t>Action élémentaire</w:t>
            </w:r>
          </w:p>
        </w:tc>
        <w:tc>
          <w:tcPr>
            <w:tcW w:type="auto" w:w="0"/>
          </w:tcPr>
          <w:p>
            <w:r>
              <w:rPr>
                <w:b/>
              </w:rPr>
              <w:t>Contrôle / mesure</w:t>
            </w:r>
          </w:p>
        </w:tc>
        <w:tc>
          <w:tcPr>
            <w:tcW w:type="auto" w:w="0"/>
          </w:tcPr>
          <w:p>
            <w:r>
              <w:rPr>
                <w:b/>
              </w:rPr>
              <w:t>Efficacité</w:t>
            </w:r>
          </w:p>
        </w:tc>
      </w:tr>
      <w:tr>
        <w:tc>
          <w:tcPr>
            <w:tcW w:type="auto" w:w="0"/>
          </w:tcPr>
          <w:p>
            <w:r>
              <w:t>{#steps}{phase}</w:t>
            </w:r>
          </w:p>
        </w:tc>
        <w:tc>
          <w:tcPr>
            <w:tcW w:type="auto" w:w="0"/>
          </w:tcPr>
          <w:p>
            <w:r>
              <w:t>{action}</w:t>
            </w:r>
          </w:p>
        </w:tc>
        <w:tc>
          <w:tcPr>
            <w:tcW w:type="auto" w:w="0"/>
          </w:tcPr>
          <w:p>
            <w:r>
              <w:t>{controle}</w:t>
            </w:r>
          </w:p>
        </w:tc>
        <w:tc>
          <w:tcPr>
            <w:tcW w:type="auto" w:w="0"/>
          </w:tcPr>
          <w:p>
            <w:r>
              <w:t>{efficacite}{/steps}</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Chemin d'attaque du scénario opérationnel {sop_label}</w:t>
      </w:r>
    </w:p>
    <w:p>
      <w:r>
        <w:t>{/sops}</w:t>
      </w:r>
    </w:p>
    <w:p>
      <w:r>
        <w:t>{/ss_groups}</w:t>
      </w:r>
    </w:p>
    <w:p>
      <w:pPr>
        <w:sectPr>
          <w:footerReference w:type="default" r:id="rId18"/>
          <w:pgSz w:w="15840" w:h="12240" w:orient="landscape"/>
          <w:pgMar w:top="1440" w:right="1800" w:bottom="1440" w:left="1800" w:header="720" w:footer="720" w:gutter="0"/>
          <w:cols w:space="720"/>
          <w:docGrid w:linePitch="360"/>
        </w:sectPr>
      </w:pPr>
    </w:p>
    <w:p>
      <w:pPr>
        <w:pStyle w:val="Heading1"/>
      </w:pPr>
      <w:r>
        <w:t>Traitement du risque</w:t>
      </w:r>
    </w:p>
    <w:p>
      <w:r>
        <w:t>L'objectif de cette phase de l'analyse est de synthétiser les risques (gravité × vraisemblance), de définir le plan d'amélioration continue de la sécurité (PACS) puis de réapprécier les risques résiduels après mise en œuvre des mesures, en vue de leur acceptation par la direction.</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Niveau de risque : </w:t>
            </w:r>
            <w:r>
              <w:rPr>
                <w:sz w:val="19"/>
              </w:rPr>
              <w:t xml:space="preserve">le niveau de chaque risque résulte du croisement de la gravité de l'événement redouté et de la vraisemblance du scénario, selon la matrice d'acceptabilité détaillée en </w:t>
            </w:r>
            <w:hyperlink w:anchor="annexe_risque">
              <w:r>
                <w:rPr>
                  <w:color w:val="1E3A5F"/>
                  <w:u w:val="single"/>
                </w:rPr>
                <w:t>Annexe B — Niveaux de risque</w:t>
              </w:r>
            </w:hyperlink>
            <w:r>
              <w:rPr>
                <w:sz w:val="19"/>
              </w:rPr>
              <w:t>.</w:t>
            </w:r>
          </w:p>
        </w:tc>
      </w:tr>
    </w:tbl>
    <w:p>
      <w:pPr>
        <w:pStyle w:val="Heading2"/>
      </w:pPr>
      <w:r>
        <w:t>Cartographie des risques</w:t>
      </w:r>
    </w:p>
    <w:p>
      <w:r>
        <w:t>Positionnement des risques (gravité × vraisemblance) avant et après traitement.</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Comment lire la matrice : </w:t>
            </w:r>
            <w:r>
              <w:rPr>
                <w:sz w:val="19"/>
              </w:rPr>
              <w:t>chaque risque est positionné selon la gravité de son événement redouté (axe vertical) et la vraisemblance de son scénario (axe horizontal). La couleur de la case indique le niveau de risque résultant — faible, moyen ou élevé — selon la matrice d'acceptabilité retenue (Annexe B). Plus un risque se situe vers le haut et la droite, plus il est critique et prioritaire à traiter.</w:t>
            </w:r>
          </w:p>
        </w:tc>
      </w:tr>
    </w:tbl>
    <w:p>
      <w:pPr>
        <w:jc w:val="center"/>
      </w:pPr>
      <w:r>
        <w:t>@@IMG:risk_map_initial@@</w:t>
      </w:r>
    </w:p>
    <w:p>
      <w:pPr>
        <w:jc w:val="center"/>
      </w:pPr>
      <w:r>
        <w:rPr>
          <w:b/>
          <w:color w:val="556070"/>
          <w:sz w:val="17"/>
        </w:rPr>
        <w:t xml:space="preserve">Figure </w:t>
      </w:r>
      <w:r>
        <w:rPr>
          <w:b/>
          <w:color w:val="556070"/>
          <w:sz w:val="17"/>
        </w:rPr>
        <w:fldChar w:fldCharType="begin"/>
      </w:r>
      <w:r>
        <w:rPr>
          <w:b/>
          <w:color w:val="556070"/>
          <w:sz w:val="17"/>
        </w:rPr>
        <w:instrText xml:space="preserve"> SEQ Figure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Cartographie des risques — avant traitement</w:t>
      </w:r>
    </w:p>
    <w:p>
      <w:pPr>
        <w:jc w:val="center"/>
      </w:pPr>
      <w:r>
        <w:t>@@IMG:risk_map_residual@@</w:t>
      </w:r>
    </w:p>
    <w:p>
      <w:pPr>
        <w:jc w:val="center"/>
      </w:pPr>
      <w:r>
        <w:rPr>
          <w:b/>
          <w:color w:val="556070"/>
          <w:sz w:val="17"/>
        </w:rPr>
        <w:t xml:space="preserve">Figure </w:t>
      </w:r>
      <w:r>
        <w:rPr>
          <w:b/>
          <w:color w:val="556070"/>
          <w:sz w:val="17"/>
        </w:rPr>
        <w:fldChar w:fldCharType="begin"/>
      </w:r>
      <w:r>
        <w:rPr>
          <w:b/>
          <w:color w:val="556070"/>
          <w:sz w:val="17"/>
        </w:rPr>
        <w:instrText xml:space="preserve"> SEQ Figure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Cartographie des risques — après traitement</w:t>
      </w:r>
    </w:p>
    <w:p>
      <w:pPr>
        <w:pStyle w:val="Heading2"/>
      </w:pPr>
      <w:r>
        <w:t>Risques initiaux</w:t>
      </w:r>
    </w:p>
    <w:p>
      <w:r>
        <w:t>La cartographie initiale des risques (avant traitement) se répartit comme suit :</w:t>
      </w:r>
    </w:p>
    <w:p>
      <w:pPr>
        <w:pStyle w:val="ListBullet"/>
      </w:pPr>
      <w:r>
        <w:t>{dist_init_eleve} risque(s) de niveau élevé</w:t>
      </w:r>
    </w:p>
    <w:p>
      <w:pPr>
        <w:pStyle w:val="ListBullet"/>
      </w:pPr>
      <w:r>
        <w:t>{dist_init_moyen} risque(s) de niveau moyen</w:t>
      </w:r>
    </w:p>
    <w:p>
      <w:pPr>
        <w:pStyle w:val="ListBullet"/>
      </w:pPr>
      <w:r>
        <w:t>{dist_init_faible} risque(s) de niveau faible</w:t>
      </w:r>
    </w:p>
    <w:p>
      <w:pPr>
        <w:sectPr>
          <w:footerReference w:type="default" r:id="rId19"/>
          <w:pgSz w:w="12240" w:h="15840"/>
          <w:pgMar w:top="1440" w:right="1800" w:bottom="1440" w:left="1800" w:header="720" w:footer="720" w:gutter="0"/>
          <w:cols w:space="720"/>
          <w:docGrid w:linePitch="360"/>
        </w:sectPr>
      </w:pP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Réf.</w:t>
            </w:r>
          </w:p>
        </w:tc>
        <w:tc>
          <w:tcPr>
            <w:tcW w:type="auto" w:w="0"/>
          </w:tcPr>
          <w:p>
            <w:r>
              <w:rPr>
                <w:b/>
              </w:rPr>
              <w:t>Scénario</w:t>
            </w:r>
          </w:p>
        </w:tc>
        <w:tc>
          <w:tcPr>
            <w:tcW w:type="auto" w:w="0"/>
          </w:tcPr>
          <w:p>
            <w:r>
              <w:rPr>
                <w:b/>
              </w:rPr>
              <w:t>Gravité</w:t>
            </w:r>
          </w:p>
        </w:tc>
        <w:tc>
          <w:tcPr>
            <w:tcW w:type="auto" w:w="0"/>
          </w:tcPr>
          <w:p>
            <w:r>
              <w:rPr>
                <w:b/>
              </w:rPr>
              <w:t>Vraisemblance</w:t>
            </w:r>
          </w:p>
        </w:tc>
        <w:tc>
          <w:tcPr>
            <w:tcW w:type="auto" w:w="0"/>
          </w:tcPr>
          <w:p>
            <w:r>
              <w:rPr>
                <w:b/>
              </w:rPr>
              <w:t>Niveau initial</w:t>
            </w:r>
          </w:p>
        </w:tc>
      </w:tr>
      <w:tr>
        <w:tc>
          <w:tcPr>
            <w:tcW w:type="auto" w:w="0"/>
          </w:tcPr>
          <w:p>
            <w:r>
              <w:t>{#risks_init}{id}</w:t>
            </w:r>
          </w:p>
        </w:tc>
        <w:tc>
          <w:tcPr>
            <w:tcW w:type="auto" w:w="0"/>
          </w:tcPr>
          <w:p>
            <w:r>
              <w:t>{scenario}</w:t>
            </w:r>
          </w:p>
        </w:tc>
        <w:tc>
          <w:tcPr>
            <w:tcW w:type="auto" w:w="0"/>
          </w:tcPr>
          <w:p>
            <w:r>
              <w:t>{gravite}</w:t>
            </w:r>
          </w:p>
        </w:tc>
        <w:tc>
          <w:tcPr>
            <w:tcW w:type="auto" w:w="0"/>
          </w:tcPr>
          <w:p>
            <w:r>
              <w:t>{vInit}</w:t>
            </w:r>
          </w:p>
        </w:tc>
        <w:tc>
          <w:tcPr>
            <w:tcW w:type="auto" w:w="0"/>
          </w:tcPr>
          <w:p>
            <w:r>
              <w:t>{riskInit}{/risks_init}</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Risques initiaux (avant traitement)</w:t>
      </w:r>
    </w:p>
    <w:p>
      <w:pPr>
        <w:pStyle w:val="Heading2"/>
      </w:pPr>
      <w:r>
        <w:t>Plan de traitement (PACS)</w:t>
      </w:r>
    </w:p>
    <w:p>
      <w:r>
        <w:t>Le PACS regroupe les actions proposées pour réduire les risques.</w:t>
      </w:r>
    </w:p>
    <w:tbl>
      <w:tblPr>
        <w:tblStyle w:val="LightGrid-Accent1"/>
        <w:tblW w:type="auto" w:w="0"/>
        <w:tblLayout w:type="autofit"/>
        <w:tblLook w:firstColumn="1" w:firstRow="1" w:lastColumn="0" w:lastRow="0" w:noHBand="0" w:noVBand="1" w:val="04A0"/>
      </w:tblPr>
      <w:tblGrid>
        <w:gridCol w:w="1749"/>
        <w:gridCol w:w="1749"/>
        <w:gridCol w:w="1749"/>
        <w:gridCol w:w="1749"/>
        <w:gridCol w:w="1749"/>
        <w:gridCol w:w="1749"/>
        <w:gridCol w:w="1749"/>
      </w:tblGrid>
      <w:tr>
        <w:tc>
          <w:tcPr>
            <w:tcW w:type="auto" w:w="0"/>
          </w:tcPr>
          <w:p>
            <w:r>
              <w:rPr>
                <w:b/>
              </w:rPr>
              <w:t>N°</w:t>
            </w:r>
          </w:p>
        </w:tc>
        <w:tc>
          <w:tcPr>
            <w:tcW w:type="auto" w:w="0"/>
          </w:tcPr>
          <w:p>
            <w:r>
              <w:rPr>
                <w:b/>
              </w:rPr>
              <w:t>Mesure</w:t>
            </w:r>
          </w:p>
        </w:tc>
        <w:tc>
          <w:tcPr>
            <w:tcW w:type="auto" w:w="0"/>
          </w:tcPr>
          <w:p>
            <w:r>
              <w:rPr>
                <w:b/>
              </w:rPr>
              <w:t>Origine</w:t>
            </w:r>
          </w:p>
        </w:tc>
        <w:tc>
          <w:tcPr>
            <w:tcW w:type="auto" w:w="0"/>
          </w:tcPr>
          <w:p>
            <w:r>
              <w:rPr>
                <w:b/>
              </w:rPr>
              <w:t>Coût</w:t>
            </w:r>
          </w:p>
        </w:tc>
        <w:tc>
          <w:tcPr>
            <w:tcW w:type="auto" w:w="0"/>
          </w:tcPr>
          <w:p>
            <w:r>
              <w:rPr>
                <w:b/>
              </w:rPr>
              <w:t>Responsable</w:t>
            </w:r>
          </w:p>
        </w:tc>
        <w:tc>
          <w:tcPr>
            <w:tcW w:type="auto" w:w="0"/>
          </w:tcPr>
          <w:p>
            <w:r>
              <w:rPr>
                <w:b/>
              </w:rPr>
              <w:t>Échéance</w:t>
            </w:r>
          </w:p>
        </w:tc>
        <w:tc>
          <w:tcPr>
            <w:tcW w:type="auto" w:w="0"/>
          </w:tcPr>
          <w:p>
            <w:r>
              <w:rPr>
                <w:b/>
              </w:rPr>
              <w:t>Statut</w:t>
            </w:r>
          </w:p>
        </w:tc>
      </w:tr>
      <w:tr>
        <w:tc>
          <w:tcPr>
            <w:tcW w:type="auto" w:w="0"/>
          </w:tcPr>
          <w:p>
            <w:r>
              <w:t>{#measures}{id}</w:t>
            </w:r>
          </w:p>
        </w:tc>
        <w:tc>
          <w:tcPr>
            <w:tcW w:type="auto" w:w="0"/>
          </w:tcPr>
          <w:p>
            <w:r>
              <w:t>{mesure}</w:t>
            </w:r>
          </w:p>
        </w:tc>
        <w:tc>
          <w:tcPr>
            <w:tcW w:type="auto" w:w="0"/>
          </w:tcPr>
          <w:p>
            <w:r>
              <w:t>{origine}</w:t>
            </w:r>
          </w:p>
        </w:tc>
        <w:tc>
          <w:tcPr>
            <w:tcW w:type="auto" w:w="0"/>
          </w:tcPr>
          <w:p>
            <w:r>
              <w:t>{cout}</w:t>
            </w:r>
          </w:p>
        </w:tc>
        <w:tc>
          <w:tcPr>
            <w:tcW w:type="auto" w:w="0"/>
          </w:tcPr>
          <w:p>
            <w:r>
              <w:t>{responsable}</w:t>
            </w:r>
          </w:p>
        </w:tc>
        <w:tc>
          <w:tcPr>
            <w:tcW w:type="auto" w:w="0"/>
          </w:tcPr>
          <w:p>
            <w:r>
              <w:t>{echeance}</w:t>
            </w:r>
          </w:p>
        </w:tc>
        <w:tc>
          <w:tcPr>
            <w:tcW w:type="auto" w:w="0"/>
          </w:tcPr>
          <w:p>
            <w:r>
              <w:t>{statut}{/measures}</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Plan d'amélioration continue de la sécurité (actions en cours et à venir)</w:t>
      </w:r>
    </w:p>
    <w:p>
      <w:pPr>
        <w:sectPr>
          <w:footerReference w:type="default" r:id="rId20"/>
          <w:pgSz w:w="15840" w:h="12240" w:orient="landscape"/>
          <w:pgMar w:top="1440" w:right="1800" w:bottom="1440" w:left="1800" w:header="720" w:footer="720" w:gutter="0"/>
          <w:cols w:space="720"/>
          <w:docGrid w:linePitch="360"/>
        </w:sectPr>
      </w:pPr>
    </w:p>
    <w:p>
      <w:pPr>
        <w:pStyle w:val="Heading2"/>
      </w:pPr>
      <w:r>
        <w:t>Risques résiduels</w:t>
      </w:r>
    </w:p>
    <w:p>
      <w:r>
        <w:t>Après mise en œuvre du plan de traitement, les risques résiduels se répartissent comme suit :</w:t>
      </w:r>
    </w:p>
    <w:p>
      <w:pPr>
        <w:pStyle w:val="ListBullet"/>
      </w:pPr>
      <w:r>
        <w:t>{dist_eleve} risque(s) de niveau élevé</w:t>
      </w:r>
    </w:p>
    <w:p>
      <w:pPr>
        <w:pStyle w:val="ListBullet"/>
      </w:pPr>
      <w:r>
        <w:t>{dist_moyen} risque(s) de niveau moyen</w:t>
      </w:r>
    </w:p>
    <w:p>
      <w:pPr>
        <w:pStyle w:val="ListBullet"/>
      </w:pPr>
      <w:r>
        <w:t>{dist_faible} risque(s) de niveau faible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auto" w:w="0"/>
          </w:tcPr>
          <w:p>
            <w:r>
              <w:rPr>
                <w:b/>
              </w:rPr>
              <w:t>Réf.</w:t>
            </w:r>
          </w:p>
        </w:tc>
        <w:tc>
          <w:tcPr>
            <w:tcW w:type="auto" w:w="0"/>
          </w:tcPr>
          <w:p>
            <w:r>
              <w:rPr>
                <w:b/>
              </w:rPr>
              <w:t>Scénario</w:t>
            </w:r>
          </w:p>
        </w:tc>
        <w:tc>
          <w:tcPr>
            <w:tcW w:type="auto" w:w="0"/>
          </w:tcPr>
          <w:p>
            <w:r>
              <w:rPr>
                <w:b/>
              </w:rPr>
              <w:t>Évolution (initial → résiduel)</w:t>
            </w:r>
          </w:p>
        </w:tc>
      </w:tr>
      <w:tr>
        <w:tc>
          <w:tcPr>
            <w:tcW w:type="auto" w:w="0"/>
          </w:tcPr>
          <w:p>
            <w:r>
              <w:t>{#risks_resid}{id}</w:t>
            </w:r>
          </w:p>
        </w:tc>
        <w:tc>
          <w:tcPr>
            <w:tcW w:type="auto" w:w="0"/>
          </w:tcPr>
          <w:p>
            <w:r>
              <w:t>{scenario}</w:t>
            </w:r>
          </w:p>
        </w:tc>
        <w:tc>
          <w:tcPr>
            <w:tcW w:type="auto" w:w="0"/>
          </w:tcPr>
          <w:p>
            <w:r>
              <w:t>{reduction}{/risks_resid}</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Risques résiduels et effet du traitement</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Acceptation du risque résiduel : </w:t>
            </w:r>
            <w:r>
              <w:rPr>
                <w:sz w:val="19"/>
              </w:rPr>
              <w:t>le risque résiduel est le niveau de risque qui subsiste une fois les mesures de traitement mises en œuvre ; il ne peut jamais être totalement nul. La direction doit statuer explicitement sur son acceptation, arbitrer les risques jugés encore trop élevés et tracer cette décision, qui engage sa responsabilité.</w:t>
            </w:r>
          </w:p>
        </w:tc>
      </w:tr>
    </w:tbl>
    <w:p>
      <w:pPr>
        <w:sectPr>
          <w:footerReference w:type="default" r:id="rId21"/>
          <w:pgSz w:w="12240" w:h="15840"/>
          <w:pgMar w:top="1440" w:right="1800" w:bottom="1440" w:left="1800" w:header="720" w:footer="720" w:gutter="0"/>
          <w:cols w:space="720"/>
          <w:docGrid w:linePitch="360"/>
        </w:sectPr>
      </w:pPr>
    </w:p>
    <w:p>
      <w:pPr>
        <w:pStyle w:val="Heading1"/>
        <w:numPr>
          <w:ilvl w:val="0"/>
          <w:numId w:val="0"/>
        </w:numPr>
      </w:pPr>
      <w:r>
        <w:t>Annexes</w:t>
      </w:r>
    </w:p>
    <w:p>
      <w:bookmarkStart w:id="1" w:name="annexe_gravite"/>
      <w:pPr>
        <w:pStyle w:val="Heading2"/>
        <w:numPr>
          <w:ilvl w:val="0"/>
          <w:numId w:val="0"/>
        </w:numPr>
      </w:pPr>
      <w:r>
        <w:t>Annexe A — Échelle de gravité</w:t>
      </w:r>
      <w:bookmarkEnd w:id="1"/>
    </w:p>
    <w:p>
      <w:r>
        <w:t>Échelle de gravité retenue pour cette étude, adaptée au contexte de l'organisation ; chaque événement redouté y est positionné (cf. Événements redoutés).</w:t>
      </w:r>
    </w:p>
    <w:tbl>
      <w:tblPr>
        <w:tblStyle w:val="LightGrid-Accent1"/>
        <w:tblW w:type="auto" w:w="0"/>
        <w:tblLayout w:type="autofit"/>
        <w:tblLook w:firstColumn="1" w:firstRow="1" w:lastColumn="0" w:lastRow="0" w:noHBand="0" w:noVBand="1" w:val="04A0"/>
      </w:tblPr>
      <w:tblGrid>
        <w:gridCol w:w="1530"/>
        <w:gridCol w:w="1530"/>
        <w:gridCol w:w="1530"/>
        <w:gridCol w:w="1530"/>
        <w:gridCol w:w="1530"/>
        <w:gridCol w:w="1530"/>
        <w:gridCol w:w="1530"/>
        <w:gridCol w:w="1530"/>
      </w:tblGrid>
      <w:tr>
        <w:tc>
          <w:tcPr>
            <w:tcW w:type="auto" w:w="0"/>
          </w:tcPr>
          <w:p>
            <w:r>
              <w:rPr>
                <w:b/>
              </w:rPr>
              <w:t>Niveau</w:t>
            </w:r>
          </w:p>
        </w:tc>
        <w:tc>
          <w:tcPr>
            <w:tcW w:type="auto" w:w="0"/>
          </w:tcPr>
          <w:p>
            <w:r>
              <w:rPr>
                <w:b/>
              </w:rPr>
              <w:t>Libellé</w:t>
            </w:r>
          </w:p>
        </w:tc>
        <w:tc>
          <w:tcPr>
            <w:tcW w:type="auto" w:w="0"/>
          </w:tcPr>
          <w:p>
            <w:r>
              <w:rPr>
                <w:b/>
              </w:rPr>
              <w:t>Description</w:t>
            </w:r>
          </w:p>
        </w:tc>
        <w:tc>
          <w:tcPr>
            <w:tcW w:type="auto" w:w="0"/>
          </w:tcPr>
          <w:p>
            <w:r>
              <w:rPr>
                <w:b/>
              </w:rPr>
              <w:t>Impact financier</w:t>
            </w:r>
          </w:p>
        </w:tc>
        <w:tc>
          <w:tcPr>
            <w:tcW w:type="auto" w:w="0"/>
          </w:tcPr>
          <w:p>
            <w:r>
              <w:rPr>
                <w:b/>
              </w:rPr>
              <w:t>Impact réputation</w:t>
            </w:r>
          </w:p>
        </w:tc>
        <w:tc>
          <w:tcPr>
            <w:tcW w:type="auto" w:w="0"/>
          </w:tcPr>
          <w:p>
            <w:r>
              <w:rPr>
                <w:b/>
              </w:rPr>
              <w:t>Impact réglementaire</w:t>
            </w:r>
          </w:p>
        </w:tc>
        <w:tc>
          <w:tcPr>
            <w:tcW w:type="auto" w:w="0"/>
          </w:tcPr>
          <w:p>
            <w:r>
              <w:rPr>
                <w:b/>
              </w:rPr>
              <w:t>Impact données perso.</w:t>
            </w:r>
          </w:p>
        </w:tc>
        <w:tc>
          <w:tcPr>
            <w:tcW w:type="auto" w:w="0"/>
          </w:tcPr>
          <w:p>
            <w:r>
              <w:rPr>
                <w:b/>
              </w:rPr>
              <w:t>Impact opérationnel</w:t>
            </w:r>
          </w:p>
        </w:tc>
      </w:tr>
      <w:tr>
        <w:tc>
          <w:tcPr>
            <w:tcW w:type="auto" w:w="0"/>
          </w:tcPr>
          <w:p>
            <w:r>
              <w:t>{#gravity_scale}{niveau}</w:t>
            </w:r>
          </w:p>
        </w:tc>
        <w:tc>
          <w:tcPr>
            <w:tcW w:type="auto" w:w="0"/>
          </w:tcPr>
          <w:p>
            <w:r>
              <w:t>{label}</w:t>
            </w:r>
          </w:p>
        </w:tc>
        <w:tc>
          <w:tcPr>
            <w:tcW w:type="auto" w:w="0"/>
          </w:tcPr>
          <w:p>
            <w:r>
              <w:t>{description}</w:t>
            </w:r>
          </w:p>
        </w:tc>
        <w:tc>
          <w:tcPr>
            <w:tcW w:type="auto" w:w="0"/>
          </w:tcPr>
          <w:p>
            <w:r>
              <w:t>{impact_financier}</w:t>
            </w:r>
          </w:p>
        </w:tc>
        <w:tc>
          <w:tcPr>
            <w:tcW w:type="auto" w:w="0"/>
          </w:tcPr>
          <w:p>
            <w:r>
              <w:t>{impact_reputation}</w:t>
            </w:r>
          </w:p>
        </w:tc>
        <w:tc>
          <w:tcPr>
            <w:tcW w:type="auto" w:w="0"/>
          </w:tcPr>
          <w:p>
            <w:r>
              <w:t>{impact_reglementaire}</w:t>
            </w:r>
          </w:p>
        </w:tc>
        <w:tc>
          <w:tcPr>
            <w:tcW w:type="auto" w:w="0"/>
          </w:tcPr>
          <w:p>
            <w:r>
              <w:t>{impact_donnees_perso}</w:t>
            </w:r>
          </w:p>
        </w:tc>
        <w:tc>
          <w:tcPr>
            <w:tcW w:type="auto" w:w="0"/>
          </w:tcPr>
          <w:p>
            <w:r>
              <w:t>{impact_operationnel}{/gravity_scale}</w:t>
            </w:r>
          </w:p>
        </w:tc>
      </w:tr>
    </w:tbl>
    <w:p>
      <w:pPr>
        <w:jc w:val="center"/>
      </w:pPr>
      <w:r>
        <w:rPr>
          <w:b/>
          <w:color w:val="556070"/>
          <w:sz w:val="17"/>
        </w:rPr>
        <w:t xml:space="preserve">Tableau </w:t>
      </w:r>
      <w:r>
        <w:rPr>
          <w:b/>
          <w:color w:val="556070"/>
          <w:sz w:val="17"/>
        </w:rPr>
        <w:fldChar w:fldCharType="begin"/>
      </w:r>
      <w:r>
        <w:rPr>
          <w:b/>
          <w:color w:val="556070"/>
          <w:sz w:val="17"/>
        </w:rPr>
        <w:instrText xml:space="preserve"> SEQ Tableau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Échelle de gravité et critères d'impact</w:t>
      </w:r>
    </w:p>
    <w:p>
      <w:pPr>
        <w:sectPr>
          <w:footerReference w:type="default" r:id="rId22"/>
          <w:pgSz w:w="15840" w:h="12240" w:orient="landscape"/>
          <w:pgMar w:top="1440" w:right="1800" w:bottom="1440" w:left="1800" w:header="720" w:footer="720" w:gutter="0"/>
          <w:cols w:space="720"/>
          <w:docGrid w:linePitch="360"/>
        </w:sectPr>
      </w:pPr>
    </w:p>
    <w:p>
      <w:bookmarkStart w:id="2" w:name="annexe_risque"/>
      <w:pPr>
        <w:pStyle w:val="Heading2"/>
        <w:numPr>
          <w:ilvl w:val="0"/>
          <w:numId w:val="0"/>
        </w:numPr>
      </w:pPr>
      <w:r>
        <w:t>Annexe B — Niveaux de risque (gravité × vraisemblance)</w:t>
      </w:r>
      <w:bookmarkEnd w:id="2"/>
    </w:p>
    <w:p>
      <w:r>
        <w:t>Matrice d'acceptabilité du risque paramétrée dans l'étude : à chaque couple (gravité, vraisemblance) correspond un niveau de risque.</w:t>
      </w:r>
    </w:p>
    <w:p>
      <w:pPr>
        <w:jc w:val="center"/>
      </w:pPr>
      <w:r>
        <w:t>@@IMG:risk_matrix_ref@@</w:t>
      </w:r>
    </w:p>
    <w:p>
      <w:pPr>
        <w:jc w:val="center"/>
      </w:pPr>
      <w:r>
        <w:rPr>
          <w:b/>
          <w:color w:val="556070"/>
          <w:sz w:val="17"/>
        </w:rPr>
        <w:t xml:space="preserve">Figure </w:t>
      </w:r>
      <w:r>
        <w:rPr>
          <w:b/>
          <w:color w:val="556070"/>
          <w:sz w:val="17"/>
        </w:rPr>
        <w:fldChar w:fldCharType="begin"/>
      </w:r>
      <w:r>
        <w:rPr>
          <w:b/>
          <w:color w:val="556070"/>
          <w:sz w:val="17"/>
        </w:rPr>
        <w:instrText xml:space="preserve"> SEQ Figure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Matrice d'acceptabilité du risque (gravité × vraisemblance)</w:t>
      </w:r>
    </w:p>
    <w:sectPr w:rsidR="00FC693F" w:rsidRPr="0006063C" w:rsidSect="00034616">
      <w:footerReference w:type="default" r:id="rId2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Rapport d'analyse des risques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50">
    <w:multiLevelType w:val="multilevel"/>
    <w:lvl w:ilvl="0">
      <w:start w:val="1"/>
      <w:numFmt w:val="decimal"/>
      <w:lvlText w:val="%1."/>
      <w:lvlJc w:val="left"/>
      <w:pPr>
        <w:ind w:left="0" w:hanging="0"/>
      </w:pPr>
    </w:lvl>
    <w:lvl w:ilvl="1">
      <w:start w:val="1"/>
      <w:numFmt w:val="decimal"/>
      <w:lvlText w:val="%1.%2"/>
      <w:lvlJc w:val="left"/>
      <w:pPr>
        <w:ind w:left="0" w:hanging="0"/>
      </w:pPr>
    </w:lvl>
    <w:lvl w:ilvl="2">
      <w:start w:val="1"/>
      <w:numFmt w:val="decimal"/>
      <w:lvlText w:val="%1.%2.%3"/>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numPr>
        <w:ilvl w:val="0"/>
        <w:numId w:val="50"/>
      </w:numPr>
    </w:pPr>
    <w:rPr>
      <w:rFonts w:asciiTheme="majorHAnsi" w:eastAsiaTheme="majorEastAsia" w:hAnsiTheme="majorHAnsi" w:cstheme="majorBid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numPr>
        <w:ilvl w:val="1"/>
        <w:numId w:val="50"/>
      </w:numPr>
    </w:pPr>
    <w:rPr>
      <w:rFonts w:asciiTheme="majorHAnsi" w:eastAsiaTheme="majorEastAsia" w:hAnsiTheme="majorHAnsi" w:cstheme="majorBid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numPr>
        <w:ilvl w:val="2"/>
        <w:numId w:val="50"/>
      </w:numPr>
    </w:pPr>
    <w:rPr>
      <w:rFonts w:asciiTheme="majorHAnsi" w:eastAsiaTheme="majorEastAsia" w:hAnsiTheme="majorHAnsi" w:cstheme="majorBidi"/>
      <w:b/>
      <w:bCs/>
      <w:color w:val="1E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