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Risk Analysis Report</w:t>
      </w:r>
    </w:p>
    <w:p>
      <w:pPr>
        <w:jc w:val="center"/>
      </w:pPr>
      <w:r>
        <w:rPr>
          <w:color w:val="556070"/>
          <w:sz w:val="26"/>
        </w:rPr>
        <w:t>EBIOS Risk Manager method (ANSSI)</w:t>
      </w:r>
    </w:p>
    <w:p/>
    <w:p/>
    <w:p/>
    <w:p>
      <w:pPr>
        <w:jc w:val="center"/>
      </w:pPr>
      <w:r>
        <w:rPr>
          <w:b/>
          <w:color w:val="1E3A5F"/>
          <w:sz w:val="32"/>
        </w:rPr>
        <w:t>{contexte_societe}</w:t>
      </w:r>
    </w:p>
    <w:p>
      <w:pPr>
        <w:jc w:val="center"/>
      </w:pPr>
      <w:r>
        <w:rPr>
          <w:sz w:val="24"/>
        </w:rPr>
        <w:t>Scope of the study: {contexte_objet}</w:t>
      </w:r>
    </w:p>
    <w:tbl>
      <w:tblPr>
        <w:tblW w:type="auto" w:w="0"/>
        <w:tblLook w:firstColumn="1" w:firstRow="1" w:lastColumn="0" w:lastRow="0" w:noHBand="0" w:noVBand="1" w:val="04A0"/>
        <w:tblpPr w:vertAnchor="margin" w:horzAnchor="margin" w:tblpXSpec="center" w:tblpYSpec="bottom"/>
        <w:tblW w:w="3800" w:type="pct"/>
        <w:tblBorders>
          <w:top w:val="single" w:sz="4" w:space="0" w:color="C7D2DD"/>
          <w:left w:val="single" w:sz="4" w:space="0" w:color="C7D2DD"/>
          <w:bottom w:val="single" w:sz="4" w:space="0" w:color="C7D2DD"/>
          <w:right w:val="single" w:sz="4" w:space="0" w:color="C7D2DD"/>
          <w:insideH w:val="single" w:sz="4" w:space="0" w:color="C7D2DD"/>
          <w:insideV w:val="single" w:sz="4" w:space="0" w:color="C7D2DD"/>
        </w:tblBorders>
      </w:tblPr>
      <w:tblGrid>
        <w:gridCol w:w="4320"/>
        <w:gridCol w:w="4320"/>
      </w:tblGrid>
      <w:tr>
        <w:tc>
          <w:tcPr>
            <w:tcW w:type="dxa" w:w="4320"/>
            <w:shd w:val="clear" w:fill="EEF2F7"/>
            <w:tcW w:w="1700" w:type="dxa"/>
          </w:tcPr>
          <w:p>
            <w:r>
              <w:rPr>
                <w:b/>
                <w:color w:val="1E3A5F"/>
                <w:sz w:val="19"/>
              </w:rPr>
              <w:t>Author</w:t>
            </w:r>
          </w:p>
        </w:tc>
        <w:tc>
          <w:tcPr>
            <w:tcW w:type="dxa" w:w="4320"/>
          </w:tcPr>
          <w:p>
            <w:r>
              <w:rPr>
                <w:b w:val="0"/>
                <w:sz w:val="19"/>
              </w:rPr>
              <w:t>{cart_redacteur}</w:t>
            </w:r>
          </w:p>
        </w:tc>
      </w:tr>
      <w:tr>
        <w:tc>
          <w:tcPr>
            <w:tcW w:type="dxa" w:w="4320"/>
            <w:shd w:val="clear" w:fill="EEF2F7"/>
            <w:tcW w:w="1700" w:type="dxa"/>
          </w:tcPr>
          <w:p>
            <w:r>
              <w:rPr>
                <w:b/>
                <w:color w:val="1E3A5F"/>
                <w:sz w:val="19"/>
              </w:rPr>
              <w:t>Contributors</w:t>
            </w:r>
          </w:p>
        </w:tc>
        <w:tc>
          <w:tcPr>
            <w:tcW w:type="dxa" w:w="4320"/>
          </w:tcPr>
          <w:p>
            <w:r>
              <w:rPr>
                <w:b w:val="0"/>
                <w:sz w:val="19"/>
              </w:rPr>
              <w:t>{cart_contributeurs}</w:t>
            </w:r>
          </w:p>
        </w:tc>
      </w:tr>
      <w:tr>
        <w:tc>
          <w:tcPr>
            <w:tcW w:type="dxa" w:w="4320"/>
            <w:shd w:val="clear" w:fill="EEF2F7"/>
            <w:tcW w:w="1700" w:type="dxa"/>
          </w:tcPr>
          <w:p>
            <w:r>
              <w:rPr>
                <w:b/>
                <w:color w:val="1E3A5F"/>
                <w:sz w:val="19"/>
              </w:rPr>
              <w:t>Version</w:t>
            </w:r>
          </w:p>
        </w:tc>
        <w:tc>
          <w:tcPr>
            <w:tcW w:type="dxa" w:w="4320"/>
          </w:tcPr>
          <w:p>
            <w:r>
              <w:rPr>
                <w:b w:val="0"/>
                <w:sz w:val="19"/>
              </w:rPr>
              <w:t>{cart_version}</w:t>
            </w:r>
          </w:p>
        </w:tc>
      </w:tr>
      <w:tr>
        <w:tc>
          <w:tcPr>
            <w:tcW w:type="dxa" w:w="4320"/>
            <w:shd w:val="clear" w:fill="EEF2F7"/>
            <w:tcW w:w="1700" w:type="dxa"/>
          </w:tcPr>
          <w:p>
            <w:r>
              <w:rPr>
                <w:b/>
                <w:color w:val="1E3A5F"/>
                <w:sz w:val="19"/>
              </w:rPr>
              <w:t>Date</w:t>
            </w:r>
          </w:p>
        </w:tc>
        <w:tc>
          <w:tcPr>
            <w:tcW w:type="dxa" w:w="4320"/>
          </w:tcPr>
          <w:p>
            <w:r>
              <w:rPr>
                <w:b w:val="0"/>
                <w:sz w:val="19"/>
              </w:rPr>
              <w:t>{cart_date}</w:t>
            </w:r>
          </w:p>
        </w:tc>
      </w:tr>
      <w:tr>
        <w:tc>
          <w:tcPr>
            <w:tcW w:type="dxa" w:w="4320"/>
            <w:shd w:val="clear" w:fill="EEF2F7"/>
            <w:tcW w:w="1700" w:type="dxa"/>
          </w:tcPr>
          <w:p>
            <w:r>
              <w:rPr>
                <w:b/>
                <w:color w:val="1E3A5F"/>
                <w:sz w:val="19"/>
              </w:rPr>
              <w:t>Classification</w:t>
            </w:r>
          </w:p>
        </w:tc>
        <w:tc>
          <w:tcPr>
            <w:tcW w:type="dxa" w:w="4320"/>
          </w:tcPr>
          <w:p>
            <w:r>
              <w:rPr>
                <w:b/>
                <w:sz w:val="19"/>
              </w:rPr>
              <w:t>{cart_classification}</w:t>
            </w:r>
          </w:p>
        </w:tc>
      </w:tr>
      <w:tr>
        <w:tc>
          <w:tcPr>
            <w:tcW w:type="dxa" w:w="8640"/>
            <w:gridSpan w:val="2"/>
            <w:shd w:val="clear" w:fill="1E3A5F"/>
          </w:tcPr>
          <w:p>
            <w:r>
              <w:rPr>
                <w:b/>
                <w:color w:val="FFFFFF"/>
                <w:sz w:val="19"/>
              </w:rPr>
              <w:t>Approval</w:t>
            </w:r>
          </w:p>
        </w:tc>
      </w:tr>
      <w:tr>
        <w:tc>
          <w:tcPr>
            <w:tcW w:type="dxa" w:w="4320"/>
            <w:shd w:val="clear" w:fill="EEF2F7"/>
            <w:tcW w:w="1700" w:type="dxa"/>
          </w:tcPr>
          <w:p>
            <w:r>
              <w:rPr>
                <w:b/>
                <w:color w:val="1E3A5F"/>
                <w:sz w:val="19"/>
              </w:rPr>
              <w:t>Date</w:t>
            </w:r>
          </w:p>
        </w:tc>
        <w:tc>
          <w:tcPr>
            <w:tcW w:type="dxa" w:w="4320"/>
          </w:tcPr>
          <w:p>
            <w:r>
              <w:rPr>
                <w:b w:val="0"/>
                <w:sz w:val="19"/>
              </w:rPr>
            </w:r>
          </w:p>
        </w:tc>
      </w:tr>
      <w:tr>
        <w:tc>
          <w:tcPr>
            <w:tcW w:type="dxa" w:w="4320"/>
            <w:shd w:val="clear" w:fill="EEF2F7"/>
            <w:tcW w:w="1700" w:type="dxa"/>
          </w:tcPr>
          <w:p>
            <w:r>
              <w:rPr>
                <w:b/>
                <w:color w:val="1E3A5F"/>
                <w:sz w:val="19"/>
              </w:rPr>
              <w:t>Name / signature</w:t>
            </w:r>
          </w:p>
        </w:tc>
        <w:tc>
          <w:tcPr>
            <w:tcW w:type="dxa" w:w="4320"/>
          </w:tcPr>
          <w:p>
            <w:r>
              <w:rPr>
                <w:b w:val="0"/>
                <w:sz w:val="19"/>
              </w:rPr>
            </w:r>
          </w:p>
          <w:p/>
          <w:p/>
        </w:tc>
      </w:tr>
    </w:tbl>
    <w:p>
      <w:r>
        <w:br w:type="page"/>
      </w:r>
    </w:p>
    <w:p>
      <w:pPr>
        <w:pStyle w:val="Heading1"/>
        <w:numPr>
          <w:ilvl w:val="0"/>
          <w:numId w:val="0"/>
        </w:numPr>
      </w:pPr>
      <w:r>
        <w:t>Table of contents</w:t>
      </w:r>
    </w:p>
    <w:p>
      <w:r>
        <w:fldChar w:fldCharType="begin" w:dirty="true"/>
      </w:r>
      <w:r>
        <w:instrText xml:space="preserve"> TOC \o "1-3" \h \z \u </w:instrText>
      </w:r>
      <w:r>
        <w:fldChar w:fldCharType="separate"/>
      </w:r>
      <w:r>
        <w:t>The table of contents will be generated on opening (right-click → Update field).</w:t>
      </w:r>
      <w:r>
        <w:fldChar w:fldCharType="end"/>
      </w:r>
    </w:p>
    <w:p>
      <w:r>
        <w:br w:type="page"/>
      </w:r>
    </w:p>
    <w:p>
      <w:pPr>
        <w:pStyle w:val="Heading1"/>
        <w:numPr>
          <w:ilvl w:val="0"/>
          <w:numId w:val="0"/>
        </w:numPr>
      </w:pPr>
      <w:r>
        <w:t>Executive summary</w:t>
      </w:r>
    </w:p>
    <w:p>
      <w:r>
        <w:t>This risk analysis covers {contexte_objet} of {contexte_societe}. It applies ANSSI's EBIOS Risk Manager method, structured in five workshops:</w:t>
      </w:r>
    </w:p>
    <w:p>
      <w:pPr>
        <w:pStyle w:val="ListBullet"/>
      </w:pPr>
      <w:r>
        <w:t>Workshop 1 — scope and security baseline</w:t>
      </w:r>
    </w:p>
    <w:p>
      <w:pPr>
        <w:pStyle w:val="ListBullet"/>
      </w:pPr>
      <w:r>
        <w:t>Workshop 2 — identification of risk origins and target objectives</w:t>
      </w:r>
    </w:p>
    <w:p>
      <w:pPr>
        <w:pStyle w:val="ListBullet"/>
      </w:pPr>
      <w:r>
        <w:t>Workshop 3 — building strategic scenarios</w:t>
      </w:r>
    </w:p>
    <w:p>
      <w:pPr>
        <w:pStyle w:val="ListBullet"/>
      </w:pPr>
      <w:r>
        <w:t>Workshop 4 — developing operational scenarios</w:t>
      </w:r>
    </w:p>
    <w:p>
      <w:pPr>
        <w:pStyle w:val="ListBullet"/>
      </w:pPr>
      <w:r>
        <w:t>Workshop 5 — risk treatment and acceptance</w:t>
      </w:r>
    </w:p>
    <w:p>
      <w:r>
        <w:t>Its purpose is to inform management decisions on the risks to address as a priority.</w:t>
      </w:r>
    </w:p>
    <w:p>
      <w:r>
        <w:t>At the end of the study, the residual risk map shows:</w:t>
      </w:r>
    </w:p>
    <w:p>
      <w:pPr>
        <w:pStyle w:val="ListBullet"/>
      </w:pPr>
      <w:r>
        <w:t>{dist_eleve} high-level risk(s)</w:t>
      </w:r>
    </w:p>
    <w:p>
      <w:pPr>
        <w:pStyle w:val="ListBullet"/>
      </w:pPr>
      <w:r>
        <w:t>{dist_moyen} medium-level risk(s)</w:t>
      </w:r>
    </w:p>
    <w:p>
      <w:pPr>
        <w:pStyle w:val="ListBullet"/>
      </w:pPr>
      <w:r>
        <w:t>{dist_faible} low-level risk(s)</w:t>
      </w:r>
    </w:p>
    <w:p>
      <w:r>
        <w:t>The security baseline coverage is assessed at {socle_avg} %. {mes_todo} measure(s) remain to be implemented under the PACS (Security Continuous Improvement Plan).</w:t>
      </w:r>
    </w:p>
    <w:p>
      <w:r>
        <w:t>Management's overall assessment and selected priorities: ……………………………………………………………………………………</w:t>
      </w:r>
    </w:p>
    <w:p>
      <w:r>
        <w:t>Residual risk acceptance decision: ……………………………………………………………………………………</w:t>
      </w:r>
    </w:p>
    <w:p>
      <w:r>
        <w:br w:type="page"/>
      </w:r>
    </w:p>
    <w:p>
      <w:pPr>
        <w:pStyle w:val="Heading1"/>
      </w:pPr>
      <w:r>
        <w:t>Scope and security baseline</w:t>
      </w:r>
    </w:p>
    <w:p>
      <w:r>
        <w:t>The purpose of this phase of the analysis is to define the business and technical scope of the study: list the business values (essential missions, processes and information), link them to their supporting assets (the IS components that carry them), characterise the feared events and assess their severity, then establish the security baseline.</w:t>
      </w:r>
    </w:p>
    <w:p>
      <w:r>
        <w:t>Establishing the security baseline means measuring the gaps of the information system against the chosen security framework — either ANSSI's 42 cyber-hygiene measures or the ISO/IEC 27001 standard. This baseline is the expected minimum security level: the EBIOS Risk Manager analysis is meant to be conducted in a context where it is already sufficiently covered, the study then focusing on the residual risks that remain beyond this baseline.</w:t>
      </w:r>
    </w:p>
    <w:p>
      <w:pPr>
        <w:pStyle w:val="Heading2"/>
      </w:pPr>
      <w:r>
        <w:t>Context and objectives of the study</w:t>
      </w:r>
    </w:p>
    <w:p>
      <w:r>
        <w:t>Subject of the study: {contexte_objet}</w:t>
      </w:r>
    </w:p>
    <w:p>
      <w:r>
        <w:t>Applicable regulations and frameworks: {contexte_reglementation}</w:t>
      </w:r>
    </w:p>
    <w:p>
      <w:r>
        <w:t>Selected security baseline: {contexte_socle}</w:t>
      </w:r>
    </w:p>
    <w:p>
      <w:r>
        <w:t>Additional context (issues, constraints, assumptions): ……………………………………………………………</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Business value and supporting asset : </w:t>
            </w:r>
            <w:r>
              <w:rPr>
                <w:sz w:val="19"/>
              </w:rPr>
              <w:t>a business value is what the organisation must protect — an essential mission, process or piece of information; a supporting asset is the concrete IS component that carries it (server, application, network, premises, staff…). A single business value may rely on several supporting assets, and it is generally the supporting asset that is the technical target of an attack.</w:t>
            </w:r>
          </w:p>
        </w:tc>
      </w:tr>
    </w:tbl>
    <w:p>
      <w:pPr>
        <w:sectPr>
          <w:footerReference w:type="default" r:id="rId9"/>
          <w:footerReference w:type="first" r:id="rId24"/>
          <w:pgSz w:w="12240" w:h="15840"/>
          <w:pgMar w:top="1440" w:right="1800" w:bottom="1440" w:left="1800" w:header="720" w:footer="720" w:gutter="0"/>
          <w:cols w:space="720"/>
          <w:titlePg/>
          <w:docGrid w:linePitch="360"/>
        </w:sectPr>
      </w:pPr>
    </w:p>
    <w:p>
      <w:pPr>
        <w:pStyle w:val="Heading2"/>
      </w:pPr>
      <w:r>
        <w:t>Business values</w:t>
      </w:r>
    </w:p>
    <w:p>
      <w:r>
        <w:t>A business value is essential information or a process for the organisation, which must be protected; it is assigned to a business owner.</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Abbr.</w:t>
            </w:r>
          </w:p>
        </w:tc>
        <w:tc>
          <w:tcPr>
            <w:tcW w:type="auto" w:w="0"/>
          </w:tcPr>
          <w:p>
            <w:r>
              <w:rPr>
                <w:b/>
              </w:rPr>
              <w:t>Name</w:t>
            </w:r>
          </w:p>
        </w:tc>
        <w:tc>
          <w:tcPr>
            <w:tcW w:type="auto" w:w="0"/>
          </w:tcPr>
          <w:p>
            <w:r>
              <w:rPr>
                <w:b/>
              </w:rPr>
              <w:t>Nature</w:t>
            </w:r>
          </w:p>
        </w:tc>
        <w:tc>
          <w:tcPr>
            <w:tcW w:type="auto" w:w="0"/>
          </w:tcPr>
          <w:p>
            <w:r>
              <w:rPr>
                <w:b/>
              </w:rPr>
              <w:t>Description</w:t>
            </w:r>
          </w:p>
        </w:tc>
        <w:tc>
          <w:tcPr>
            <w:tcW w:type="auto" w:w="0"/>
          </w:tcPr>
          <w:p>
            <w:r>
              <w:rPr>
                <w:b/>
              </w:rPr>
              <w:t>Owner</w:t>
            </w:r>
          </w:p>
        </w:tc>
      </w:tr>
      <w:tr>
        <w:tc>
          <w:tcPr>
            <w:tcW w:type="auto" w:w="0"/>
          </w:tcPr>
          <w:p>
            <w:r>
              <w:t>{#vm}{id}</w:t>
            </w:r>
          </w:p>
        </w:tc>
        <w:tc>
          <w:tcPr>
            <w:tcW w:type="auto" w:w="0"/>
          </w:tcPr>
          <w:p>
            <w:r>
              <w:t>{nom}</w:t>
            </w:r>
          </w:p>
        </w:tc>
        <w:tc>
          <w:tcPr>
            <w:tcW w:type="auto" w:w="0"/>
          </w:tcPr>
          <w:p>
            <w:r>
              <w:t>{nature}</w:t>
            </w:r>
          </w:p>
        </w:tc>
        <w:tc>
          <w:tcPr>
            <w:tcW w:type="auto" w:w="0"/>
          </w:tcPr>
          <w:p>
            <w:r>
              <w:t>{description}</w:t>
            </w:r>
          </w:p>
        </w:tc>
        <w:tc>
          <w:tcPr>
            <w:tcW w:type="auto" w:w="0"/>
          </w:tcPr>
          <w:p>
            <w:r>
              <w:t>{responsable}{/vm}</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Business values of the study</w:t>
      </w:r>
    </w:p>
    <w:p>
      <w:pPr>
        <w:sectPr>
          <w:footerReference w:type="default" r:id="rId10"/>
          <w:pgSz w:w="15840" w:h="12240" w:orient="landscape"/>
          <w:pgMar w:top="1440" w:right="1800" w:bottom="1440" w:left="1800" w:header="720" w:footer="720" w:gutter="0"/>
          <w:cols w:space="720"/>
          <w:docGrid w:linePitch="360"/>
        </w:sectPr>
      </w:pPr>
    </w:p>
    <w:p>
      <w:pPr>
        <w:pStyle w:val="Heading2"/>
      </w:pPr>
      <w:r>
        <w:t>Supporting assets</w:t>
      </w:r>
    </w:p>
    <w:p>
      <w:r>
        <w:t>A supporting asset is an IS component (server, application, network, premises, staff…) on which one or more business values rely.</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auto" w:w="0"/>
          </w:tcPr>
          <w:p>
            <w:r>
              <w:rPr>
                <w:b/>
              </w:rPr>
              <w:t>Abbr.</w:t>
            </w:r>
          </w:p>
        </w:tc>
        <w:tc>
          <w:tcPr>
            <w:tcW w:type="auto" w:w="0"/>
          </w:tcPr>
          <w:p>
            <w:r>
              <w:rPr>
                <w:b/>
              </w:rPr>
              <w:t>Name</w:t>
            </w:r>
          </w:p>
        </w:tc>
        <w:tc>
          <w:tcPr>
            <w:tcW w:type="auto" w:w="0"/>
          </w:tcPr>
          <w:p>
            <w:r>
              <w:rPr>
                <w:b/>
              </w:rPr>
              <w:t>Type</w:t>
            </w:r>
          </w:p>
        </w:tc>
        <w:tc>
          <w:tcPr>
            <w:tcW w:type="auto" w:w="0"/>
          </w:tcPr>
          <w:p>
            <w:r>
              <w:rPr>
                <w:b/>
              </w:rPr>
              <w:t>Business value</w:t>
            </w:r>
          </w:p>
        </w:tc>
        <w:tc>
          <w:tcPr>
            <w:tcW w:type="auto" w:w="0"/>
          </w:tcPr>
          <w:p>
            <w:r>
              <w:rPr>
                <w:b/>
              </w:rPr>
              <w:t>Location</w:t>
            </w:r>
          </w:p>
        </w:tc>
        <w:tc>
          <w:tcPr>
            <w:tcW w:type="auto" w:w="0"/>
          </w:tcPr>
          <w:p>
            <w:r>
              <w:rPr>
                <w:b/>
              </w:rPr>
              <w:t>Owner</w:t>
            </w:r>
          </w:p>
        </w:tc>
      </w:tr>
      <w:tr>
        <w:tc>
          <w:tcPr>
            <w:tcW w:type="auto" w:w="0"/>
          </w:tcPr>
          <w:p>
            <w:r>
              <w:t>{#bs}{id}</w:t>
            </w:r>
          </w:p>
        </w:tc>
        <w:tc>
          <w:tcPr>
            <w:tcW w:type="auto" w:w="0"/>
          </w:tcPr>
          <w:p>
            <w:r>
              <w:t>{nom}</w:t>
            </w:r>
          </w:p>
        </w:tc>
        <w:tc>
          <w:tcPr>
            <w:tcW w:type="auto" w:w="0"/>
          </w:tcPr>
          <w:p>
            <w:r>
              <w:t>{type}</w:t>
            </w:r>
          </w:p>
        </w:tc>
        <w:tc>
          <w:tcPr>
            <w:tcW w:type="auto" w:w="0"/>
          </w:tcPr>
          <w:p>
            <w:r>
              <w:t>{vm}</w:t>
            </w:r>
          </w:p>
        </w:tc>
        <w:tc>
          <w:tcPr>
            <w:tcW w:type="auto" w:w="0"/>
          </w:tcPr>
          <w:p>
            <w:r>
              <w:t>{localisation}</w:t>
            </w:r>
          </w:p>
        </w:tc>
        <w:tc>
          <w:tcPr>
            <w:tcW w:type="auto" w:w="0"/>
          </w:tcPr>
          <w:p>
            <w:r>
              <w:t>{proprietaire}{/bs}</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Supporting assets linked to business values</w:t>
      </w:r>
    </w:p>
    <w:p>
      <w:pPr>
        <w:sectPr>
          <w:footerReference w:type="default" r:id="rId11"/>
          <w:pgSz w:w="12240" w:h="15840"/>
          <w:pgMar w:top="1440" w:right="1800" w:bottom="1440" w:left="1800" w:header="720" w:footer="720" w:gutter="0"/>
          <w:cols w:space="720"/>
          <w:docGrid w:linePitch="360"/>
        </w:sectPr>
      </w:pPr>
    </w:p>
    <w:p>
      <w:pPr>
        <w:pStyle w:val="Heading2"/>
      </w:pPr>
      <w:r>
        <w:t>Feared events</w:t>
      </w:r>
    </w:p>
    <w:p>
      <w:r>
        <w:t>A feared event is an attack on a business value (availability, integrity, confidentiality, traceability) and the resulting impacts (missions, people, financial, legal, image). The severity retained for each feared event is the maximum of the levels reached across the various criteria of the severity scale (financial, reputation, regulatory, personal data, operational).</w:t>
      </w:r>
    </w:p>
    <w:p>
      <w:r>
        <w:t xml:space="preserve">The severity scale used is detailed in </w:t>
      </w:r>
      <w:hyperlink w:anchor="annexe_gravite">
        <w:r>
          <w:rPr>
            <w:color w:val="1E3A5F"/>
            <w:u w:val="single"/>
          </w:rPr>
          <w:t>Appendix A — Severity scale</w:t>
        </w:r>
      </w:hyperlink>
      <w:r>
        <w:t>.</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Abbr.</w:t>
            </w:r>
          </w:p>
        </w:tc>
        <w:tc>
          <w:tcPr>
            <w:tcW w:type="auto" w:w="0"/>
          </w:tcPr>
          <w:p>
            <w:r>
              <w:rPr>
                <w:b/>
              </w:rPr>
              <w:t>Business value</w:t>
            </w:r>
          </w:p>
        </w:tc>
        <w:tc>
          <w:tcPr>
            <w:tcW w:type="auto" w:w="0"/>
          </w:tcPr>
          <w:p>
            <w:r>
              <w:rPr>
                <w:b/>
              </w:rPr>
              <w:t>Feared event</w:t>
            </w:r>
          </w:p>
        </w:tc>
        <w:tc>
          <w:tcPr>
            <w:tcW w:type="auto" w:w="0"/>
          </w:tcPr>
          <w:p>
            <w:r>
              <w:rPr>
                <w:b/>
              </w:rPr>
              <w:t>Impacts</w:t>
            </w:r>
          </w:p>
        </w:tc>
        <w:tc>
          <w:tcPr>
            <w:tcW w:type="auto" w:w="0"/>
          </w:tcPr>
          <w:p>
            <w:r>
              <w:rPr>
                <w:b/>
              </w:rPr>
              <w:t>Severity</w:t>
            </w:r>
          </w:p>
        </w:tc>
      </w:tr>
      <w:tr>
        <w:tc>
          <w:tcPr>
            <w:tcW w:type="auto" w:w="0"/>
          </w:tcPr>
          <w:p>
            <w:r>
              <w:t>{#er}{id}</w:t>
            </w:r>
          </w:p>
        </w:tc>
        <w:tc>
          <w:tcPr>
            <w:tcW w:type="auto" w:w="0"/>
          </w:tcPr>
          <w:p>
            <w:r>
              <w:t>{vm}</w:t>
            </w:r>
          </w:p>
        </w:tc>
        <w:tc>
          <w:tcPr>
            <w:tcW w:type="auto" w:w="0"/>
          </w:tcPr>
          <w:p>
            <w:r>
              <w:t>{evenement}</w:t>
            </w:r>
          </w:p>
        </w:tc>
        <w:tc>
          <w:tcPr>
            <w:tcW w:type="auto" w:w="0"/>
          </w:tcPr>
          <w:p>
            <w:r>
              <w:t>{impacts}</w:t>
            </w:r>
          </w:p>
        </w:tc>
        <w:tc>
          <w:tcPr>
            <w:tcW w:type="auto" w:w="0"/>
          </w:tcPr>
          <w:p>
            <w:r>
              <w:t>{gravite}{/er}</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Feared events and severity levels</w:t>
      </w:r>
    </w:p>
    <w:p>
      <w:pPr>
        <w:pStyle w:val="Heading2"/>
      </w:pPr>
      <w:r>
        <w:t>Security baseline</w:t>
      </w:r>
    </w:p>
    <w:p>
      <w:r>
        <w:t>The security baseline groups the requirements of the applicable frameworks and their state of application. The overall coverage rate is the average of the compliance rates (in %) of the assessed requirements.</w:t>
      </w:r>
    </w:p>
    <w:p>
      <w:r>
        <w:t>Overall baseline coverage assessed in this study: {socle_avg} %.</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Req. ref.</w:t>
            </w:r>
          </w:p>
        </w:tc>
        <w:tc>
          <w:tcPr>
            <w:tcW w:type="auto" w:w="0"/>
          </w:tcPr>
          <w:p>
            <w:r>
              <w:rPr>
                <w:b/>
              </w:rPr>
              <w:t>Theme</w:t>
            </w:r>
          </w:p>
        </w:tc>
        <w:tc>
          <w:tcPr>
            <w:tcW w:type="auto" w:w="0"/>
          </w:tcPr>
          <w:p>
            <w:r>
              <w:rPr>
                <w:b/>
              </w:rPr>
              <w:t>Measure</w:t>
            </w:r>
          </w:p>
        </w:tc>
        <w:tc>
          <w:tcPr>
            <w:tcW w:type="auto" w:w="0"/>
          </w:tcPr>
          <w:p>
            <w:r>
              <w:rPr>
                <w:b/>
              </w:rPr>
              <w:t>Compliance</w:t>
            </w:r>
          </w:p>
        </w:tc>
        <w:tc>
          <w:tcPr>
            <w:tcW w:type="auto" w:w="0"/>
          </w:tcPr>
          <w:p>
            <w:r>
              <w:rPr>
                <w:b/>
              </w:rPr>
              <w:t>Gap</w:t>
            </w:r>
          </w:p>
        </w:tc>
      </w:tr>
      <w:tr>
        <w:tc>
          <w:tcPr>
            <w:tcW w:type="auto" w:w="0"/>
          </w:tcPr>
          <w:p>
            <w:r>
              <w:t>{#socle}{ref}</w:t>
            </w:r>
          </w:p>
        </w:tc>
        <w:tc>
          <w:tcPr>
            <w:tcW w:type="auto" w:w="0"/>
          </w:tcPr>
          <w:p>
            <w:r>
              <w:t>{theme}</w:t>
            </w:r>
          </w:p>
        </w:tc>
        <w:tc>
          <w:tcPr>
            <w:tcW w:type="auto" w:w="0"/>
          </w:tcPr>
          <w:p>
            <w:r>
              <w:t>{mesure}</w:t>
            </w:r>
          </w:p>
        </w:tc>
        <w:tc>
          <w:tcPr>
            <w:tcW w:type="auto" w:w="0"/>
          </w:tcPr>
          <w:p>
            <w:r>
              <w:t>{conformite}</w:t>
            </w:r>
          </w:p>
        </w:tc>
        <w:tc>
          <w:tcPr>
            <w:tcW w:type="auto" w:w="0"/>
          </w:tcPr>
          <w:p>
            <w:r>
              <w:t>{ecart}{/socle}</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Security baseline assessment</w:t>
      </w:r>
    </w:p>
    <w:p>
      <w:pPr>
        <w:pStyle w:val="Heading3"/>
      </w:pPr>
      <w:r>
        <w:t>Planned baseline measures</w:t>
      </w:r>
    </w:p>
    <w:p>
      <w:r>
        <w:t>For partially or non-covered requirements, the corrective measures already planned feed the PACS (Security Continuous Improvement Plan, Risk treatment chapter).</w:t>
      </w:r>
    </w:p>
    <w:tbl>
      <w:tblPr>
        <w:tblStyle w:val="LightGrid-Accent1"/>
        <w:tblW w:type="auto" w:w="0"/>
        <w:tblLayout w:type="autofit"/>
        <w:tblLook w:firstColumn="1" w:firstRow="1" w:lastColumn="0" w:lastRow="0" w:noHBand="0" w:noVBand="1" w:val="04A0"/>
      </w:tblPr>
      <w:tblGrid>
        <w:gridCol w:w="4080"/>
        <w:gridCol w:w="4080"/>
        <w:gridCol w:w="4080"/>
      </w:tblGrid>
      <w:tr>
        <w:tc>
          <w:tcPr>
            <w:tcW w:type="auto" w:w="0"/>
          </w:tcPr>
          <w:p>
            <w:r>
              <w:rPr>
                <w:b/>
              </w:rPr>
              <w:t>Req. ref.</w:t>
            </w:r>
          </w:p>
        </w:tc>
        <w:tc>
          <w:tcPr>
            <w:tcW w:type="auto" w:w="0"/>
          </w:tcPr>
          <w:p>
            <w:r>
              <w:rPr>
                <w:b/>
              </w:rPr>
              <w:t>Measure / requirement</w:t>
            </w:r>
          </w:p>
        </w:tc>
        <w:tc>
          <w:tcPr>
            <w:tcW w:type="auto" w:w="0"/>
          </w:tcPr>
          <w:p>
            <w:r>
              <w:rPr>
                <w:b/>
              </w:rPr>
              <w:t>Planned measures</w:t>
            </w:r>
          </w:p>
        </w:tc>
      </w:tr>
      <w:tr>
        <w:tc>
          <w:tcPr>
            <w:tcW w:type="auto" w:w="0"/>
          </w:tcPr>
          <w:p>
            <w:r>
              <w:t>{#socle_planned}{ref}</w:t>
            </w:r>
          </w:p>
        </w:tc>
        <w:tc>
          <w:tcPr>
            <w:tcW w:type="auto" w:w="0"/>
          </w:tcPr>
          <w:p>
            <w:r>
              <w:t>{mesure}</w:t>
            </w:r>
          </w:p>
        </w:tc>
        <w:tc>
          <w:tcPr>
            <w:tcW w:type="auto" w:w="0"/>
          </w:tcPr>
          <w:p>
            <w:r>
              <w:t>{mesures_prevues}{/socle_planned}</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Measures planned to close the baseline gaps</w:t>
      </w:r>
    </w:p>
    <w:p>
      <w:pPr>
        <w:sectPr>
          <w:footerReference w:type="default" r:id="rId12"/>
          <w:pgSz w:w="15840" w:h="12240" w:orient="landscape"/>
          <w:pgMar w:top="1440" w:right="1800" w:bottom="1440" w:left="1800" w:header="720" w:footer="720" w:gutter="0"/>
          <w:cols w:space="720"/>
          <w:docGrid w:linePitch="360"/>
        </w:sectPr>
      </w:pPr>
    </w:p>
    <w:p>
      <w:pPr>
        <w:pStyle w:val="Heading1"/>
      </w:pPr>
      <w:r>
        <w:t>Risk origins and target objectives</w:t>
      </w:r>
    </w:p>
    <w:p>
      <w:r>
        <w:t>The purpose of this phase of the analysis is to identify “who or what” could harm the business values and “why”, then retain the most relevant risk-origin / target-objective pairs.</w:t>
      </w:r>
    </w:p>
    <w:p>
      <w:pPr>
        <w:pStyle w:val="Heading2"/>
      </w:pPr>
      <w:r>
        <w:t>Risk origins</w:t>
      </w:r>
    </w:p>
    <w:p>
      <w:r>
        <w:t>A risk origin (RO) is an actor — human or not — likely to generate a risk: cybercriminal, competitor, state, hacktivist, malicious or negligent employee, service provider…</w:t>
      </w:r>
    </w:p>
    <w:tbl>
      <w:tblPr>
        <w:tblStyle w:val="LightGrid-Accent1"/>
        <w:tblW w:type="auto" w:w="0"/>
        <w:tblLayout w:type="autofit"/>
        <w:tblLook w:firstColumn="1" w:firstRow="1" w:lastColumn="0" w:lastRow="0" w:noHBand="0" w:noVBand="1" w:val="04A0"/>
      </w:tblPr>
      <w:tblGrid>
        <w:gridCol w:w="4320"/>
        <w:gridCol w:w="4320"/>
      </w:tblGrid>
      <w:tr>
        <w:tc>
          <w:tcPr>
            <w:tcW w:type="auto" w:w="0"/>
          </w:tcPr>
          <w:p>
            <w:r>
              <w:rPr>
                <w:b/>
              </w:rPr>
              <w:t>Abbr.</w:t>
            </w:r>
          </w:p>
        </w:tc>
        <w:tc>
          <w:tcPr>
            <w:tcW w:type="auto" w:w="0"/>
          </w:tcPr>
          <w:p>
            <w:r>
              <w:rPr>
                <w:b/>
              </w:rPr>
              <w:t>Risk origin</w:t>
            </w:r>
          </w:p>
        </w:tc>
      </w:tr>
      <w:tr>
        <w:tc>
          <w:tcPr>
            <w:tcW w:type="auto" w:w="0"/>
          </w:tcPr>
          <w:p>
            <w:r>
              <w:t>{#sr_list}{id}</w:t>
            </w:r>
          </w:p>
        </w:tc>
        <w:tc>
          <w:tcPr>
            <w:tcW w:type="auto" w:w="0"/>
          </w:tcPr>
          <w:p>
            <w:r>
              <w:t>{nom}{/sr_list}</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Identified risk origins</w:t>
      </w:r>
    </w:p>
    <w:p>
      <w:pPr>
        <w:pStyle w:val="Heading2"/>
      </w:pPr>
      <w:r>
        <w:t>Target objectives</w:t>
      </w:r>
    </w:p>
    <w:p>
      <w:r>
        <w:t>A target objective (TO) is the aim pursued by the risk origin: espionage, sabotage, financial gain, destabilisation, challenge…</w:t>
      </w:r>
    </w:p>
    <w:tbl>
      <w:tblPr>
        <w:tblStyle w:val="LightGrid-Accent1"/>
        <w:tblW w:type="auto" w:w="0"/>
        <w:tblLayout w:type="autofit"/>
        <w:tblLook w:firstColumn="1" w:firstRow="1" w:lastColumn="0" w:lastRow="0" w:noHBand="0" w:noVBand="1" w:val="04A0"/>
      </w:tblPr>
      <w:tblGrid>
        <w:gridCol w:w="4320"/>
        <w:gridCol w:w="4320"/>
      </w:tblGrid>
      <w:tr>
        <w:tc>
          <w:tcPr>
            <w:tcW w:type="auto" w:w="0"/>
          </w:tcPr>
          <w:p>
            <w:r>
              <w:rPr>
                <w:b/>
              </w:rPr>
              <w:t>Abbr.</w:t>
            </w:r>
          </w:p>
        </w:tc>
        <w:tc>
          <w:tcPr>
            <w:tcW w:type="auto" w:w="0"/>
          </w:tcPr>
          <w:p>
            <w:r>
              <w:rPr>
                <w:b/>
              </w:rPr>
              <w:t>Target objective</w:t>
            </w:r>
          </w:p>
        </w:tc>
      </w:tr>
      <w:tr>
        <w:tc>
          <w:tcPr>
            <w:tcW w:type="auto" w:w="0"/>
          </w:tcPr>
          <w:p>
            <w:r>
              <w:t>{#ov_list}{id}</w:t>
            </w:r>
          </w:p>
        </w:tc>
        <w:tc>
          <w:tcPr>
            <w:tcW w:type="auto" w:w="0"/>
          </w:tcPr>
          <w:p>
            <w:r>
              <w:t>{nom}{/ov_list}</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Identified target objectives</w:t>
      </w:r>
    </w:p>
    <w:p>
      <w:pPr>
        <w:sectPr>
          <w:footerReference w:type="default" r:id="rId13"/>
          <w:pgSz w:w="12240" w:h="15840"/>
          <w:pgMar w:top="1440" w:right="1800" w:bottom="1440" w:left="1800" w:header="720" w:footer="720" w:gutter="0"/>
          <w:cols w:space="720"/>
          <w:docGrid w:linePitch="360"/>
        </w:sectPr>
      </w:pPr>
    </w:p>
    <w:p>
      <w:pPr>
        <w:pStyle w:val="Heading2"/>
      </w:pPr>
      <w:r>
        <w:t>Risk origin / Target objective pairs assessed</w:t>
      </w:r>
    </w:p>
    <w:p>
      <w:r>
        <w:t>The relevance of an RO/TO pair is the sum of three criteria rated 0 to 4 — motivation, resources and activity of the origin (score 0 to 12). The priority follows: P1 if the score is strictly above 7, P2 if between 5 and 7, “Not retained” between 3 and 4, “Discarded” between 1 and 2. The table below lists all assessed pairs with their priority: only P1 and P2 pairs are retained for the rest of the study, “Not retained” and “Discarded” pairs being excluded.</w:t>
      </w:r>
    </w:p>
    <w:tbl>
      <w:tblPr>
        <w:tblStyle w:val="LightGrid-Accent1"/>
        <w:tblW w:type="auto" w:w="0"/>
        <w:tblLayout w:type="autofit"/>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auto" w:w="0"/>
          </w:tcPr>
          <w:p>
            <w:r>
              <w:rPr>
                <w:b/>
              </w:rPr>
              <w:t>Pair</w:t>
            </w:r>
          </w:p>
        </w:tc>
        <w:tc>
          <w:tcPr>
            <w:tcW w:type="auto" w:w="0"/>
          </w:tcPr>
          <w:p>
            <w:r>
              <w:rPr>
                <w:b/>
              </w:rPr>
              <w:t>Origin</w:t>
            </w:r>
          </w:p>
        </w:tc>
        <w:tc>
          <w:tcPr>
            <w:tcW w:type="auto" w:w="0"/>
          </w:tcPr>
          <w:p>
            <w:r>
              <w:rPr>
                <w:b/>
              </w:rPr>
              <w:t>Target objective</w:t>
            </w:r>
          </w:p>
        </w:tc>
        <w:tc>
          <w:tcPr>
            <w:tcW w:type="auto" w:w="0"/>
          </w:tcPr>
          <w:p>
            <w:r>
              <w:rPr>
                <w:b/>
              </w:rPr>
              <w:t>Motiv.</w:t>
            </w:r>
          </w:p>
        </w:tc>
        <w:tc>
          <w:tcPr>
            <w:tcW w:type="auto" w:w="0"/>
          </w:tcPr>
          <w:p>
            <w:r>
              <w:rPr>
                <w:b/>
              </w:rPr>
              <w:t>Res.</w:t>
            </w:r>
          </w:p>
        </w:tc>
        <w:tc>
          <w:tcPr>
            <w:tcW w:type="auto" w:w="0"/>
          </w:tcPr>
          <w:p>
            <w:r>
              <w:rPr>
                <w:b/>
              </w:rPr>
              <w:t>Act.</w:t>
            </w:r>
          </w:p>
        </w:tc>
        <w:tc>
          <w:tcPr>
            <w:tcW w:type="auto" w:w="0"/>
          </w:tcPr>
          <w:p>
            <w:r>
              <w:rPr>
                <w:b/>
              </w:rPr>
              <w:t>Relevance</w:t>
            </w:r>
          </w:p>
        </w:tc>
        <w:tc>
          <w:tcPr>
            <w:tcW w:type="auto" w:w="0"/>
          </w:tcPr>
          <w:p>
            <w:r>
              <w:rPr>
                <w:b/>
              </w:rPr>
              <w:t>Priority</w:t>
            </w:r>
          </w:p>
        </w:tc>
        <w:tc>
          <w:tcPr>
            <w:tcW w:type="auto" w:w="0"/>
          </w:tcPr>
          <w:p>
            <w:r>
              <w:rPr>
                <w:b/>
              </w:rPr>
              <w:t>Justification</w:t>
            </w:r>
          </w:p>
        </w:tc>
      </w:tr>
      <w:tr>
        <w:tc>
          <w:tcPr>
            <w:tcW w:type="auto" w:w="0"/>
          </w:tcPr>
          <w:p>
            <w:r>
              <w:t>{#srov}{couple}</w:t>
            </w:r>
          </w:p>
        </w:tc>
        <w:tc>
          <w:tcPr>
            <w:tcW w:type="auto" w:w="0"/>
          </w:tcPr>
          <w:p>
            <w:r>
              <w:t>{sr}</w:t>
            </w:r>
          </w:p>
        </w:tc>
        <w:tc>
          <w:tcPr>
            <w:tcW w:type="auto" w:w="0"/>
          </w:tcPr>
          <w:p>
            <w:r>
              <w:t>{ov}</w:t>
            </w:r>
          </w:p>
        </w:tc>
        <w:tc>
          <w:tcPr>
            <w:tcW w:type="auto" w:w="0"/>
          </w:tcPr>
          <w:p>
            <w:r>
              <w:t>{motivation}</w:t>
            </w:r>
          </w:p>
        </w:tc>
        <w:tc>
          <w:tcPr>
            <w:tcW w:type="auto" w:w="0"/>
          </w:tcPr>
          <w:p>
            <w:r>
              <w:t>{ressources}</w:t>
            </w:r>
          </w:p>
        </w:tc>
        <w:tc>
          <w:tcPr>
            <w:tcW w:type="auto" w:w="0"/>
          </w:tcPr>
          <w:p>
            <w:r>
              <w:t>{activite}</w:t>
            </w:r>
          </w:p>
        </w:tc>
        <w:tc>
          <w:tcPr>
            <w:tcW w:type="auto" w:w="0"/>
          </w:tcPr>
          <w:p>
            <w:r>
              <w:t>{pertinence}</w:t>
            </w:r>
          </w:p>
        </w:tc>
        <w:tc>
          <w:tcPr>
            <w:tcW w:type="auto" w:w="0"/>
          </w:tcPr>
          <w:p>
            <w:r>
              <w:t>{priorite}</w:t>
            </w:r>
          </w:p>
        </w:tc>
        <w:tc>
          <w:tcPr>
            <w:tcW w:type="auto" w:w="0"/>
          </w:tcPr>
          <w:p>
            <w:r>
              <w:t>{justification}{/srov}</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RO/TO pairs assessed and prioritised</w:t>
      </w:r>
    </w:p>
    <w:p>
      <w:pPr>
        <w:sectPr>
          <w:footerReference w:type="default" r:id="rId14"/>
          <w:pgSz w:w="15840" w:h="12240" w:orient="landscape"/>
          <w:pgMar w:top="1440" w:right="1800" w:bottom="1440" w:left="1800" w:header="720" w:footer="720" w:gutter="0"/>
          <w:cols w:space="720"/>
          <w:docGrid w:linePitch="360"/>
        </w:sectPr>
      </w:pPr>
    </w:p>
    <w:p>
      <w:pPr>
        <w:pStyle w:val="Heading1"/>
      </w:pPr>
      <w:r>
        <w:t>Strategic scenarios</w:t>
      </w:r>
    </w:p>
    <w:p>
      <w:r>
        <w:t>The purpose of this phase of the analysis is, from the retained RO/TO pairs, to map the digital threat of the ecosystem (stakeholders: service providers, partners, suppliers…), then build the strategic scenarios — high-level attack paths, often via the ecosystem, towards the business values. Each stakeholder is assessed against four criteria: dependency, penetration, cyber maturity and trust.</w:t>
      </w:r>
    </w:p>
    <w:p>
      <w:pPr>
        <w:pStyle w:val="Heading2"/>
      </w:pPr>
      <w:r>
        <w:t>Ecosystem stakeholders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auto" w:w="0"/>
          </w:tcPr>
          <w:p>
            <w:r>
              <w:rPr>
                <w:b/>
              </w:rPr>
              <w:t>Abbr.</w:t>
            </w:r>
          </w:p>
        </w:tc>
        <w:tc>
          <w:tcPr>
            <w:tcW w:type="auto" w:w="0"/>
          </w:tcPr>
          <w:p>
            <w:r>
              <w:rPr>
                <w:b/>
              </w:rPr>
              <w:t>Name</w:t>
            </w:r>
          </w:p>
        </w:tc>
        <w:tc>
          <w:tcPr>
            <w:tcW w:type="auto" w:w="0"/>
          </w:tcPr>
          <w:p>
            <w:r>
              <w:rPr>
                <w:b/>
              </w:rPr>
              <w:t>Category</w:t>
            </w:r>
          </w:p>
        </w:tc>
      </w:tr>
      <w:tr>
        <w:tc>
          <w:tcPr>
            <w:tcW w:type="auto" w:w="0"/>
          </w:tcPr>
          <w:p>
            <w:r>
              <w:t>{#pp}{id}</w:t>
            </w:r>
          </w:p>
        </w:tc>
        <w:tc>
          <w:tcPr>
            <w:tcW w:type="auto" w:w="0"/>
          </w:tcPr>
          <w:p>
            <w:r>
              <w:t>{nom}</w:t>
            </w:r>
          </w:p>
        </w:tc>
        <w:tc>
          <w:tcPr>
            <w:tcW w:type="auto" w:w="0"/>
          </w:tcPr>
          <w:p>
            <w:r>
              <w:t>{categorie}{/pp}</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Ecosystem stakeholders</w:t>
      </w:r>
    </w:p>
    <w:p>
      <w:pPr>
        <w:pStyle w:val="Heading2"/>
      </w:pPr>
      <w:r>
        <w:t>Stakeholder assessment (threat)</w:t>
      </w:r>
    </w:p>
    <w:p>
      <w:r>
        <w:t>The threat level combines exposure (dependency × penetration) and reliability (maturity × trust) of each stakeholder: threat = (dependency × penetration) / (maturity × trust). The resulting exposure level (low to critical) is given for each stakeholder.</w:t>
      </w:r>
    </w:p>
    <w:tbl>
      <w:tblPr>
        <w:tblStyle w:val="LightGrid-Accent1"/>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auto" w:w="0"/>
          </w:tcPr>
          <w:p>
            <w:r>
              <w:rPr>
                <w:b/>
              </w:rPr>
              <w:t>Name</w:t>
            </w:r>
          </w:p>
        </w:tc>
        <w:tc>
          <w:tcPr>
            <w:tcW w:type="auto" w:w="0"/>
          </w:tcPr>
          <w:p>
            <w:r>
              <w:rPr>
                <w:b/>
              </w:rPr>
              <w:t>Depend.</w:t>
            </w:r>
          </w:p>
        </w:tc>
        <w:tc>
          <w:tcPr>
            <w:tcW w:type="auto" w:w="0"/>
          </w:tcPr>
          <w:p>
            <w:r>
              <w:rPr>
                <w:b/>
              </w:rPr>
              <w:t>Penetr.</w:t>
            </w:r>
          </w:p>
        </w:tc>
        <w:tc>
          <w:tcPr>
            <w:tcW w:type="auto" w:w="0"/>
          </w:tcPr>
          <w:p>
            <w:r>
              <w:rPr>
                <w:b/>
              </w:rPr>
              <w:t>Matur.</w:t>
            </w:r>
          </w:p>
        </w:tc>
        <w:tc>
          <w:tcPr>
            <w:tcW w:type="auto" w:w="0"/>
          </w:tcPr>
          <w:p>
            <w:r>
              <w:rPr>
                <w:b/>
              </w:rPr>
              <w:t>Trust</w:t>
            </w:r>
          </w:p>
        </w:tc>
        <w:tc>
          <w:tcPr>
            <w:tcW w:type="auto" w:w="0"/>
          </w:tcPr>
          <w:p>
            <w:r>
              <w:rPr>
                <w:b/>
              </w:rPr>
              <w:t>Threat</w:t>
            </w:r>
          </w:p>
        </w:tc>
        <w:tc>
          <w:tcPr>
            <w:tcW w:type="auto" w:w="0"/>
          </w:tcPr>
          <w:p>
            <w:r>
              <w:rPr>
                <w:b/>
              </w:rPr>
              <w:t>Exposure</w:t>
            </w:r>
          </w:p>
        </w:tc>
      </w:tr>
      <w:tr>
        <w:tc>
          <w:tcPr>
            <w:tcW w:type="auto" w:w="0"/>
          </w:tcPr>
          <w:p>
            <w:r>
              <w:t>{#pp_eval}{nom}</w:t>
            </w:r>
          </w:p>
        </w:tc>
        <w:tc>
          <w:tcPr>
            <w:tcW w:type="auto" w:w="0"/>
          </w:tcPr>
          <w:p>
            <w:r>
              <w:t>{dependance}</w:t>
            </w:r>
          </w:p>
        </w:tc>
        <w:tc>
          <w:tcPr>
            <w:tcW w:type="auto" w:w="0"/>
          </w:tcPr>
          <w:p>
            <w:r>
              <w:t>{penetration}</w:t>
            </w:r>
          </w:p>
        </w:tc>
        <w:tc>
          <w:tcPr>
            <w:tcW w:type="auto" w:w="0"/>
          </w:tcPr>
          <w:p>
            <w:r>
              <w:t>{maturite}</w:t>
            </w:r>
          </w:p>
        </w:tc>
        <w:tc>
          <w:tcPr>
            <w:tcW w:type="auto" w:w="0"/>
          </w:tcPr>
          <w:p>
            <w:r>
              <w:t>{confiance}</w:t>
            </w:r>
          </w:p>
        </w:tc>
        <w:tc>
          <w:tcPr>
            <w:tcW w:type="auto" w:w="0"/>
          </w:tcPr>
          <w:p>
            <w:r>
              <w:t>{menace}</w:t>
            </w:r>
          </w:p>
        </w:tc>
        <w:tc>
          <w:tcPr>
            <w:tcW w:type="auto" w:w="0"/>
          </w:tcPr>
          <w:p>
            <w:r>
              <w:t>{exposition}{/pp_eval}</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Assessment of the threat posed by stakeholders</w:t>
      </w:r>
    </w:p>
    <w:p>
      <w:pPr>
        <w:sectPr>
          <w:footerReference w:type="default" r:id="rId15"/>
          <w:pgSz w:w="12240" w:h="15840"/>
          <w:pgMar w:top="1440" w:right="1800" w:bottom="1440" w:left="1800" w:header="720" w:footer="720" w:gutter="0"/>
          <w:cols w:space="720"/>
          <w:docGrid w:linePitch="360"/>
        </w:sectPr>
      </w:pPr>
    </w:p>
    <w:p>
      <w:pPr>
        <w:pStyle w:val="Heading2"/>
      </w:pPr>
      <w:r>
        <w:t>Ecosystem threat map</w:t>
      </w:r>
    </w:p>
    <w:p>
      <w:r>
        <w:t>Representation of the threat posed by stakeholders, before and after applying ecosystem measures.</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6120"/>
        <w:gridCol w:w="6120"/>
      </w:tblGrid>
      <w:tr>
        <w:tc>
          <w:tcPr>
            <w:tcW w:type="dxa" w:w="6120"/>
            <w:shd w:val="clear" w:fill="F4F7FA"/>
            <w:vAlign w:val="center"/>
            <w:tcW w:w="540" w:type="dxa"/>
          </w:tcPr>
          <w:p>
            <w:pPr>
              <w:jc w:val="center"/>
            </w:pPr>
            <w:r>
              <w:rPr>
                <w:sz w:val="32"/>
              </w:rPr>
              <w:t>💡</w:t>
            </w:r>
          </w:p>
        </w:tc>
        <w:tc>
          <w:tcPr>
            <w:tcW w:type="dxa" w:w="6120"/>
            <w:shd w:val="clear" w:fill="F4F7FA"/>
            <w:vAlign w:val="center"/>
          </w:tcPr>
          <w:p>
            <w:r>
              <w:rPr>
                <w:b/>
                <w:color w:val="1E3A5F"/>
                <w:sz w:val="19"/>
              </w:rPr>
              <w:t xml:space="preserve">How to read the map : </w:t>
            </w:r>
            <w:r>
              <w:rPr>
                <w:sz w:val="19"/>
              </w:rPr>
              <w:t>each stakeholder is a circle positioned relative to the centre: the closer to the centre, the higher the threat it represents. The colour reflects its reliability (maturity × trust), from red (low) to green (high); the size of the circle reflects its exposure (dependency × penetration). The concentric zones distinguish the watch zone (outer), control, then danger (central).</w:t>
            </w:r>
          </w:p>
        </w:tc>
      </w:tr>
    </w:tbl>
    <w:p>
      <w:pPr>
        <w:jc w:val="center"/>
      </w:pPr>
      <w:r>
        <w:t>@@IMG:pp_map_initial@@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Ecosystem threat map — before treatment</w:t>
      </w:r>
    </w:p>
    <w:p>
      <w:pPr>
        <w:jc w:val="center"/>
      </w:pPr>
      <w:r>
        <w:t>@@IMG:pp_map_residual@@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Ecosystem threat map — after treatment</w:t>
      </w:r>
    </w:p>
    <w:p>
      <w:pPr>
        <w:pStyle w:val="Heading2"/>
      </w:pPr>
      <w:r>
        <w:t>Identified strategic scenarios</w:t>
      </w:r>
    </w:p>
    <w:p>
      <w:r>
        <w:t>{ss_count} strategic scenario(s) were identified at the end of this workshop; they are described in the table below.</w:t>
      </w: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Ref.</w:t>
            </w:r>
          </w:p>
        </w:tc>
        <w:tc>
          <w:tcPr>
            <w:tcW w:type="auto" w:w="0"/>
          </w:tcPr>
          <w:p>
            <w:r>
              <w:rPr>
                <w:b/>
              </w:rPr>
              <w:t>Strategic scenario</w:t>
            </w:r>
          </w:p>
        </w:tc>
        <w:tc>
          <w:tcPr>
            <w:tcW w:type="auto" w:w="0"/>
          </w:tcPr>
          <w:p>
            <w:r>
              <w:rPr>
                <w:b/>
              </w:rPr>
              <w:t>Stakeholder</w:t>
            </w:r>
          </w:p>
        </w:tc>
        <w:tc>
          <w:tcPr>
            <w:tcW w:type="auto" w:w="0"/>
          </w:tcPr>
          <w:p>
            <w:r>
              <w:rPr>
                <w:b/>
              </w:rPr>
              <w:t>Supporting asset</w:t>
            </w:r>
          </w:p>
        </w:tc>
        <w:tc>
          <w:tcPr>
            <w:tcW w:type="auto" w:w="0"/>
          </w:tcPr>
          <w:p>
            <w:r>
              <w:rPr>
                <w:b/>
              </w:rPr>
              <w:t>Feared event</w:t>
            </w:r>
          </w:p>
        </w:tc>
      </w:tr>
      <w:tr>
        <w:tc>
          <w:tcPr>
            <w:tcW w:type="auto" w:w="0"/>
          </w:tcPr>
          <w:p>
            <w:r>
              <w:t>{#ss}{id}</w:t>
            </w:r>
          </w:p>
        </w:tc>
        <w:tc>
          <w:tcPr>
            <w:tcW w:type="auto" w:w="0"/>
          </w:tcPr>
          <w:p>
            <w:r>
              <w:t>{scenario}</w:t>
            </w:r>
          </w:p>
        </w:tc>
        <w:tc>
          <w:tcPr>
            <w:tcW w:type="auto" w:w="0"/>
          </w:tcPr>
          <w:p>
            <w:r>
              <w:t>{pp}</w:t>
            </w:r>
          </w:p>
        </w:tc>
        <w:tc>
          <w:tcPr>
            <w:tcW w:type="auto" w:w="0"/>
          </w:tcPr>
          <w:p>
            <w:r>
              <w:t>{bs}</w:t>
            </w:r>
          </w:p>
        </w:tc>
        <w:tc>
          <w:tcPr>
            <w:tcW w:type="auto" w:w="0"/>
          </w:tcPr>
          <w:p>
            <w:r>
              <w:t>{er}{/ss}</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Identified strategic scenarios</w:t>
      </w:r>
    </w:p>
    <w:p>
      <w:pPr>
        <w:sectPr>
          <w:footerReference w:type="default" r:id="rId16"/>
          <w:pgSz w:w="15840" w:h="12240" w:orient="landscape"/>
          <w:pgMar w:top="1440" w:right="1800" w:bottom="1440" w:left="1800" w:header="720" w:footer="720" w:gutter="0"/>
          <w:cols w:space="720"/>
          <w:docGrid w:linePitch="360"/>
        </w:sectPr>
      </w:pPr>
    </w:p>
    <w:p>
      <w:pPr>
        <w:pStyle w:val="Heading1"/>
      </w:pPr>
      <w:r>
        <w:t>Operational scenarios</w:t>
      </w:r>
    </w:p>
    <w:p>
      <w:r>
        <w:t>The purpose of this phase of the analysis is to technically detail each strategic scenario as a sequence of elementary actions (attack path). In the context of this study, the actions are not grouped according to the four generic EBIOS RM phases (know, enter, find, exploit) but according to the kill-chain phases of the MITRE ATT&amp;CK framework (reconnaissance, initial access, execution, persistence, privilege escalation, lateral movement, exfiltration / impact), which are more representative of the observed modes of operation.</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Weakness rate : </w:t>
            </w:r>
            <w:r>
              <w:rPr>
                <w:sz w:val="19"/>
              </w:rPr>
              <w:t>for each operational scenario, a weakness rate is assessed. For each phase of the attack path, the effectiveness of the measures already in place is appreciated (Absent, Partial, Effective), which reduces the probability that the phase succeeds. The scenario's weakness rate aggregates these effectiveness levels using the formula: rate = max(0 ; 2 × n(Absent) + n(Partial) − 2 × n(Effective)) / (2 × n(phases)). A rate close to 1 reflects an attack path little hindered by existing measures.</w:t>
            </w:r>
          </w:p>
        </w:tc>
      </w:tr>
    </w:tbl>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Likelihood : </w:t>
            </w:r>
            <w:r>
              <w:rPr>
                <w:sz w:val="19"/>
              </w:rPr>
              <w:t>the weakness rate is converted into an operational likelihood (Lo): Lo = 4 if the rate ≥ 0.7; 3 if ≥ 0.4; 2 if ≥ 0.2; 1 otherwise. The likelihood applies to the strategic scenario: it equals the maximum of the operational likelihoods of the operational scenarios that compose it.</w:t>
            </w:r>
          </w:p>
        </w:tc>
      </w:tr>
    </w:tbl>
    <w:p>
      <w:pPr>
        <w:sectPr>
          <w:footerReference w:type="default" r:id="rId17"/>
          <w:pgSz w:w="12240" w:h="15840"/>
          <w:pgMar w:top="1440" w:right="1800" w:bottom="1440" w:left="1800" w:header="720" w:footer="720" w:gutter="0"/>
          <w:cols w:space="720"/>
          <w:docGrid w:linePitch="360"/>
        </w:sectPr>
      </w:pPr>
    </w:p>
    <w:p>
      <w:r>
        <w:t>{#ss_groups}</w:t>
      </w:r>
    </w:p>
    <w:p>
      <w:pPr>
        <w:pStyle w:val="Heading2"/>
      </w:pPr>
      <w:r>
        <w:t>{ss_label}</w:t>
      </w:r>
    </w:p>
    <w:p>
      <w:r>
        <w:t>{ss_intro_pre}</w:t>
      </w:r>
    </w:p>
    <w:p>
      <w:r>
        <w:t>{#er_multi}</w:t>
      </w:r>
    </w:p>
    <w:p>
      <w:r>
        <w:t>It could lead to the following feared events:</w:t>
      </w:r>
    </w:p>
    <w:p>
      <w:pPr>
        <w:pStyle w:val="ListBullet"/>
      </w:pPr>
      <w:r>
        <w:t>{#er_list}{er}{/er_list}</w:t>
      </w:r>
    </w:p>
    <w:p>
      <w:r>
        <w:t>{/er_multi}</w:t>
      </w:r>
    </w:p>
    <w:p>
      <w:r>
        <w:t>{#er_single}</w:t>
      </w:r>
    </w:p>
    <w:p>
      <w:r>
        <w:t>It could lead to the following feared event: {er_one}.</w:t>
      </w:r>
    </w:p>
    <w:p>
      <w:r>
        <w:t>{/er_single}</w:t>
      </w:r>
    </w:p>
    <w:p>
      <w:r>
        <w:t>{ss_intro_post}</w:t>
      </w:r>
    </w:p>
    <w:p>
      <w:r>
        <w:t>{#sops}</w:t>
      </w:r>
    </w:p>
    <w:p>
      <w:pPr>
        <w:pStyle w:val="Heading3"/>
      </w:pPr>
      <w:r>
        <w:t>Operational scenario {sop_label}</w:t>
      </w:r>
    </w:p>
    <w:p>
      <w:r>
        <w:t>{taux_phrase}</w:t>
      </w:r>
    </w:p>
    <w:tbl>
      <w:tblPr>
        <w:tblStyle w:val="LightGrid-Accent1"/>
        <w:tblW w:type="auto" w:w="0"/>
        <w:tblLayout w:type="autofit"/>
        <w:tblLook w:firstColumn="1" w:firstRow="1" w:lastColumn="0" w:lastRow="0" w:noHBand="0" w:noVBand="1" w:val="04A0"/>
      </w:tblPr>
      <w:tblGrid>
        <w:gridCol w:w="3060"/>
        <w:gridCol w:w="3060"/>
        <w:gridCol w:w="3060"/>
        <w:gridCol w:w="3060"/>
      </w:tblGrid>
      <w:tr>
        <w:tc>
          <w:tcPr>
            <w:tcW w:type="auto" w:w="0"/>
          </w:tcPr>
          <w:p>
            <w:r>
              <w:rPr>
                <w:b/>
              </w:rPr>
              <w:t>Phase</w:t>
            </w:r>
          </w:p>
        </w:tc>
        <w:tc>
          <w:tcPr>
            <w:tcW w:type="auto" w:w="0"/>
          </w:tcPr>
          <w:p>
            <w:r>
              <w:rPr>
                <w:b/>
              </w:rPr>
              <w:t>Elementary action</w:t>
            </w:r>
          </w:p>
        </w:tc>
        <w:tc>
          <w:tcPr>
            <w:tcW w:type="auto" w:w="0"/>
          </w:tcPr>
          <w:p>
            <w:r>
              <w:rPr>
                <w:b/>
              </w:rPr>
              <w:t>Control / measure</w:t>
            </w:r>
          </w:p>
        </w:tc>
        <w:tc>
          <w:tcPr>
            <w:tcW w:type="auto" w:w="0"/>
          </w:tcPr>
          <w:p>
            <w:r>
              <w:rPr>
                <w:b/>
              </w:rPr>
              <w:t>Effectiveness</w:t>
            </w:r>
          </w:p>
        </w:tc>
      </w:tr>
      <w:tr>
        <w:tc>
          <w:tcPr>
            <w:tcW w:type="auto" w:w="0"/>
          </w:tcPr>
          <w:p>
            <w:r>
              <w:t>{#steps}{phase}</w:t>
            </w:r>
          </w:p>
        </w:tc>
        <w:tc>
          <w:tcPr>
            <w:tcW w:type="auto" w:w="0"/>
          </w:tcPr>
          <w:p>
            <w:r>
              <w:t>{action}</w:t>
            </w:r>
          </w:p>
        </w:tc>
        <w:tc>
          <w:tcPr>
            <w:tcW w:type="auto" w:w="0"/>
          </w:tcPr>
          <w:p>
            <w:r>
              <w:t>{controle}</w:t>
            </w:r>
          </w:p>
        </w:tc>
        <w:tc>
          <w:tcPr>
            <w:tcW w:type="auto" w:w="0"/>
          </w:tcPr>
          <w:p>
            <w:r>
              <w:t>{efficacite}{/steps}</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Attack path of operational scenario {sop_label}</w:t>
      </w:r>
    </w:p>
    <w:p>
      <w:r>
        <w:t>{/sops}</w:t>
      </w:r>
    </w:p>
    <w:p>
      <w:r>
        <w:t>{/ss_groups}</w:t>
      </w:r>
    </w:p>
    <w:p>
      <w:pPr>
        <w:sectPr>
          <w:footerReference w:type="default" r:id="rId18"/>
          <w:pgSz w:w="15840" w:h="12240" w:orient="landscape"/>
          <w:pgMar w:top="1440" w:right="1800" w:bottom="1440" w:left="1800" w:header="720" w:footer="720" w:gutter="0"/>
          <w:cols w:space="720"/>
          <w:docGrid w:linePitch="360"/>
        </w:sectPr>
      </w:pPr>
    </w:p>
    <w:p>
      <w:pPr>
        <w:pStyle w:val="Heading1"/>
      </w:pPr>
      <w:r>
        <w:t>Risk treatment</w:t>
      </w:r>
    </w:p>
    <w:p>
      <w:r>
        <w:t>The purpose of this phase of the analysis is to synthesise the risks (severity × likelihood), define the security continuous improvement plan (PACS) then re-assess the residual risks after the measures are implemented, with a view to their acceptance by management.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Risk level : </w:t>
            </w:r>
            <w:r>
              <w:rPr>
                <w:sz w:val="19"/>
              </w:rPr>
              <w:t xml:space="preserve">the level of each risk results from crossing the severity of the feared event and the likelihood of the scenario, according to the acceptability matrix detailed in </w:t>
            </w:r>
            <w:hyperlink w:anchor="annexe_risque">
              <w:r>
                <w:rPr>
                  <w:color w:val="1E3A5F"/>
                  <w:u w:val="single"/>
                </w:rPr>
                <w:t>Appendix B — Risk levels</w:t>
              </w:r>
            </w:hyperlink>
            <w:r>
              <w:rPr>
                <w:sz w:val="19"/>
              </w:rPr>
              <w:t>.</w:t>
            </w:r>
          </w:p>
        </w:tc>
      </w:tr>
    </w:tbl>
    <w:p>
      <w:pPr>
        <w:pStyle w:val="Heading2"/>
      </w:pPr>
      <w:r>
        <w:t>Risk map</w:t>
      </w:r>
    </w:p>
    <w:p>
      <w:r>
        <w:t>Positioning of risks (severity × likelihood) before and after treatment.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How to read the matrix : </w:t>
            </w:r>
            <w:r>
              <w:rPr>
                <w:sz w:val="19"/>
              </w:rPr>
              <w:t>each risk is positioned according to the severity of its feared event (vertical axis) and the likelihood of its scenario (horizontal axis). The colour of the cell indicates the resulting risk level — low, medium or high — according to the acceptability matrix retained (Appendix B). The further a risk is towards the top right, the more critical and the higher priority to treat.</w:t>
            </w:r>
          </w:p>
        </w:tc>
      </w:tr>
    </w:tbl>
    <w:p>
      <w:pPr>
        <w:jc w:val="center"/>
      </w:pPr>
      <w:r>
        <w:t>@@IMG:risk_map_initial@@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Risk map — before treatment</w:t>
      </w:r>
    </w:p>
    <w:p>
      <w:pPr>
        <w:jc w:val="center"/>
      </w:pPr>
      <w:r>
        <w:t>@@IMG:risk_map_residual@@</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Risk map — after treatment</w:t>
      </w:r>
    </w:p>
    <w:p>
      <w:pPr>
        <w:pStyle w:val="Heading2"/>
      </w:pPr>
      <w:r>
        <w:t>Initial risks</w:t>
      </w:r>
    </w:p>
    <w:p>
      <w:r>
        <w:t>The initial risk map (before treatment) breaks down as follows:</w:t>
      </w:r>
    </w:p>
    <w:p>
      <w:pPr>
        <w:pStyle w:val="ListBullet"/>
      </w:pPr>
      <w:r>
        <w:t>{dist_init_eleve} high-level risk(s)</w:t>
      </w:r>
    </w:p>
    <w:p>
      <w:pPr>
        <w:pStyle w:val="ListBullet"/>
      </w:pPr>
      <w:r>
        <w:t>{dist_init_moyen} medium-level risk(s)</w:t>
      </w:r>
    </w:p>
    <w:p>
      <w:pPr>
        <w:pStyle w:val="ListBullet"/>
      </w:pPr>
      <w:r>
        <w:t>{dist_init_faible} low-level risk(s)</w:t>
      </w:r>
    </w:p>
    <w:p>
      <w:pPr>
        <w:sectPr>
          <w:footerReference w:type="default" r:id="rId19"/>
          <w:pgSz w:w="12240" w:h="15840"/>
          <w:pgMar w:top="1440" w:right="1800" w:bottom="1440" w:left="1800" w:header="720" w:footer="720" w:gutter="0"/>
          <w:cols w:space="720"/>
          <w:docGrid w:linePitch="360"/>
        </w:sectPr>
      </w:pPr>
    </w:p>
    <w:tbl>
      <w:tblPr>
        <w:tblStyle w:val="LightGrid-Accent1"/>
        <w:tblW w:type="auto" w:w="0"/>
        <w:tblLayout w:type="autofit"/>
        <w:tblLook w:firstColumn="1" w:firstRow="1" w:lastColumn="0" w:lastRow="0" w:noHBand="0" w:noVBand="1" w:val="04A0"/>
      </w:tblPr>
      <w:tblGrid>
        <w:gridCol w:w="2448"/>
        <w:gridCol w:w="2448"/>
        <w:gridCol w:w="2448"/>
        <w:gridCol w:w="2448"/>
        <w:gridCol w:w="2448"/>
      </w:tblGrid>
      <w:tr>
        <w:tc>
          <w:tcPr>
            <w:tcW w:type="auto" w:w="0"/>
          </w:tcPr>
          <w:p>
            <w:r>
              <w:rPr>
                <w:b/>
              </w:rPr>
              <w:t>Ref.</w:t>
            </w:r>
          </w:p>
        </w:tc>
        <w:tc>
          <w:tcPr>
            <w:tcW w:type="auto" w:w="0"/>
          </w:tcPr>
          <w:p>
            <w:r>
              <w:rPr>
                <w:b/>
              </w:rPr>
              <w:t>Scenario</w:t>
            </w:r>
          </w:p>
        </w:tc>
        <w:tc>
          <w:tcPr>
            <w:tcW w:type="auto" w:w="0"/>
          </w:tcPr>
          <w:p>
            <w:r>
              <w:rPr>
                <w:b/>
              </w:rPr>
              <w:t>Severity</w:t>
            </w:r>
          </w:p>
        </w:tc>
        <w:tc>
          <w:tcPr>
            <w:tcW w:type="auto" w:w="0"/>
          </w:tcPr>
          <w:p>
            <w:r>
              <w:rPr>
                <w:b/>
              </w:rPr>
              <w:t>Likelihood</w:t>
            </w:r>
          </w:p>
        </w:tc>
        <w:tc>
          <w:tcPr>
            <w:tcW w:type="auto" w:w="0"/>
          </w:tcPr>
          <w:p>
            <w:r>
              <w:rPr>
                <w:b/>
              </w:rPr>
              <w:t>Initial level</w:t>
            </w:r>
          </w:p>
        </w:tc>
      </w:tr>
      <w:tr>
        <w:tc>
          <w:tcPr>
            <w:tcW w:type="auto" w:w="0"/>
          </w:tcPr>
          <w:p>
            <w:r>
              <w:t>{#risks_init}{id}</w:t>
            </w:r>
          </w:p>
        </w:tc>
        <w:tc>
          <w:tcPr>
            <w:tcW w:type="auto" w:w="0"/>
          </w:tcPr>
          <w:p>
            <w:r>
              <w:t>{scenario}</w:t>
            </w:r>
          </w:p>
        </w:tc>
        <w:tc>
          <w:tcPr>
            <w:tcW w:type="auto" w:w="0"/>
          </w:tcPr>
          <w:p>
            <w:r>
              <w:t>{gravite}</w:t>
            </w:r>
          </w:p>
        </w:tc>
        <w:tc>
          <w:tcPr>
            <w:tcW w:type="auto" w:w="0"/>
          </w:tcPr>
          <w:p>
            <w:r>
              <w:t>{vInit}</w:t>
            </w:r>
          </w:p>
        </w:tc>
        <w:tc>
          <w:tcPr>
            <w:tcW w:type="auto" w:w="0"/>
          </w:tcPr>
          <w:p>
            <w:r>
              <w:t>{riskInit}{/risks_init}</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Initial risks (before treatment)</w:t>
      </w:r>
    </w:p>
    <w:p>
      <w:pPr>
        <w:pStyle w:val="Heading2"/>
      </w:pPr>
      <w:r>
        <w:t>Treatment plan (PACS)</w:t>
      </w:r>
    </w:p>
    <w:p>
      <w:r>
        <w:t>The PACS groups the actions proposed to reduce the risks.</w:t>
      </w:r>
    </w:p>
    <w:tbl>
      <w:tblPr>
        <w:tblStyle w:val="LightGrid-Accent1"/>
        <w:tblW w:type="auto" w:w="0"/>
        <w:tblLayout w:type="autofit"/>
        <w:tblLook w:firstColumn="1" w:firstRow="1" w:lastColumn="0" w:lastRow="0" w:noHBand="0" w:noVBand="1" w:val="04A0"/>
      </w:tblPr>
      <w:tblGrid>
        <w:gridCol w:w="1749"/>
        <w:gridCol w:w="1749"/>
        <w:gridCol w:w="1749"/>
        <w:gridCol w:w="1749"/>
        <w:gridCol w:w="1749"/>
        <w:gridCol w:w="1749"/>
        <w:gridCol w:w="1749"/>
      </w:tblGrid>
      <w:tr>
        <w:tc>
          <w:tcPr>
            <w:tcW w:type="auto" w:w="0"/>
          </w:tcPr>
          <w:p>
            <w:r>
              <w:rPr>
                <w:b/>
              </w:rPr>
              <w:t>No.</w:t>
            </w:r>
          </w:p>
        </w:tc>
        <w:tc>
          <w:tcPr>
            <w:tcW w:type="auto" w:w="0"/>
          </w:tcPr>
          <w:p>
            <w:r>
              <w:rPr>
                <w:b/>
              </w:rPr>
              <w:t>Measure</w:t>
            </w:r>
          </w:p>
        </w:tc>
        <w:tc>
          <w:tcPr>
            <w:tcW w:type="auto" w:w="0"/>
          </w:tcPr>
          <w:p>
            <w:r>
              <w:rPr>
                <w:b/>
              </w:rPr>
              <w:t>Origin</w:t>
            </w:r>
          </w:p>
        </w:tc>
        <w:tc>
          <w:tcPr>
            <w:tcW w:type="auto" w:w="0"/>
          </w:tcPr>
          <w:p>
            <w:r>
              <w:rPr>
                <w:b/>
              </w:rPr>
              <w:t>Cost</w:t>
            </w:r>
          </w:p>
        </w:tc>
        <w:tc>
          <w:tcPr>
            <w:tcW w:type="auto" w:w="0"/>
          </w:tcPr>
          <w:p>
            <w:r>
              <w:rPr>
                <w:b/>
              </w:rPr>
              <w:t>Owner</w:t>
            </w:r>
          </w:p>
        </w:tc>
        <w:tc>
          <w:tcPr>
            <w:tcW w:type="auto" w:w="0"/>
          </w:tcPr>
          <w:p>
            <w:r>
              <w:rPr>
                <w:b/>
              </w:rPr>
              <w:t>Due date</w:t>
            </w:r>
          </w:p>
        </w:tc>
        <w:tc>
          <w:tcPr>
            <w:tcW w:type="auto" w:w="0"/>
          </w:tcPr>
          <w:p>
            <w:r>
              <w:rPr>
                <w:b/>
              </w:rPr>
              <w:t>Status</w:t>
            </w:r>
          </w:p>
        </w:tc>
      </w:tr>
      <w:tr>
        <w:tc>
          <w:tcPr>
            <w:tcW w:type="auto" w:w="0"/>
          </w:tcPr>
          <w:p>
            <w:r>
              <w:t>{#measures}{id}</w:t>
            </w:r>
          </w:p>
        </w:tc>
        <w:tc>
          <w:tcPr>
            <w:tcW w:type="auto" w:w="0"/>
          </w:tcPr>
          <w:p>
            <w:r>
              <w:t>{mesure}</w:t>
            </w:r>
          </w:p>
        </w:tc>
        <w:tc>
          <w:tcPr>
            <w:tcW w:type="auto" w:w="0"/>
          </w:tcPr>
          <w:p>
            <w:r>
              <w:t>{origine}</w:t>
            </w:r>
          </w:p>
        </w:tc>
        <w:tc>
          <w:tcPr>
            <w:tcW w:type="auto" w:w="0"/>
          </w:tcPr>
          <w:p>
            <w:r>
              <w:t>{cout}</w:t>
            </w:r>
          </w:p>
        </w:tc>
        <w:tc>
          <w:tcPr>
            <w:tcW w:type="auto" w:w="0"/>
          </w:tcPr>
          <w:p>
            <w:r>
              <w:t>{responsable}</w:t>
            </w:r>
          </w:p>
        </w:tc>
        <w:tc>
          <w:tcPr>
            <w:tcW w:type="auto" w:w="0"/>
          </w:tcPr>
          <w:p>
            <w:r>
              <w:t>{echeance}</w:t>
            </w:r>
          </w:p>
        </w:tc>
        <w:tc>
          <w:tcPr>
            <w:tcW w:type="auto" w:w="0"/>
          </w:tcPr>
          <w:p>
            <w:r>
              <w:t>{statut}{/measures}</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Security continuous improvement plan (current and upcoming actions)</w:t>
      </w:r>
    </w:p>
    <w:p>
      <w:pPr>
        <w:sectPr>
          <w:footerReference w:type="default" r:id="rId20"/>
          <w:pgSz w:w="15840" w:h="12240" w:orient="landscape"/>
          <w:pgMar w:top="1440" w:right="1800" w:bottom="1440" w:left="1800" w:header="720" w:footer="720" w:gutter="0"/>
          <w:cols w:space="720"/>
          <w:docGrid w:linePitch="360"/>
        </w:sectPr>
      </w:pPr>
    </w:p>
    <w:p>
      <w:pPr>
        <w:pStyle w:val="Heading2"/>
      </w:pPr>
      <w:r>
        <w:t>Residual risks</w:t>
      </w:r>
    </w:p>
    <w:p>
      <w:r>
        <w:t>After implementing the treatment plan, the residual risks break down as follows:</w:t>
      </w:r>
    </w:p>
    <w:p>
      <w:pPr>
        <w:pStyle w:val="ListBullet"/>
      </w:pPr>
      <w:r>
        <w:t>{dist_eleve} high-level risk(s)</w:t>
      </w:r>
    </w:p>
    <w:p>
      <w:pPr>
        <w:pStyle w:val="ListBullet"/>
      </w:pPr>
      <w:r>
        <w:t>{dist_moyen} medium-level risk(s)</w:t>
      </w:r>
    </w:p>
    <w:p>
      <w:pPr>
        <w:pStyle w:val="ListBullet"/>
      </w:pPr>
      <w:r>
        <w:t>{dist_faible} low-level risk(s)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auto" w:w="0"/>
          </w:tcPr>
          <w:p>
            <w:r>
              <w:rPr>
                <w:b/>
              </w:rPr>
              <w:t>Ref.</w:t>
            </w:r>
          </w:p>
        </w:tc>
        <w:tc>
          <w:tcPr>
            <w:tcW w:type="auto" w:w="0"/>
          </w:tcPr>
          <w:p>
            <w:r>
              <w:rPr>
                <w:b/>
              </w:rPr>
              <w:t>Scenario</w:t>
            </w:r>
          </w:p>
        </w:tc>
        <w:tc>
          <w:tcPr>
            <w:tcW w:type="auto" w:w="0"/>
          </w:tcPr>
          <w:p>
            <w:r>
              <w:rPr>
                <w:b/>
              </w:rPr>
              <w:t>Change (initial → residual)</w:t>
            </w:r>
          </w:p>
        </w:tc>
      </w:tr>
      <w:tr>
        <w:tc>
          <w:tcPr>
            <w:tcW w:type="auto" w:w="0"/>
          </w:tcPr>
          <w:p>
            <w:r>
              <w:t>{#risks_resid}{id}</w:t>
            </w:r>
          </w:p>
        </w:tc>
        <w:tc>
          <w:tcPr>
            <w:tcW w:type="auto" w:w="0"/>
          </w:tcPr>
          <w:p>
            <w:r>
              <w:t>{scenario}</w:t>
            </w:r>
          </w:p>
        </w:tc>
        <w:tc>
          <w:tcPr>
            <w:tcW w:type="auto" w:w="0"/>
          </w:tcPr>
          <w:p>
            <w:r>
              <w:t>{reduction}{/risks_resid}</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Residual risks and effect of treatment</w:t>
      </w:r>
    </w:p>
    <w:tbl>
      <w:tblPr>
        <w:tblW w:type="auto" w:w="0"/>
        <w:tblLook w:firstColumn="1" w:firstRow="1" w:lastColumn="0" w:lastRow="0" w:noHBand="0" w:noVBand="1" w:val="04A0"/>
        <w:tblW w:w="5000" w:type="pct"/>
        <w:tblBorders>
          <w:top w:val="single" w:sz="4" w:space="0" w:color="C7D2DD"/>
          <w:left w:val="single" w:sz="18" w:space="0" w:color="1E3A5F"/>
          <w:bottom w:val="single" w:sz="4" w:space="0" w:color="C7D2DD"/>
          <w:right w:val="single" w:sz="4" w:space="0" w:color="C7D2DD"/>
          <w:insideH w:val="none" w:sz="0" w:space="0" w:color="auto"/>
          <w:insideV w:val="none" w:sz="0" w:space="0" w:color="auto"/>
        </w:tblBorders>
      </w:tblPr>
      <w:tblGrid>
        <w:gridCol w:w="4320"/>
        <w:gridCol w:w="4320"/>
      </w:tblGrid>
      <w:tr>
        <w:tc>
          <w:tcPr>
            <w:tcW w:type="dxa" w:w="4320"/>
            <w:shd w:val="clear" w:fill="F4F7FA"/>
            <w:vAlign w:val="center"/>
            <w:tcW w:w="540" w:type="dxa"/>
          </w:tcPr>
          <w:p>
            <w:pPr>
              <w:jc w:val="center"/>
            </w:pPr>
            <w:r>
              <w:rPr>
                <w:sz w:val="32"/>
              </w:rPr>
              <w:t>💡</w:t>
            </w:r>
          </w:p>
        </w:tc>
        <w:tc>
          <w:tcPr>
            <w:tcW w:type="dxa" w:w="4320"/>
            <w:shd w:val="clear" w:fill="F4F7FA"/>
            <w:vAlign w:val="center"/>
          </w:tcPr>
          <w:p>
            <w:r>
              <w:rPr>
                <w:b/>
                <w:color w:val="1E3A5F"/>
                <w:sz w:val="19"/>
              </w:rPr>
              <w:t xml:space="preserve">Residual risk acceptance : </w:t>
            </w:r>
            <w:r>
              <w:rPr>
                <w:sz w:val="19"/>
              </w:rPr>
              <w:t>the residual risk is the level of risk that remains once the treatment measures are implemented; it can never be entirely nil. Management must explicitly decide on its acceptance, arbitrate the risks deemed still too high, and record this decision, which engages its responsibility.</w:t>
            </w:r>
          </w:p>
        </w:tc>
      </w:tr>
    </w:tbl>
    <w:p>
      <w:pPr>
        <w:sectPr>
          <w:footerReference w:type="default" r:id="rId21"/>
          <w:pgSz w:w="12240" w:h="15840"/>
          <w:pgMar w:top="1440" w:right="1800" w:bottom="1440" w:left="1800" w:header="720" w:footer="720" w:gutter="0"/>
          <w:cols w:space="720"/>
          <w:docGrid w:linePitch="360"/>
        </w:sectPr>
      </w:pPr>
    </w:p>
    <w:p>
      <w:pPr>
        <w:pStyle w:val="Heading1"/>
        <w:numPr>
          <w:ilvl w:val="0"/>
          <w:numId w:val="0"/>
        </w:numPr>
      </w:pPr>
      <w:r>
        <w:t>Appendices</w:t>
      </w:r>
    </w:p>
    <w:p>
      <w:bookmarkStart w:id="1" w:name="annexe_gravite"/>
      <w:pPr>
        <w:pStyle w:val="Heading2"/>
        <w:numPr>
          <w:ilvl w:val="0"/>
          <w:numId w:val="0"/>
        </w:numPr>
      </w:pPr>
      <w:r>
        <w:t>Appendix A — Severity scale</w:t>
      </w:r>
      <w:bookmarkEnd w:id="1"/>
    </w:p>
    <w:p>
      <w:r>
        <w:t>Severity scale used for this study, adapted to the organisation's context; each feared event is positioned on it (cf. Feared events).</w:t>
      </w:r>
    </w:p>
    <w:tbl>
      <w:tblPr>
        <w:tblStyle w:val="LightGrid-Accent1"/>
        <w:tblW w:type="auto" w:w="0"/>
        <w:tblLayout w:type="autofit"/>
        <w:tblLook w:firstColumn="1" w:firstRow="1" w:lastColumn="0" w:lastRow="0" w:noHBand="0" w:noVBand="1" w:val="04A0"/>
      </w:tblPr>
      <w:tblGrid>
        <w:gridCol w:w="1530"/>
        <w:gridCol w:w="1530"/>
        <w:gridCol w:w="1530"/>
        <w:gridCol w:w="1530"/>
        <w:gridCol w:w="1530"/>
        <w:gridCol w:w="1530"/>
        <w:gridCol w:w="1530"/>
        <w:gridCol w:w="1530"/>
      </w:tblGrid>
      <w:tr>
        <w:tc>
          <w:tcPr>
            <w:tcW w:type="auto" w:w="0"/>
          </w:tcPr>
          <w:p>
            <w:r>
              <w:rPr>
                <w:b/>
              </w:rPr>
              <w:t>Level</w:t>
            </w:r>
          </w:p>
        </w:tc>
        <w:tc>
          <w:tcPr>
            <w:tcW w:type="auto" w:w="0"/>
          </w:tcPr>
          <w:p>
            <w:r>
              <w:rPr>
                <w:b/>
              </w:rPr>
              <w:t>Label</w:t>
            </w:r>
          </w:p>
        </w:tc>
        <w:tc>
          <w:tcPr>
            <w:tcW w:type="auto" w:w="0"/>
          </w:tcPr>
          <w:p>
            <w:r>
              <w:rPr>
                <w:b/>
              </w:rPr>
              <w:t>Description</w:t>
            </w:r>
          </w:p>
        </w:tc>
        <w:tc>
          <w:tcPr>
            <w:tcW w:type="auto" w:w="0"/>
          </w:tcPr>
          <w:p>
            <w:r>
              <w:rPr>
                <w:b/>
              </w:rPr>
              <w:t>Financial impact</w:t>
            </w:r>
          </w:p>
        </w:tc>
        <w:tc>
          <w:tcPr>
            <w:tcW w:type="auto" w:w="0"/>
          </w:tcPr>
          <w:p>
            <w:r>
              <w:rPr>
                <w:b/>
              </w:rPr>
              <w:t>Reputation impact</w:t>
            </w:r>
          </w:p>
        </w:tc>
        <w:tc>
          <w:tcPr>
            <w:tcW w:type="auto" w:w="0"/>
          </w:tcPr>
          <w:p>
            <w:r>
              <w:rPr>
                <w:b/>
              </w:rPr>
              <w:t>Regulatory impact</w:t>
            </w:r>
          </w:p>
        </w:tc>
        <w:tc>
          <w:tcPr>
            <w:tcW w:type="auto" w:w="0"/>
          </w:tcPr>
          <w:p>
            <w:r>
              <w:rPr>
                <w:b/>
              </w:rPr>
              <w:t>Personal-data impact</w:t>
            </w:r>
          </w:p>
        </w:tc>
        <w:tc>
          <w:tcPr>
            <w:tcW w:type="auto" w:w="0"/>
          </w:tcPr>
          <w:p>
            <w:r>
              <w:rPr>
                <w:b/>
              </w:rPr>
              <w:t>Operational impact</w:t>
            </w:r>
          </w:p>
        </w:tc>
      </w:tr>
      <w:tr>
        <w:tc>
          <w:tcPr>
            <w:tcW w:type="auto" w:w="0"/>
          </w:tcPr>
          <w:p>
            <w:r>
              <w:t>{#gravity_scale}{niveau}</w:t>
            </w:r>
          </w:p>
        </w:tc>
        <w:tc>
          <w:tcPr>
            <w:tcW w:type="auto" w:w="0"/>
          </w:tcPr>
          <w:p>
            <w:r>
              <w:t>{label}</w:t>
            </w:r>
          </w:p>
        </w:tc>
        <w:tc>
          <w:tcPr>
            <w:tcW w:type="auto" w:w="0"/>
          </w:tcPr>
          <w:p>
            <w:r>
              <w:t>{description}</w:t>
            </w:r>
          </w:p>
        </w:tc>
        <w:tc>
          <w:tcPr>
            <w:tcW w:type="auto" w:w="0"/>
          </w:tcPr>
          <w:p>
            <w:r>
              <w:t>{impact_financier}</w:t>
            </w:r>
          </w:p>
        </w:tc>
        <w:tc>
          <w:tcPr>
            <w:tcW w:type="auto" w:w="0"/>
          </w:tcPr>
          <w:p>
            <w:r>
              <w:t>{impact_reputation}</w:t>
            </w:r>
          </w:p>
        </w:tc>
        <w:tc>
          <w:tcPr>
            <w:tcW w:type="auto" w:w="0"/>
          </w:tcPr>
          <w:p>
            <w:r>
              <w:t>{impact_reglementaire}</w:t>
            </w:r>
          </w:p>
        </w:tc>
        <w:tc>
          <w:tcPr>
            <w:tcW w:type="auto" w:w="0"/>
          </w:tcPr>
          <w:p>
            <w:r>
              <w:t>{impact_donnees_perso}</w:t>
            </w:r>
          </w:p>
        </w:tc>
        <w:tc>
          <w:tcPr>
            <w:tcW w:type="auto" w:w="0"/>
          </w:tcPr>
          <w:p>
            <w:r>
              <w:t>{impact_operationnel}{/gravity_scale}</w:t>
            </w:r>
          </w:p>
        </w:tc>
      </w:tr>
    </w:tbl>
    <w:p>
      <w:pPr>
        <w:jc w:val="center"/>
      </w:pPr>
      <w:r>
        <w:rPr>
          <w:b/>
          <w:color w:val="556070"/>
          <w:sz w:val="17"/>
        </w:rPr>
        <w:t xml:space="preserve">Table </w:t>
      </w:r>
      <w:r>
        <w:rPr>
          <w:b/>
          <w:color w:val="556070"/>
          <w:sz w:val="17"/>
        </w:rPr>
        <w:fldChar w:fldCharType="begin"/>
      </w:r>
      <w:r>
        <w:rPr>
          <w:b/>
          <w:color w:val="556070"/>
          <w:sz w:val="17"/>
        </w:rPr>
        <w:instrText xml:space="preserve"> SEQ tbl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Severity scale and impact criteria</w:t>
      </w:r>
    </w:p>
    <w:p>
      <w:pPr>
        <w:sectPr>
          <w:footerReference w:type="default" r:id="rId22"/>
          <w:pgSz w:w="15840" w:h="12240" w:orient="landscape"/>
          <w:pgMar w:top="1440" w:right="1800" w:bottom="1440" w:left="1800" w:header="720" w:footer="720" w:gutter="0"/>
          <w:cols w:space="720"/>
          <w:docGrid w:linePitch="360"/>
        </w:sectPr>
      </w:pPr>
    </w:p>
    <w:p>
      <w:bookmarkStart w:id="2" w:name="annexe_risque"/>
      <w:pPr>
        <w:pStyle w:val="Heading2"/>
        <w:numPr>
          <w:ilvl w:val="0"/>
          <w:numId w:val="0"/>
        </w:numPr>
      </w:pPr>
      <w:r>
        <w:t>Appendix B — Risk levels (severity × likelihood)</w:t>
      </w:r>
      <w:bookmarkEnd w:id="2"/>
    </w:p>
    <w:p>
      <w:r>
        <w:t>Risk acceptability matrix configured in the study: each (severity, likelihood) pair maps to a risk level.</w:t>
      </w:r>
    </w:p>
    <w:p>
      <w:pPr>
        <w:jc w:val="center"/>
      </w:pPr>
      <w:r>
        <w:t>@@IMG:risk_matrix_ref@@</w:t>
      </w:r>
    </w:p>
    <w:p>
      <w:pPr>
        <w:jc w:val="center"/>
      </w:pPr>
      <w:r>
        <w:rPr>
          <w:b/>
          <w:color w:val="556070"/>
          <w:sz w:val="17"/>
        </w:rPr>
        <w:t xml:space="preserve">Figure </w:t>
      </w:r>
      <w:r>
        <w:rPr>
          <w:b/>
          <w:color w:val="556070"/>
          <w:sz w:val="17"/>
        </w:rPr>
        <w:fldChar w:fldCharType="begin"/>
      </w:r>
      <w:r>
        <w:rPr>
          <w:b/>
          <w:color w:val="556070"/>
          <w:sz w:val="17"/>
        </w:rPr>
        <w:instrText xml:space="preserve"> SEQ fig \* ARABIC </w:instrText>
      </w:r>
      <w:r>
        <w:rPr>
          <w:b/>
          <w:color w:val="556070"/>
          <w:sz w:val="17"/>
        </w:rPr>
        <w:fldChar w:fldCharType="separate"/>
      </w:r>
      <w:r>
        <w:rPr>
          <w:b/>
          <w:color w:val="556070"/>
          <w:sz w:val="17"/>
        </w:rPr>
        <w:t>1</w:t>
      </w:r>
      <w:r>
        <w:rPr>
          <w:b/>
          <w:color w:val="556070"/>
          <w:sz w:val="17"/>
        </w:rPr>
        <w:fldChar w:fldCharType="end"/>
      </w:r>
      <w:r>
        <w:rPr>
          <w:b/>
          <w:color w:val="556070"/>
          <w:sz w:val="17"/>
        </w:rPr>
        <w:t xml:space="preserve"> — Risk acceptability matrix (severity × likelihood)</w:t>
      </w:r>
    </w:p>
    <w:sectPr w:rsidR="00FC693F" w:rsidRPr="0006063C" w:rsidSect="00034616">
      <w:foot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120" w:val="center"/>
        <w:tab w:pos="138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10267" w:val="right"/>
      </w:tabs>
    </w:pPr>
    <w:r/>
    <w:r>
      <w:rPr>
        <w:color w:val="556070"/>
        <w:sz w:val="17"/>
      </w:rPr>
      <w:tab/>
      <w:t>Risk Analysis Report — EBIOS Risk Manager</w:t>
    </w:r>
    <w:r>
      <w:rPr>
        <w:color w:val="556070"/>
        <w:sz w:val="17"/>
      </w:rPr>
      <w:tab/>
    </w:r>
    <w:r>
      <w:rPr>
        <w:color w:val="556070"/>
        <w:sz w:val="17"/>
      </w:rPr>
      <w:fldChar w:fldCharType="begin" w:dirty="true"/>
    </w:r>
    <w:r>
      <w:rPr>
        <w:color w:val="556070"/>
        <w:sz w:val="17"/>
      </w:rPr>
      <w:instrText xml:space="preserve"> PAGE </w:instrText>
    </w:r>
    <w:r>
      <w:rPr>
        <w:color w:val="556070"/>
        <w:sz w:val="17"/>
      </w:rPr>
      <w:fldChar w:fldCharType="separate"/>
    </w:r>
    <w:r>
      <w:rPr>
        <w:color w:val="556070"/>
        <w:sz w:val="17"/>
      </w:rPr>
      <w:t>1</w:t>
    </w:r>
    <w:r>
      <w:rPr>
        <w:color w:val="556070"/>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50">
    <w:multiLevelType w:val="multilevel"/>
    <w:lvl w:ilvl="0">
      <w:start w:val="1"/>
      <w:numFmt w:val="decimal"/>
      <w:lvlText w:val="%1."/>
      <w:lvlJc w:val="left"/>
      <w:pPr>
        <w:ind w:left="0" w:hanging="0"/>
      </w:pPr>
    </w:lvl>
    <w:lvl w:ilvl="1">
      <w:start w:val="1"/>
      <w:numFmt w:val="decimal"/>
      <w:lvlText w:val="%1.%2"/>
      <w:lvlJc w:val="left"/>
      <w:pPr>
        <w:ind w:left="0" w:hanging="0"/>
      </w:pPr>
    </w:lvl>
    <w:lvl w:ilvl="2">
      <w:start w:val="1"/>
      <w:numFmt w:val="decimal"/>
      <w:lvlText w:val="%1.%2.%3"/>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numPr>
        <w:ilvl w:val="0"/>
        <w:numId w:val="50"/>
      </w:numPr>
    </w:pPr>
    <w:rPr>
      <w:rFonts w:asciiTheme="majorHAnsi" w:eastAsiaTheme="majorEastAsia" w:hAnsiTheme="majorHAnsi" w:cstheme="majorBid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numPr>
        <w:ilvl w:val="1"/>
        <w:numId w:val="50"/>
      </w:numPr>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numPr>
        <w:ilvl w:val="2"/>
        <w:numId w:val="50"/>
      </w:numPr>
    </w:pPr>
    <w:rPr>
      <w:rFonts w:asciiTheme="majorHAnsi" w:eastAsiaTheme="majorEastAsia" w:hAnsiTheme="majorHAnsi" w:cstheme="majorBid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