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2330" w:val="clear"/>
            <w:tcMar>
              <w:top w:type="dxa" w:w="0"/>
              <w:left w:type="dxa" w:w="1200"/>
              <w:bottom w:type="dxa" w:w="0"/>
              <w:right w:type="dxa" w:w="1200"/>
            </w:tcMar>
            <w:vAlign w:val="top"/>
          </w:tcPr>
          <w:p>
            <w:pPr>
              <w:pBdr>
                <w:bottom w:val="single" w:color="D4875A" w:sz="6" w:space="12"/>
              </w:pBdr>
              <w:spacing w:after="200" w:before="4200"/>
            </w:pPr>
            <w:r>
              <w:rPr>
                <w:rFonts w:ascii="Times New Roman"/>
                <w:b/>
                <w:bCs/>
                <w:color w:val="FFFFFF"/>
                <w:sz w:val="48"/>
                <w:szCs w:val="48"/>
              </w:rPr>
              <w:t xml:space="preserve">Technical Design Document</w:t>
            </w:r>
          </w:p>
          <w:p>
            <w:pPr>
              <w:spacing w:after="100" w:before="300"/>
            </w:pPr>
            <w:r>
              <w:rPr>
                <w:rFonts w:ascii="Times New Roman"/>
                <w:color w:val="B0B8C0"/>
                <w:sz w:val="40"/>
                <w:szCs w:val="40"/>
              </w:rPr>
              <w:t xml:space="preserve">CSV Compare Pipeline</w:t>
            </w:r>
          </w:p>
          <w:p>
            <w:pPr>
              <w:spacing w:after="0" w:before="80"/>
            </w:pPr>
            <w:r>
              <w:rPr>
                <w:rFonts w:ascii="Times New Roman"/>
                <w:color w:val="B0B8C0"/>
                <w:sz w:val="26"/>
                <w:szCs w:val="26"/>
              </w:rPr>
              <w:t xml:space="preserve">Configurable Data Comparison &amp; Reporting Engine</w:t>
            </w:r>
          </w:p>
          <w:p>
            <w:pPr>
              <w:spacing w:before="1800"/>
            </w:pPr>
          </w:p>
          <w:p>
            <w:pPr>
              <w:spacing w:after="60"/>
            </w:pPr>
            <w:r>
              <w:rPr>
                <w:rFonts w:ascii="Times New Roman"/>
                <w:color w:val="90989F"/>
                <w:sz w:val="20"/>
                <w:szCs w:val="20"/>
              </w:rPr>
              <w:t xml:space="preserve">Version 1.0  |  Architecture &amp; Specifications</w:t>
            </w:r>
          </w:p>
          <w:p>
            <w:pPr>
              <w:spacing w:after="60"/>
            </w:pPr>
            <w:r>
              <w:rPr>
                <w:rFonts w:ascii="Times New Roman"/>
                <w:color w:val="90989F"/>
                <w:sz w:val="20"/>
                <w:szCs w:val="20"/>
              </w:rPr>
              <w:t xml:space="preserve">April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2C2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Architecture Overview</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High-Level Architecture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Pipeline Flow</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Layer Separation Diagram</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Core Engine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Engine Module (engine.py)</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3.1.1 Responsibilities</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3.1.2 PipelineContext Object</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3.1.3 Stage Interface Contract</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3.2 Data Processing Library: pandas</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3.2.1 Why pandas</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3.2.2 Memory Management Strategy</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3.2.3 Data Type Handling</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4. Configuration System</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4.1 Design Philosophy</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4.2 Configuration Schema</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4.2.1 Metadata Section</w:t>
            </w:r>
            <w:r>
              <w:tab/>
            </w:r>
            <w:r>
              <w:fldChar w:fldCharType="begin"/>
            </w:r>
            <w:r>
              <w:instrText xml:space="preserve"> PAGEREF _Toc100017 \h </w:instrText>
            </w:r>
            <w:r>
              <w:fldChar w:fldCharType="separate"/>
            </w:r>
            <w:r>
              <w:t>6</w:t>
            </w:r>
            <w:r>
              <w:fldChar w:fldCharType="end"/>
            </w:r>
          </w:hyperlink>
        </w:p>
        <w:p>
          <w:pPr>
            <w:pStyle w:val="12"/>
            <w:ind w:left="720"/>
            <w:tabs>
              <w:tab w:val="right" w:leader="dot" w:pos="9026"/>
            </w:tabs>
            <w:spacing w:before="120" w:after="60"/>
          </w:pPr>
          <w:hyperlink w:anchor="_Toc100018" w:history="1">
            <w:r>
              <w:rPr>
                <w:rStyle w:val="Hyperlink"/>
              </w:rPr>
              <w:t>4.2.2 Sources Section</w:t>
            </w:r>
            <w:r>
              <w:tab/>
            </w:r>
            <w:r>
              <w:fldChar w:fldCharType="begin"/>
            </w:r>
            <w:r>
              <w:instrText xml:space="preserve"> PAGEREF _Toc100018 \h </w:instrText>
            </w:r>
            <w:r>
              <w:fldChar w:fldCharType="separate"/>
            </w:r>
            <w:r>
              <w:t>6</w:t>
            </w:r>
            <w:r>
              <w:fldChar w:fldCharType="end"/>
            </w:r>
          </w:hyperlink>
        </w:p>
        <w:p>
          <w:pPr>
            <w:pStyle w:val="12"/>
            <w:ind w:left="720"/>
            <w:tabs>
              <w:tab w:val="right" w:leader="dot" w:pos="9026"/>
            </w:tabs>
            <w:spacing w:before="120" w:after="60"/>
          </w:pPr>
          <w:hyperlink w:anchor="_Toc100019" w:history="1">
            <w:r>
              <w:rPr>
                <w:rStyle w:val="Hyperlink"/>
              </w:rPr>
              <w:t>4.2.3 Key Column and Column Mappings</w:t>
            </w:r>
            <w:r>
              <w:tab/>
            </w:r>
            <w:r>
              <w:fldChar w:fldCharType="begin"/>
            </w:r>
            <w:r>
              <w:instrText xml:space="preserve"> PAGEREF _Toc100019 \h </w:instrText>
            </w:r>
            <w:r>
              <w:fldChar w:fldCharType="separate"/>
            </w:r>
            <w:r>
              <w:t>6</w:t>
            </w:r>
            <w:r>
              <w:fldChar w:fldCharType="end"/>
            </w:r>
          </w:hyperlink>
        </w:p>
        <w:p>
          <w:pPr>
            <w:pStyle w:val="12"/>
            <w:ind w:left="720"/>
            <w:tabs>
              <w:tab w:val="right" w:leader="dot" w:pos="9026"/>
            </w:tabs>
            <w:spacing w:before="120" w:after="60"/>
          </w:pPr>
          <w:hyperlink w:anchor="_Toc100020" w:history="1">
            <w:r>
              <w:rPr>
                <w:rStyle w:val="Hyperlink"/>
              </w:rPr>
              <w:t>4.2.4 Pre-Filters Section</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4.2.5 Normalization Rules Section</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4.2.6 Report Section</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4.3 Config Validation Rules</w:t>
            </w:r>
            <w:r>
              <w:tab/>
            </w:r>
            <w:r>
              <w:fldChar w:fldCharType="begin"/>
            </w:r>
            <w:r>
              <w:instrText xml:space="preserve"> PAGEREF _Toc100023 \h </w:instrText>
            </w:r>
            <w:r>
              <w:fldChar w:fldCharType="separate"/>
            </w:r>
            <w:r>
              <w:t>7</w:t>
            </w:r>
            <w:r>
              <w:fldChar w:fldCharType="end"/>
            </w:r>
          </w:hyperlink>
        </w:p>
        <w:p>
          <w:pPr>
            <w:pStyle w:val="9"/>
            <w:tabs>
              <w:tab w:val="right" w:leader="dot" w:pos="9026"/>
            </w:tabs>
            <w:spacing w:before="120" w:after="60"/>
          </w:pPr>
          <w:hyperlink w:anchor="_Toc100024" w:history="1">
            <w:r>
              <w:rPr>
                <w:rStyle w:val="Hyperlink"/>
              </w:rPr>
              <w:t>5. Import Engine (importer.py)</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5.1 Responsibilities</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5.2 Encoding Detection</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5.3 Chunked Reading Strategy</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5.4 Design Rules</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6. Filter Engine (filter.py)</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6.1 Responsibilities</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6.2 Supported Operators</w:t>
            </w:r>
            <w:r>
              <w:tab/>
            </w:r>
            <w:r>
              <w:fldChar w:fldCharType="begin"/>
            </w:r>
            <w:r>
              <w:instrText xml:space="preserve"> PAGEREF _Toc100031 \h </w:instrText>
            </w:r>
            <w:r>
              <w:fldChar w:fldCharType="separate"/>
            </w:r>
            <w:r>
              <w:t>9</w:t>
            </w:r>
            <w:r>
              <w:fldChar w:fldCharType="end"/>
            </w:r>
          </w:hyperlink>
        </w:p>
        <w:p>
          <w:pPr>
            <w:pStyle w:val="11"/>
            <w:ind w:left="360"/>
            <w:tabs>
              <w:tab w:val="right" w:leader="dot" w:pos="9026"/>
            </w:tabs>
            <w:spacing w:before="120" w:after="60"/>
          </w:pPr>
          <w:hyperlink w:anchor="_Toc100032" w:history="1">
            <w:r>
              <w:rPr>
                <w:rStyle w:val="Hyperlink"/>
              </w:rPr>
              <w:t>6.3 Rule Evaluation Order</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6.4 Design Rules</w:t>
            </w:r>
            <w:r>
              <w:tab/>
            </w:r>
            <w:r>
              <w:fldChar w:fldCharType="begin"/>
            </w:r>
            <w:r>
              <w:instrText xml:space="preserve"> PAGEREF _Toc100033 \h </w:instrText>
            </w:r>
            <w:r>
              <w:fldChar w:fldCharType="separate"/>
            </w:r>
            <w:r>
              <w:t>10</w:t>
            </w:r>
            <w:r>
              <w:fldChar w:fldCharType="end"/>
            </w:r>
          </w:hyperlink>
        </w:p>
        <w:p>
          <w:pPr>
            <w:pStyle w:val="9"/>
            <w:tabs>
              <w:tab w:val="right" w:leader="dot" w:pos="9026"/>
            </w:tabs>
            <w:spacing w:before="120" w:after="60"/>
          </w:pPr>
          <w:hyperlink w:anchor="_Toc100034" w:history="1">
            <w:r>
              <w:rPr>
                <w:rStyle w:val="Hyperlink"/>
              </w:rPr>
              <w:t>7. Normalization Engine (normalizer.py)</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7.1 Responsibilities</w:t>
            </w:r>
            <w:r>
              <w:tab/>
            </w:r>
            <w:r>
              <w:fldChar w:fldCharType="begin"/>
            </w:r>
            <w:r>
              <w:instrText xml:space="preserve"> PAGEREF _Toc100035 \h </w:instrText>
            </w:r>
            <w:r>
              <w:fldChar w:fldCharType="separate"/>
            </w:r>
            <w:r>
              <w:t>10</w:t>
            </w:r>
            <w:r>
              <w:fldChar w:fldCharType="end"/>
            </w:r>
          </w:hyperlink>
        </w:p>
        <w:p>
          <w:pPr>
            <w:pStyle w:val="11"/>
            <w:ind w:left="360"/>
            <w:tabs>
              <w:tab w:val="right" w:leader="dot" w:pos="9026"/>
            </w:tabs>
            <w:spacing w:before="120" w:after="60"/>
          </w:pPr>
          <w:hyperlink w:anchor="_Toc100036" w:history="1">
            <w:r>
              <w:rPr>
                <w:rStyle w:val="Hyperlink"/>
              </w:rPr>
              <w:t>7.2 Global Cleaning Rules</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7.3 Alias Groups and Value Mapping</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7.4 Fixed-Length Parsing</w:t>
            </w:r>
            <w:r>
              <w:tab/>
            </w:r>
            <w:r>
              <w:fldChar w:fldCharType="begin"/>
            </w:r>
            <w:r>
              <w:instrText xml:space="preserve"> PAGEREF _Toc100038 \h </w:instrText>
            </w:r>
            <w:r>
              <w:fldChar w:fldCharType="separate"/>
            </w:r>
            <w:r>
              <w:t>11</w:t>
            </w:r>
            <w:r>
              <w:fldChar w:fldCharType="end"/>
            </w:r>
          </w:hyperlink>
        </w:p>
        <w:p>
          <w:pPr>
            <w:pStyle w:val="11"/>
            <w:ind w:left="360"/>
            <w:tabs>
              <w:tab w:val="right" w:leader="dot" w:pos="9026"/>
            </w:tabs>
            <w:spacing w:before="120" w:after="60"/>
          </w:pPr>
          <w:hyperlink w:anchor="_Toc100039" w:history="1">
            <w:r>
              <w:rPr>
                <w:rStyle w:val="Hyperlink"/>
              </w:rPr>
              <w:t>7.5 Array String Parsing</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7.6 Design Rules</w:t>
            </w:r>
            <w:r>
              <w:tab/>
            </w:r>
            <w:r>
              <w:fldChar w:fldCharType="begin"/>
            </w:r>
            <w:r>
              <w:instrText xml:space="preserve"> PAGEREF _Toc100040 \h </w:instrText>
            </w:r>
            <w:r>
              <w:fldChar w:fldCharType="separate"/>
            </w:r>
            <w:r>
              <w:t>12</w:t>
            </w:r>
            <w:r>
              <w:fldChar w:fldCharType="end"/>
            </w:r>
          </w:hyperlink>
        </w:p>
        <w:p>
          <w:pPr>
            <w:pStyle w:val="9"/>
            <w:tabs>
              <w:tab w:val="right" w:leader="dot" w:pos="9026"/>
            </w:tabs>
            <w:spacing w:before="120" w:after="60"/>
          </w:pPr>
          <w:hyperlink w:anchor="_Toc100041" w:history="1">
            <w:r>
              <w:rPr>
                <w:rStyle w:val="Hyperlink"/>
              </w:rPr>
              <w:t>8. Comparator Engine (comparator.py)</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8.1 Responsibilities</w:t>
            </w:r>
            <w:r>
              <w:tab/>
            </w:r>
            <w:r>
              <w:fldChar w:fldCharType="begin"/>
            </w:r>
            <w:r>
              <w:instrText xml:space="preserve"> PAGEREF _Toc100042 \h </w:instrText>
            </w:r>
            <w:r>
              <w:fldChar w:fldCharType="separate"/>
            </w:r>
            <w:r>
              <w:t>12</w:t>
            </w:r>
            <w:r>
              <w:fldChar w:fldCharType="end"/>
            </w:r>
          </w:hyperlink>
        </w:p>
        <w:p>
          <w:pPr>
            <w:pStyle w:val="11"/>
            <w:ind w:left="360"/>
            <w:tabs>
              <w:tab w:val="right" w:leader="dot" w:pos="9026"/>
            </w:tabs>
            <w:spacing w:before="120" w:after="60"/>
          </w:pPr>
          <w:hyperlink w:anchor="_Toc100043" w:history="1">
            <w:r>
              <w:rPr>
                <w:rStyle w:val="Hyperlink"/>
              </w:rPr>
              <w:t>8.2 Join Strategy</w:t>
            </w:r>
            <w:r>
              <w:tab/>
            </w:r>
            <w:r>
              <w:fldChar w:fldCharType="begin"/>
            </w:r>
            <w:r>
              <w:instrText xml:space="preserve"> PAGEREF _Toc100043 \h </w:instrText>
            </w:r>
            <w:r>
              <w:fldChar w:fldCharType="separate"/>
            </w:r>
            <w:r>
              <w:t>12</w:t>
            </w:r>
            <w:r>
              <w:fldChar w:fldCharType="end"/>
            </w:r>
          </w:hyperlink>
        </w:p>
        <w:p>
          <w:pPr>
            <w:pStyle w:val="11"/>
            <w:ind w:left="360"/>
            <w:tabs>
              <w:tab w:val="right" w:leader="dot" w:pos="9026"/>
            </w:tabs>
            <w:spacing w:before="120" w:after="60"/>
          </w:pPr>
          <w:hyperlink w:anchor="_Toc100044" w:history="1">
            <w:r>
              <w:rPr>
                <w:rStyle w:val="Hyperlink"/>
              </w:rPr>
              <w:t>8.3 Comparison Methods</w:t>
            </w:r>
            <w:r>
              <w:tab/>
            </w:r>
            <w:r>
              <w:fldChar w:fldCharType="begin"/>
            </w:r>
            <w:r>
              <w:instrText xml:space="preserve"> PAGEREF _Toc100044 \h </w:instrText>
            </w:r>
            <w:r>
              <w:fldChar w:fldCharType="separate"/>
            </w:r>
            <w:r>
              <w:t>13</w:t>
            </w:r>
            <w:r>
              <w:fldChar w:fldCharType="end"/>
            </w:r>
          </w:hyperlink>
        </w:p>
        <w:p>
          <w:pPr>
            <w:pStyle w:val="11"/>
            <w:ind w:left="360"/>
            <w:tabs>
              <w:tab w:val="right" w:leader="dot" w:pos="9026"/>
            </w:tabs>
            <w:spacing w:before="120" w:after="60"/>
          </w:pPr>
          <w:hyperlink w:anchor="_Toc100045" w:history="1">
            <w:r>
              <w:rPr>
                <w:rStyle w:val="Hyperlink"/>
              </w:rPr>
              <w:t>8.4 Array Comparison Logic</w:t>
            </w:r>
            <w:r>
              <w:tab/>
            </w:r>
            <w:r>
              <w:fldChar w:fldCharType="begin"/>
            </w:r>
            <w:r>
              <w:instrText xml:space="preserve"> PAGEREF _Toc100045 \h </w:instrText>
            </w:r>
            <w:r>
              <w:fldChar w:fldCharType="separate"/>
            </w:r>
            <w:r>
              <w:t>13</w:t>
            </w:r>
            <w:r>
              <w:fldChar w:fldCharType="end"/>
            </w:r>
          </w:hyperlink>
        </w:p>
        <w:p>
          <w:pPr>
            <w:pStyle w:val="11"/>
            <w:ind w:left="360"/>
            <w:tabs>
              <w:tab w:val="right" w:leader="dot" w:pos="9026"/>
            </w:tabs>
            <w:spacing w:before="120" w:after="60"/>
          </w:pPr>
          <w:hyperlink w:anchor="_Toc100046" w:history="1">
            <w:r>
              <w:rPr>
                <w:rStyle w:val="Hyperlink"/>
              </w:rPr>
              <w:t>8.5 Design Rules</w:t>
            </w:r>
            <w:r>
              <w:tab/>
            </w:r>
            <w:r>
              <w:fldChar w:fldCharType="begin"/>
            </w:r>
            <w:r>
              <w:instrText xml:space="preserve"> PAGEREF _Toc100046 \h </w:instrText>
            </w:r>
            <w:r>
              <w:fldChar w:fldCharType="separate"/>
            </w:r>
            <w:r>
              <w:t>13</w:t>
            </w:r>
            <w:r>
              <w:fldChar w:fldCharType="end"/>
            </w:r>
          </w:hyperlink>
        </w:p>
        <w:p>
          <w:pPr>
            <w:pStyle w:val="9"/>
            <w:tabs>
              <w:tab w:val="right" w:leader="dot" w:pos="9026"/>
            </w:tabs>
            <w:spacing w:before="120" w:after="60"/>
          </w:pPr>
          <w:hyperlink w:anchor="_Toc100047" w:history="1">
            <w:r>
              <w:rPr>
                <w:rStyle w:val="Hyperlink"/>
              </w:rPr>
              <w:t>9. Stats Engine (stats.py)</w:t>
            </w:r>
            <w:r>
              <w:tab/>
            </w:r>
            <w:r>
              <w:fldChar w:fldCharType="begin"/>
            </w:r>
            <w:r>
              <w:instrText xml:space="preserve"> PAGEREF _Toc100047 \h </w:instrText>
            </w:r>
            <w:r>
              <w:fldChar w:fldCharType="separate"/>
            </w:r>
            <w:r>
              <w:t>13</w:t>
            </w:r>
            <w:r>
              <w:fldChar w:fldCharType="end"/>
            </w:r>
          </w:hyperlink>
        </w:p>
        <w:p>
          <w:pPr>
            <w:pStyle w:val="11"/>
            <w:ind w:left="360"/>
            <w:tabs>
              <w:tab w:val="right" w:leader="dot" w:pos="9026"/>
            </w:tabs>
            <w:spacing w:before="120" w:after="60"/>
          </w:pPr>
          <w:hyperlink w:anchor="_Toc100048" w:history="1">
            <w:r>
              <w:rPr>
                <w:rStyle w:val="Hyperlink"/>
              </w:rPr>
              <w:t>9.1 Three-Tiered Stat System</w:t>
            </w:r>
            <w:r>
              <w:tab/>
            </w:r>
            <w:r>
              <w:fldChar w:fldCharType="begin"/>
            </w:r>
            <w:r>
              <w:instrText xml:space="preserve"> PAGEREF _Toc100048 \h </w:instrText>
            </w:r>
            <w:r>
              <w:fldChar w:fldCharType="separate"/>
            </w:r>
            <w:r>
              <w:t>14</w:t>
            </w:r>
            <w:r>
              <w:fldChar w:fldCharType="end"/>
            </w:r>
          </w:hyperlink>
        </w:p>
        <w:p>
          <w:pPr>
            <w:pStyle w:val="12"/>
            <w:ind w:left="720"/>
            <w:tabs>
              <w:tab w:val="right" w:leader="dot" w:pos="9026"/>
            </w:tabs>
            <w:spacing w:before="120" w:after="60"/>
          </w:pPr>
          <w:hyperlink w:anchor="_Toc100049" w:history="1">
            <w:r>
              <w:rPr>
                <w:rStyle w:val="Hyperlink"/>
              </w:rPr>
              <w:t>9.1.1 Tier 1: Built-in Stat Library</w:t>
            </w:r>
            <w:r>
              <w:tab/>
            </w:r>
            <w:r>
              <w:fldChar w:fldCharType="begin"/>
            </w:r>
            <w:r>
              <w:instrText xml:space="preserve"> PAGEREF _Toc100049 \h </w:instrText>
            </w:r>
            <w:r>
              <w:fldChar w:fldCharType="separate"/>
            </w:r>
            <w:r>
              <w:t>14</w:t>
            </w:r>
            <w:r>
              <w:fldChar w:fldCharType="end"/>
            </w:r>
          </w:hyperlink>
        </w:p>
        <w:p>
          <w:pPr>
            <w:pStyle w:val="12"/>
            <w:ind w:left="720"/>
            <w:tabs>
              <w:tab w:val="right" w:leader="dot" w:pos="9026"/>
            </w:tabs>
            <w:spacing w:before="120" w:after="60"/>
          </w:pPr>
          <w:hyperlink w:anchor="_Toc100050" w:history="1">
            <w:r>
              <w:rPr>
                <w:rStyle w:val="Hyperlink"/>
              </w:rPr>
              <w:t>9.1.2 Tier 2: Inline Expression Stats</w:t>
            </w:r>
            <w:r>
              <w:tab/>
            </w:r>
            <w:r>
              <w:fldChar w:fldCharType="begin"/>
            </w:r>
            <w:r>
              <w:instrText xml:space="preserve"> PAGEREF _Toc100050 \h </w:instrText>
            </w:r>
            <w:r>
              <w:fldChar w:fldCharType="separate"/>
            </w:r>
            <w:r>
              <w:t>14</w:t>
            </w:r>
            <w:r>
              <w:fldChar w:fldCharType="end"/>
            </w:r>
          </w:hyperlink>
        </w:p>
        <w:p>
          <w:pPr>
            <w:pStyle w:val="12"/>
            <w:ind w:left="720"/>
            <w:tabs>
              <w:tab w:val="right" w:leader="dot" w:pos="9026"/>
            </w:tabs>
            <w:spacing w:before="120" w:after="60"/>
          </w:pPr>
          <w:hyperlink w:anchor="_Toc100051" w:history="1">
            <w:r>
              <w:rPr>
                <w:rStyle w:val="Hyperlink"/>
              </w:rPr>
              <w:t>9.1.3 Tier 3: Plugin Stats</w:t>
            </w:r>
            <w:r>
              <w:tab/>
            </w:r>
            <w:r>
              <w:fldChar w:fldCharType="begin"/>
            </w:r>
            <w:r>
              <w:instrText xml:space="preserve"> PAGEREF _Toc100051 \h </w:instrText>
            </w:r>
            <w:r>
              <w:fldChar w:fldCharType="separate"/>
            </w:r>
            <w:r>
              <w:t>14</w:t>
            </w:r>
            <w:r>
              <w:fldChar w:fldCharType="end"/>
            </w:r>
          </w:hyperlink>
        </w:p>
        <w:p>
          <w:pPr>
            <w:pStyle w:val="11"/>
            <w:ind w:left="360"/>
            <w:tabs>
              <w:tab w:val="right" w:leader="dot" w:pos="9026"/>
            </w:tabs>
            <w:spacing w:before="120" w:after="60"/>
          </w:pPr>
          <w:hyperlink w:anchor="_Toc100052" w:history="1">
            <w:r>
              <w:rPr>
                <w:rStyle w:val="Hyperlink"/>
              </w:rPr>
              <w:t>9.2 Name Conflict Resolution</w:t>
            </w:r>
            <w:r>
              <w:tab/>
            </w:r>
            <w:r>
              <w:fldChar w:fldCharType="begin"/>
            </w:r>
            <w:r>
              <w:instrText xml:space="preserve"> PAGEREF _Toc100052 \h </w:instrText>
            </w:r>
            <w:r>
              <w:fldChar w:fldCharType="separate"/>
            </w:r>
            <w:r>
              <w:t>15</w:t>
            </w:r>
            <w:r>
              <w:fldChar w:fldCharType="end"/>
            </w:r>
          </w:hyperlink>
        </w:p>
        <w:p>
          <w:pPr>
            <w:pStyle w:val="11"/>
            <w:ind w:left="360"/>
            <w:tabs>
              <w:tab w:val="right" w:leader="dot" w:pos="9026"/>
            </w:tabs>
            <w:spacing w:before="120" w:after="60"/>
          </w:pPr>
          <w:hyperlink w:anchor="_Toc100053" w:history="1">
            <w:r>
              <w:rPr>
                <w:rStyle w:val="Hyperlink"/>
              </w:rPr>
              <w:t>9.3 Design Rules</w:t>
            </w:r>
            <w:r>
              <w:tab/>
            </w:r>
            <w:r>
              <w:fldChar w:fldCharType="begin"/>
            </w:r>
            <w:r>
              <w:instrText xml:space="preserve"> PAGEREF _Toc100053 \h </w:instrText>
            </w:r>
            <w:r>
              <w:fldChar w:fldCharType="separate"/>
            </w:r>
            <w:r>
              <w:t>15</w:t>
            </w:r>
            <w:r>
              <w:fldChar w:fldCharType="end"/>
            </w:r>
          </w:hyperlink>
        </w:p>
        <w:p>
          <w:pPr>
            <w:pStyle w:val="9"/>
            <w:tabs>
              <w:tab w:val="right" w:leader="dot" w:pos="9026"/>
            </w:tabs>
            <w:spacing w:before="120" w:after="60"/>
          </w:pPr>
          <w:hyperlink w:anchor="_Toc100054" w:history="1">
            <w:r>
              <w:rPr>
                <w:rStyle w:val="Hyperlink"/>
              </w:rPr>
              <w:t>10. Plugin System (plugin_loader.py)</w:t>
            </w:r>
            <w:r>
              <w:tab/>
            </w:r>
            <w:r>
              <w:fldChar w:fldCharType="begin"/>
            </w:r>
            <w:r>
              <w:instrText xml:space="preserve"> PAGEREF _Toc100054 \h </w:instrText>
            </w:r>
            <w:r>
              <w:fldChar w:fldCharType="separate"/>
            </w:r>
            <w:r>
              <w:t>15</w:t>
            </w:r>
            <w:r>
              <w:fldChar w:fldCharType="end"/>
            </w:r>
          </w:hyperlink>
        </w:p>
        <w:p>
          <w:pPr>
            <w:pStyle w:val="11"/>
            <w:ind w:left="360"/>
            <w:tabs>
              <w:tab w:val="right" w:leader="dot" w:pos="9026"/>
            </w:tabs>
            <w:spacing w:before="120" w:after="60"/>
          </w:pPr>
          <w:hyperlink w:anchor="_Toc100055" w:history="1">
            <w:r>
              <w:rPr>
                <w:rStyle w:val="Hyperlink"/>
              </w:rPr>
              <w:t>10.1 Plugin Architecture</w:t>
            </w:r>
            <w:r>
              <w:tab/>
            </w:r>
            <w:r>
              <w:fldChar w:fldCharType="begin"/>
            </w:r>
            <w:r>
              <w:instrText xml:space="preserve"> PAGEREF _Toc100055 \h </w:instrText>
            </w:r>
            <w:r>
              <w:fldChar w:fldCharType="separate"/>
            </w:r>
            <w:r>
              <w:t>15</w:t>
            </w:r>
            <w:r>
              <w:fldChar w:fldCharType="end"/>
            </w:r>
          </w:hyperlink>
        </w:p>
        <w:p>
          <w:pPr>
            <w:pStyle w:val="11"/>
            <w:ind w:left="360"/>
            <w:tabs>
              <w:tab w:val="right" w:leader="dot" w:pos="9026"/>
            </w:tabs>
            <w:spacing w:before="120" w:after="60"/>
          </w:pPr>
          <w:hyperlink w:anchor="_Toc100056" w:history="1">
            <w:r>
              <w:rPr>
                <w:rStyle w:val="Hyperlink"/>
              </w:rPr>
              <w:t>10.2 Plugin Lifecycle</w:t>
            </w:r>
            <w:r>
              <w:tab/>
            </w:r>
            <w:r>
              <w:fldChar w:fldCharType="begin"/>
            </w:r>
            <w:r>
              <w:instrText xml:space="preserve"> PAGEREF _Toc100056 \h </w:instrText>
            </w:r>
            <w:r>
              <w:fldChar w:fldCharType="separate"/>
            </w:r>
            <w:r>
              <w:t>15</w:t>
            </w:r>
            <w:r>
              <w:fldChar w:fldCharType="end"/>
            </w:r>
          </w:hyperlink>
        </w:p>
        <w:p>
          <w:pPr>
            <w:pStyle w:val="11"/>
            <w:ind w:left="360"/>
            <w:tabs>
              <w:tab w:val="right" w:leader="dot" w:pos="9026"/>
            </w:tabs>
            <w:spacing w:before="120" w:after="60"/>
          </w:pPr>
          <w:hyperlink w:anchor="_Toc100057" w:history="1">
            <w:r>
              <w:rPr>
                <w:rStyle w:val="Hyperlink"/>
              </w:rPr>
              <w:t>10.3 Plugin API Contract</w:t>
            </w:r>
            <w:r>
              <w:tab/>
            </w:r>
            <w:r>
              <w:fldChar w:fldCharType="begin"/>
            </w:r>
            <w:r>
              <w:instrText xml:space="preserve"> PAGEREF _Toc100057 \h </w:instrText>
            </w:r>
            <w:r>
              <w:fldChar w:fldCharType="separate"/>
            </w:r>
            <w:r>
              <w:t>16</w:t>
            </w:r>
            <w:r>
              <w:fldChar w:fldCharType="end"/>
            </w:r>
          </w:hyperlink>
        </w:p>
        <w:p>
          <w:pPr>
            <w:pStyle w:val="11"/>
            <w:ind w:left="360"/>
            <w:tabs>
              <w:tab w:val="right" w:leader="dot" w:pos="9026"/>
            </w:tabs>
            <w:spacing w:before="120" w:after="60"/>
          </w:pPr>
          <w:hyperlink w:anchor="_Toc100058" w:history="1">
            <w:r>
              <w:rPr>
                <w:rStyle w:val="Hyperlink"/>
              </w:rPr>
              <w:t>10.4 Design Rules</w:t>
            </w:r>
            <w:r>
              <w:tab/>
            </w:r>
            <w:r>
              <w:fldChar w:fldCharType="begin"/>
            </w:r>
            <w:r>
              <w:instrText xml:space="preserve"> PAGEREF _Toc100058 \h </w:instrText>
            </w:r>
            <w:r>
              <w:fldChar w:fldCharType="separate"/>
            </w:r>
            <w:r>
              <w:t>16</w:t>
            </w:r>
            <w:r>
              <w:fldChar w:fldCharType="end"/>
            </w:r>
          </w:hyperlink>
        </w:p>
        <w:p>
          <w:pPr>
            <w:pStyle w:val="9"/>
            <w:tabs>
              <w:tab w:val="right" w:leader="dot" w:pos="9026"/>
            </w:tabs>
            <w:spacing w:before="120" w:after="60"/>
          </w:pPr>
          <w:hyperlink w:anchor="_Toc100059" w:history="1">
            <w:r>
              <w:rPr>
                <w:rStyle w:val="Hyperlink"/>
              </w:rPr>
              <w:t>11. Reporter Engine (reporter.py)</w:t>
            </w:r>
            <w:r>
              <w:tab/>
            </w:r>
            <w:r>
              <w:fldChar w:fldCharType="begin"/>
            </w:r>
            <w:r>
              <w:instrText xml:space="preserve"> PAGEREF _Toc100059 \h </w:instrText>
            </w:r>
            <w:r>
              <w:fldChar w:fldCharType="separate"/>
            </w:r>
            <w:r>
              <w:t>16</w:t>
            </w:r>
            <w:r>
              <w:fldChar w:fldCharType="end"/>
            </w:r>
          </w:hyperlink>
        </w:p>
        <w:p>
          <w:pPr>
            <w:pStyle w:val="11"/>
            <w:ind w:left="360"/>
            <w:tabs>
              <w:tab w:val="right" w:leader="dot" w:pos="9026"/>
            </w:tabs>
            <w:spacing w:before="120" w:after="60"/>
          </w:pPr>
          <w:hyperlink w:anchor="_Toc100060" w:history="1">
            <w:r>
              <w:rPr>
                <w:rStyle w:val="Hyperlink"/>
              </w:rPr>
              <w:t>11.1 Output Format Support</w:t>
            </w:r>
            <w:r>
              <w:tab/>
            </w:r>
            <w:r>
              <w:fldChar w:fldCharType="begin"/>
            </w:r>
            <w:r>
              <w:instrText xml:space="preserve"> PAGEREF _Toc100060 \h </w:instrText>
            </w:r>
            <w:r>
              <w:fldChar w:fldCharType="separate"/>
            </w:r>
            <w:r>
              <w:t>16</w:t>
            </w:r>
            <w:r>
              <w:fldChar w:fldCharType="end"/>
            </w:r>
          </w:hyperlink>
        </w:p>
        <w:p>
          <w:pPr>
            <w:pStyle w:val="11"/>
            <w:ind w:left="360"/>
            <w:tabs>
              <w:tab w:val="right" w:leader="dot" w:pos="9026"/>
            </w:tabs>
            <w:spacing w:before="120" w:after="60"/>
          </w:pPr>
          <w:hyperlink w:anchor="_Toc100061" w:history="1">
            <w:r>
              <w:rPr>
                <w:rStyle w:val="Hyperlink"/>
              </w:rPr>
              <w:t>11.2 Excel Output Specification</w:t>
            </w:r>
            <w:r>
              <w:tab/>
            </w:r>
            <w:r>
              <w:fldChar w:fldCharType="begin"/>
            </w:r>
            <w:r>
              <w:instrText xml:space="preserve"> PAGEREF _Toc100061 \h </w:instrText>
            </w:r>
            <w:r>
              <w:fldChar w:fldCharType="separate"/>
            </w:r>
            <w:r>
              <w:t>17</w:t>
            </w:r>
            <w:r>
              <w:fldChar w:fldCharType="end"/>
            </w:r>
          </w:hyperlink>
        </w:p>
        <w:p>
          <w:pPr>
            <w:pStyle w:val="11"/>
            <w:ind w:left="360"/>
            <w:tabs>
              <w:tab w:val="right" w:leader="dot" w:pos="9026"/>
            </w:tabs>
            <w:spacing w:before="120" w:after="60"/>
          </w:pPr>
          <w:hyperlink w:anchor="_Toc100062" w:history="1">
            <w:r>
              <w:rPr>
                <w:rStyle w:val="Hyperlink"/>
              </w:rPr>
              <w:t>11.3 HTML Output Specification</w:t>
            </w:r>
            <w:r>
              <w:tab/>
            </w:r>
            <w:r>
              <w:fldChar w:fldCharType="begin"/>
            </w:r>
            <w:r>
              <w:instrText xml:space="preserve"> PAGEREF _Toc100062 \h </w:instrText>
            </w:r>
            <w:r>
              <w:fldChar w:fldCharType="separate"/>
            </w:r>
            <w:r>
              <w:t>17</w:t>
            </w:r>
            <w:r>
              <w:fldChar w:fldCharType="end"/>
            </w:r>
          </w:hyperlink>
        </w:p>
        <w:p>
          <w:pPr>
            <w:pStyle w:val="11"/>
            <w:ind w:left="360"/>
            <w:tabs>
              <w:tab w:val="right" w:leader="dot" w:pos="9026"/>
            </w:tabs>
            <w:spacing w:before="120" w:after="60"/>
          </w:pPr>
          <w:hyperlink w:anchor="_Toc100063" w:history="1">
            <w:r>
              <w:rPr>
                <w:rStyle w:val="Hyperlink"/>
              </w:rPr>
              <w:t>11.4 CSV and Markdown Output</w:t>
            </w:r>
            <w:r>
              <w:tab/>
            </w:r>
            <w:r>
              <w:fldChar w:fldCharType="begin"/>
            </w:r>
            <w:r>
              <w:instrText xml:space="preserve"> PAGEREF _Toc100063 \h </w:instrText>
            </w:r>
            <w:r>
              <w:fldChar w:fldCharType="separate"/>
            </w:r>
            <w:r>
              <w:t>17</w:t>
            </w:r>
            <w:r>
              <w:fldChar w:fldCharType="end"/>
            </w:r>
          </w:hyperlink>
        </w:p>
        <w:p>
          <w:pPr>
            <w:pStyle w:val="11"/>
            <w:ind w:left="360"/>
            <w:tabs>
              <w:tab w:val="right" w:leader="dot" w:pos="9026"/>
            </w:tabs>
            <w:spacing w:before="120" w:after="60"/>
          </w:pPr>
          <w:hyperlink w:anchor="_Toc100064" w:history="1">
            <w:r>
              <w:rPr>
                <w:rStyle w:val="Hyperlink"/>
              </w:rPr>
              <w:t>11.5 Design Rules</w:t>
            </w:r>
            <w:r>
              <w:tab/>
            </w:r>
            <w:r>
              <w:fldChar w:fldCharType="begin"/>
            </w:r>
            <w:r>
              <w:instrText xml:space="preserve"> PAGEREF _Toc100064 \h </w:instrText>
            </w:r>
            <w:r>
              <w:fldChar w:fldCharType="separate"/>
            </w:r>
            <w:r>
              <w:t>18</w:t>
            </w:r>
            <w:r>
              <w:fldChar w:fldCharType="end"/>
            </w:r>
          </w:hyperlink>
        </w:p>
        <w:p>
          <w:pPr>
            <w:pStyle w:val="9"/>
            <w:tabs>
              <w:tab w:val="right" w:leader="dot" w:pos="9026"/>
            </w:tabs>
            <w:spacing w:before="120" w:after="60"/>
          </w:pPr>
          <w:hyperlink w:anchor="_Toc100065" w:history="1">
            <w:r>
              <w:rPr>
                <w:rStyle w:val="Hyperlink"/>
              </w:rPr>
              <w:t>12. TUI Layer</w:t>
            </w:r>
            <w:r>
              <w:tab/>
            </w:r>
            <w:r>
              <w:fldChar w:fldCharType="begin"/>
            </w:r>
            <w:r>
              <w:instrText xml:space="preserve"> PAGEREF _Toc100065 \h </w:instrText>
            </w:r>
            <w:r>
              <w:fldChar w:fldCharType="separate"/>
            </w:r>
            <w:r>
              <w:t>18</w:t>
            </w:r>
            <w:r>
              <w:fldChar w:fldCharType="end"/>
            </w:r>
          </w:hyperlink>
        </w:p>
        <w:p>
          <w:pPr>
            <w:pStyle w:val="11"/>
            <w:ind w:left="360"/>
            <w:tabs>
              <w:tab w:val="right" w:leader="dot" w:pos="9026"/>
            </w:tabs>
            <w:spacing w:before="120" w:after="60"/>
          </w:pPr>
          <w:hyperlink w:anchor="_Toc100066" w:history="1">
            <w:r>
              <w:rPr>
                <w:rStyle w:val="Hyperlink"/>
              </w:rPr>
              <w:t>12.1 Library: rich</w:t>
            </w:r>
            <w:r>
              <w:tab/>
            </w:r>
            <w:r>
              <w:fldChar w:fldCharType="begin"/>
            </w:r>
            <w:r>
              <w:instrText xml:space="preserve"> PAGEREF _Toc100066 \h </w:instrText>
            </w:r>
            <w:r>
              <w:fldChar w:fldCharType="separate"/>
            </w:r>
            <w:r>
              <w:t>18</w:t>
            </w:r>
            <w:r>
              <w:fldChar w:fldCharType="end"/>
            </w:r>
          </w:hyperlink>
        </w:p>
        <w:p>
          <w:pPr>
            <w:pStyle w:val="11"/>
            <w:ind w:left="360"/>
            <w:tabs>
              <w:tab w:val="right" w:leader="dot" w:pos="9026"/>
            </w:tabs>
            <w:spacing w:before="120" w:after="60"/>
          </w:pPr>
          <w:hyperlink w:anchor="_Toc100067" w:history="1">
            <w:r>
              <w:rPr>
                <w:rStyle w:val="Hyperlink"/>
              </w:rPr>
              <w:t>12.2 Library: prompt_toolkit</w:t>
            </w:r>
            <w:r>
              <w:tab/>
            </w:r>
            <w:r>
              <w:fldChar w:fldCharType="begin"/>
            </w:r>
            <w:r>
              <w:instrText xml:space="preserve"> PAGEREF _Toc100067 \h </w:instrText>
            </w:r>
            <w:r>
              <w:fldChar w:fldCharType="separate"/>
            </w:r>
            <w:r>
              <w:t>18</w:t>
            </w:r>
            <w:r>
              <w:fldChar w:fldCharType="end"/>
            </w:r>
          </w:hyperlink>
        </w:p>
        <w:p>
          <w:pPr>
            <w:pStyle w:val="11"/>
            <w:ind w:left="360"/>
            <w:tabs>
              <w:tab w:val="right" w:leader="dot" w:pos="9026"/>
            </w:tabs>
            <w:spacing w:before="120" w:after="60"/>
          </w:pPr>
          <w:hyperlink w:anchor="_Toc100068" w:history="1">
            <w:r>
              <w:rPr>
                <w:rStyle w:val="Hyperlink"/>
              </w:rPr>
              <w:t>12.3 Library: click</w:t>
            </w:r>
            <w:r>
              <w:tab/>
            </w:r>
            <w:r>
              <w:fldChar w:fldCharType="begin"/>
            </w:r>
            <w:r>
              <w:instrText xml:space="preserve"> PAGEREF _Toc100068 \h </w:instrText>
            </w:r>
            <w:r>
              <w:fldChar w:fldCharType="separate"/>
            </w:r>
            <w:r>
              <w:t>19</w:t>
            </w:r>
            <w:r>
              <w:fldChar w:fldCharType="end"/>
            </w:r>
          </w:hyperlink>
        </w:p>
        <w:p>
          <w:pPr>
            <w:pStyle w:val="11"/>
            <w:ind w:left="360"/>
            <w:tabs>
              <w:tab w:val="right" w:leader="dot" w:pos="9026"/>
            </w:tabs>
            <w:spacing w:before="120" w:after="60"/>
          </w:pPr>
          <w:hyperlink w:anchor="_Toc100069" w:history="1">
            <w:r>
              <w:rPr>
                <w:rStyle w:val="Hyperlink"/>
              </w:rPr>
              <w:t>12.4 CLI Command Specification</w:t>
            </w:r>
            <w:r>
              <w:tab/>
            </w:r>
            <w:r>
              <w:fldChar w:fldCharType="begin"/>
            </w:r>
            <w:r>
              <w:instrText xml:space="preserve"> PAGEREF _Toc100069 \h </w:instrText>
            </w:r>
            <w:r>
              <w:fldChar w:fldCharType="separate"/>
            </w:r>
            <w:r>
              <w:t>19</w:t>
            </w:r>
            <w:r>
              <w:fldChar w:fldCharType="end"/>
            </w:r>
          </w:hyperlink>
        </w:p>
        <w:p>
          <w:pPr>
            <w:pStyle w:val="11"/>
            <w:ind w:left="360"/>
            <w:tabs>
              <w:tab w:val="right" w:leader="dot" w:pos="9026"/>
            </w:tabs>
            <w:spacing w:before="120" w:after="60"/>
          </w:pPr>
          <w:hyperlink w:anchor="_Toc100070" w:history="1">
            <w:r>
              <w:rPr>
                <w:rStyle w:val="Hyperlink"/>
              </w:rPr>
              <w:t>12.5 Design Rules</w:t>
            </w:r>
            <w:r>
              <w:tab/>
            </w:r>
            <w:r>
              <w:fldChar w:fldCharType="begin"/>
            </w:r>
            <w:r>
              <w:instrText xml:space="preserve"> PAGEREF _Toc100070 \h </w:instrText>
            </w:r>
            <w:r>
              <w:fldChar w:fldCharType="separate"/>
            </w:r>
            <w:r>
              <w:t>19</w:t>
            </w:r>
            <w:r>
              <w:fldChar w:fldCharType="end"/>
            </w:r>
          </w:hyperlink>
        </w:p>
        <w:p>
          <w:pPr>
            <w:pStyle w:val="9"/>
            <w:tabs>
              <w:tab w:val="right" w:leader="dot" w:pos="9026"/>
            </w:tabs>
            <w:spacing w:before="120" w:after="60"/>
          </w:pPr>
          <w:hyperlink w:anchor="_Toc100071" w:history="1">
            <w:r>
              <w:rPr>
                <w:rStyle w:val="Hyperlink"/>
              </w:rPr>
              <w:t>13. Error Handling and Logging</w:t>
            </w:r>
            <w:r>
              <w:tab/>
            </w:r>
            <w:r>
              <w:fldChar w:fldCharType="begin"/>
            </w:r>
            <w:r>
              <w:instrText xml:space="preserve"> PAGEREF _Toc100071 \h </w:instrText>
            </w:r>
            <w:r>
              <w:fldChar w:fldCharType="separate"/>
            </w:r>
            <w:r>
              <w:t>19</w:t>
            </w:r>
            <w:r>
              <w:fldChar w:fldCharType="end"/>
            </w:r>
          </w:hyperlink>
        </w:p>
        <w:p>
          <w:pPr>
            <w:pStyle w:val="11"/>
            <w:ind w:left="360"/>
            <w:tabs>
              <w:tab w:val="right" w:leader="dot" w:pos="9026"/>
            </w:tabs>
            <w:spacing w:before="120" w:after="60"/>
          </w:pPr>
          <w:hyperlink w:anchor="_Toc100072" w:history="1">
            <w:r>
              <w:rPr>
                <w:rStyle w:val="Hyperlink"/>
              </w:rPr>
              <w:t>13.1 Error Classification</w:t>
            </w:r>
            <w:r>
              <w:tab/>
            </w:r>
            <w:r>
              <w:fldChar w:fldCharType="begin"/>
            </w:r>
            <w:r>
              <w:instrText xml:space="preserve"> PAGEREF _Toc100072 \h </w:instrText>
            </w:r>
            <w:r>
              <w:fldChar w:fldCharType="separate"/>
            </w:r>
            <w:r>
              <w:t>19</w:t>
            </w:r>
            <w:r>
              <w:fldChar w:fldCharType="end"/>
            </w:r>
          </w:hyperlink>
        </w:p>
        <w:p>
          <w:pPr>
            <w:pStyle w:val="11"/>
            <w:ind w:left="360"/>
            <w:tabs>
              <w:tab w:val="right" w:leader="dot" w:pos="9026"/>
            </w:tabs>
            <w:spacing w:before="120" w:after="60"/>
          </w:pPr>
          <w:hyperlink w:anchor="_Toc100073" w:history="1">
            <w:r>
              <w:rPr>
                <w:rStyle w:val="Hyperlink"/>
              </w:rPr>
              <w:t>13.2 Exception Hierarchy</w:t>
            </w:r>
            <w:r>
              <w:tab/>
            </w:r>
            <w:r>
              <w:fldChar w:fldCharType="begin"/>
            </w:r>
            <w:r>
              <w:instrText xml:space="preserve"> PAGEREF _Toc100073 \h </w:instrText>
            </w:r>
            <w:r>
              <w:fldChar w:fldCharType="separate"/>
            </w:r>
            <w:r>
              <w:t>20</w:t>
            </w:r>
            <w:r>
              <w:fldChar w:fldCharType="end"/>
            </w:r>
          </w:hyperlink>
        </w:p>
        <w:p>
          <w:pPr>
            <w:pStyle w:val="11"/>
            <w:ind w:left="360"/>
            <w:tabs>
              <w:tab w:val="right" w:leader="dot" w:pos="9026"/>
            </w:tabs>
            <w:spacing w:before="120" w:after="60"/>
          </w:pPr>
          <w:hyperlink w:anchor="_Toc100074" w:history="1">
            <w:r>
              <w:rPr>
                <w:rStyle w:val="Hyperlink"/>
              </w:rPr>
              <w:t>13.3 Logging Strategy</w:t>
            </w:r>
            <w:r>
              <w:tab/>
            </w:r>
            <w:r>
              <w:fldChar w:fldCharType="begin"/>
            </w:r>
            <w:r>
              <w:instrText xml:space="preserve"> PAGEREF _Toc100074 \h </w:instrText>
            </w:r>
            <w:r>
              <w:fldChar w:fldCharType="separate"/>
            </w:r>
            <w:r>
              <w:t>20</w:t>
            </w:r>
            <w:r>
              <w:fldChar w:fldCharType="end"/>
            </w:r>
          </w:hyperlink>
        </w:p>
        <w:p>
          <w:pPr>
            <w:pStyle w:val="11"/>
            <w:ind w:left="360"/>
            <w:tabs>
              <w:tab w:val="right" w:leader="dot" w:pos="9026"/>
            </w:tabs>
            <w:spacing w:before="120" w:after="60"/>
          </w:pPr>
          <w:hyperlink w:anchor="_Toc100075" w:history="1">
            <w:r>
              <w:rPr>
                <w:rStyle w:val="Hyperlink"/>
              </w:rPr>
              <w:t>13.4 Design Rules</w:t>
            </w:r>
            <w:r>
              <w:tab/>
            </w:r>
            <w:r>
              <w:fldChar w:fldCharType="begin"/>
            </w:r>
            <w:r>
              <w:instrText xml:space="preserve"> PAGEREF _Toc100075 \h </w:instrText>
            </w:r>
            <w:r>
              <w:fldChar w:fldCharType="separate"/>
            </w:r>
            <w:r>
              <w:t>20</w:t>
            </w:r>
            <w:r>
              <w:fldChar w:fldCharType="end"/>
            </w:r>
          </w:hyperlink>
        </w:p>
        <w:p>
          <w:pPr>
            <w:pStyle w:val="9"/>
            <w:tabs>
              <w:tab w:val="right" w:leader="dot" w:pos="9026"/>
            </w:tabs>
            <w:spacing w:before="120" w:after="60"/>
          </w:pPr>
          <w:hyperlink w:anchor="_Toc100076" w:history="1">
            <w:r>
              <w:rPr>
                <w:rStyle w:val="Hyperlink"/>
              </w:rPr>
              <w:t>14. Project File Structure</w:t>
            </w:r>
            <w:r>
              <w:tab/>
            </w:r>
            <w:r>
              <w:fldChar w:fldCharType="begin"/>
            </w:r>
            <w:r>
              <w:instrText xml:space="preserve"> PAGEREF _Toc100076 \h </w:instrText>
            </w:r>
            <w:r>
              <w:fldChar w:fldCharType="separate"/>
            </w:r>
            <w:r>
              <w:t>21</w:t>
            </w:r>
            <w:r>
              <w:fldChar w:fldCharType="end"/>
            </w:r>
          </w:hyperlink>
        </w:p>
        <w:p>
          <w:pPr>
            <w:pStyle w:val="9"/>
            <w:tabs>
              <w:tab w:val="right" w:leader="dot" w:pos="9026"/>
            </w:tabs>
            <w:spacing w:before="120" w:after="60"/>
          </w:pPr>
          <w:hyperlink w:anchor="_Toc100077" w:history="1">
            <w:r>
              <w:rPr>
                <w:rStyle w:val="Hyperlink"/>
              </w:rPr>
              <w:t>15. Dependency Matrix</w:t>
            </w:r>
            <w:r>
              <w:tab/>
            </w:r>
            <w:r>
              <w:fldChar w:fldCharType="begin"/>
            </w:r>
            <w:r>
              <w:instrText xml:space="preserve"> PAGEREF _Toc100077 \h </w:instrText>
            </w:r>
            <w:r>
              <w:fldChar w:fldCharType="separate"/>
            </w:r>
            <w:r>
              <w:t>21</w:t>
            </w:r>
            <w:r>
              <w:fldChar w:fldCharType="end"/>
            </w:r>
          </w:hyperlink>
        </w:p>
        <w:p>
          <w:pPr>
            <w:pStyle w:val="9"/>
            <w:tabs>
              <w:tab w:val="right" w:leader="dot" w:pos="9026"/>
            </w:tabs>
            <w:spacing w:before="120" w:after="60"/>
          </w:pPr>
          <w:hyperlink w:anchor="_Toc100078" w:history="1">
            <w:r>
              <w:rPr>
                <w:rStyle w:val="Hyperlink"/>
              </w:rPr>
              <w:t>16. Future Extension Points</w:t>
            </w:r>
            <w:r>
              <w:tab/>
            </w:r>
            <w:r>
              <w:fldChar w:fldCharType="begin"/>
            </w:r>
            <w:r>
              <w:instrText xml:space="preserve"> PAGEREF _Toc100078 \h </w:instrText>
            </w:r>
            <w:r>
              <w:fldChar w:fldCharType="separate"/>
            </w:r>
            <w:r>
              <w:t>21</w:t>
            </w:r>
            <w:r>
              <w:fldChar w:fldCharType="end"/>
            </w:r>
          </w:hyperlink>
        </w:p>
        <w:p>
          <w:pPr>
            <w:pStyle w:val="11"/>
            <w:ind w:left="360"/>
            <w:tabs>
              <w:tab w:val="right" w:leader="dot" w:pos="9026"/>
            </w:tabs>
            <w:spacing w:before="120" w:after="60"/>
          </w:pPr>
          <w:hyperlink w:anchor="_Toc100079" w:history="1">
            <w:r>
              <w:rPr>
                <w:rStyle w:val="Hyperlink"/>
              </w:rPr>
              <w:t>16.1 GUI Layer (Phase 2)</w:t>
            </w:r>
            <w:r>
              <w:tab/>
            </w:r>
            <w:r>
              <w:fldChar w:fldCharType="begin"/>
            </w:r>
            <w:r>
              <w:instrText xml:space="preserve"> PAGEREF _Toc100079 \h </w:instrText>
            </w:r>
            <w:r>
              <w:fldChar w:fldCharType="separate"/>
            </w:r>
            <w:r>
              <w:t>22</w:t>
            </w:r>
            <w:r>
              <w:fldChar w:fldCharType="end"/>
            </w:r>
          </w:hyperlink>
        </w:p>
        <w:p>
          <w:pPr>
            <w:pStyle w:val="11"/>
            <w:ind w:left="360"/>
            <w:tabs>
              <w:tab w:val="right" w:leader="dot" w:pos="9026"/>
            </w:tabs>
            <w:spacing w:before="120" w:after="60"/>
          </w:pPr>
          <w:hyperlink w:anchor="_Toc100080" w:history="1">
            <w:r>
              <w:rPr>
                <w:rStyle w:val="Hyperlink"/>
              </w:rPr>
              <w:t>16.2 Textual TUI (Phase 2)</w:t>
            </w:r>
            <w:r>
              <w:tab/>
            </w:r>
            <w:r>
              <w:fldChar w:fldCharType="begin"/>
            </w:r>
            <w:r>
              <w:instrText xml:space="preserve"> PAGEREF _Toc100080 \h </w:instrText>
            </w:r>
            <w:r>
              <w:fldChar w:fldCharType="separate"/>
            </w:r>
            <w:r>
              <w:t>22</w:t>
            </w:r>
            <w:r>
              <w:fldChar w:fldCharType="end"/>
            </w:r>
          </w:hyperlink>
        </w:p>
        <w:p>
          <w:pPr>
            <w:pStyle w:val="11"/>
            <w:ind w:left="360"/>
            <w:tabs>
              <w:tab w:val="right" w:leader="dot" w:pos="9026"/>
            </w:tabs>
            <w:spacing w:before="120" w:after="60"/>
          </w:pPr>
          <w:hyperlink w:anchor="_Toc100081" w:history="1">
            <w:r>
              <w:rPr>
                <w:rStyle w:val="Hyperlink"/>
              </w:rPr>
              <w:t>16.3 Database Source Support</w:t>
            </w:r>
            <w:r>
              <w:tab/>
            </w:r>
            <w:r>
              <w:fldChar w:fldCharType="begin"/>
            </w:r>
            <w:r>
              <w:instrText xml:space="preserve"> PAGEREF _Toc100081 \h </w:instrText>
            </w:r>
            <w:r>
              <w:fldChar w:fldCharType="separate"/>
            </w:r>
            <w:r>
              <w:t>22</w:t>
            </w:r>
            <w:r>
              <w:fldChar w:fldCharType="end"/>
            </w:r>
          </w:hyperlink>
        </w:p>
        <w:p>
          <w:pPr>
            <w:pStyle w:val="11"/>
            <w:ind w:left="360"/>
            <w:tabs>
              <w:tab w:val="right" w:leader="dot" w:pos="9026"/>
            </w:tabs>
            <w:spacing w:before="120" w:after="60"/>
          </w:pPr>
          <w:hyperlink w:anchor="_Toc100082" w:history="1">
            <w:r>
              <w:rPr>
                <w:rStyle w:val="Hyperlink"/>
              </w:rPr>
              <w:t>16.4 Scheduled Execution</w:t>
            </w:r>
            <w:r>
              <w:tab/>
            </w:r>
            <w:r>
              <w:fldChar w:fldCharType="begin"/>
            </w:r>
            <w:r>
              <w:instrText xml:space="preserve"> PAGEREF _Toc100082 \h </w:instrText>
            </w:r>
            <w:r>
              <w:fldChar w:fldCharType="separate"/>
            </w:r>
            <w:r>
              <w:t>22</w:t>
            </w:r>
            <w:r>
              <w:fldChar w:fldCharType="end"/>
            </w:r>
          </w:hyperlink>
        </w:p>
        <w:p>
          <w:pPr>
            <w:pStyle w:val="11"/>
            <w:ind w:left="360"/>
            <w:tabs>
              <w:tab w:val="right" w:leader="dot" w:pos="9026"/>
            </w:tabs>
            <w:spacing w:before="120" w:after="60"/>
          </w:pPr>
          <w:hyperlink w:anchor="_Toc100083" w:history="1">
            <w:r>
              <w:rPr>
                <w:rStyle w:val="Hyperlink"/>
              </w:rPr>
              <w:t>16.5 Jinja2 Template Customization</w:t>
            </w:r>
            <w:r>
              <w:tab/>
            </w:r>
            <w:r>
              <w:fldChar w:fldCharType="begin"/>
            </w:r>
            <w:r>
              <w:instrText xml:space="preserve"> PAGEREF _Toc100083 \h </w:instrText>
            </w:r>
            <w:r>
              <w:fldChar w:fldCharType="separate"/>
            </w:r>
            <w:r>
              <w:t>23</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Times New Roman"/>
          <w:b/>
          <w:bCs/>
          <w:color w:val="D4875A"/>
          <w:sz w:val="32"/>
          <w:szCs w:val="32"/>
        </w:rPr>
        <w:t xml:space="preserve">1. Executive Summary</w:t>
      </w:r>
      <w:bookmarkEnd w:id="100000"/>
    </w:p>
    <w:p>
      <w:pPr>
        <w:spacing w:after="120" w:line="312"/>
        <w:jc w:val="both"/>
      </w:pPr>
      <w:r>
        <w:rPr>
          <w:rFonts w:ascii="Times New Roman"/>
          <w:color w:val="2C2C2C"/>
          <w:sz w:val="24"/>
          <w:szCs w:val="24"/>
        </w:rPr>
        <w:t xml:space="preserve">This document defines the complete technical architecture, stack specifications, and design rules for the CSV Compare Pipeline, a configurable Python-based tool designed to import, clean, normalize, compare, and report on data from two CSV files. The pipeline addresses the need for a reusable, extensible, and large-scale data reconciliation engine that operates without requiring proprietary spreadsheet software or manual intervention for each comparison job.</w:t>
      </w:r>
    </w:p>
    <w:p>
      <w:pPr>
        <w:spacing w:after="120" w:line="312"/>
        <w:jc w:val="both"/>
      </w:pPr>
      <w:r>
        <w:rPr>
          <w:rFonts w:ascii="Times New Roman"/>
          <w:color w:val="2C2C2C"/>
          <w:sz w:val="24"/>
          <w:szCs w:val="24"/>
        </w:rPr>
        <w:t xml:space="preserve">The system is built around a config-driven philosophy where every aspect of the comparison process, from column mapping and normalization rules to filter conditions and report formatting, is controlled through a single YAML configuration file. This design ensures that non-technical users can configure and execute comparison jobs without modifying any Python code. For advanced business logic requirements, a plugin system allows custom functions to be dropped into a designated directory and automatically discovered by the pipeline at runtime.</w:t>
      </w:r>
    </w:p>
    <w:p>
      <w:pPr>
        <w:spacing w:after="120" w:line="312"/>
        <w:jc w:val="both"/>
      </w:pPr>
      <w:r>
        <w:rPr>
          <w:rFonts w:ascii="Times New Roman"/>
          <w:color w:val="2C2C2C"/>
          <w:sz w:val="24"/>
          <w:szCs w:val="24"/>
        </w:rPr>
        <w:t xml:space="preserve">The pipeline is architected in clearly separated layers: a core engine that handles all data processing, a TUI layer for user interaction, and an output engine that generates reports in multiple formats. This separation ensures that each layer can be independently tested, extended, or replaced without affecting the others. The document below provides detailed specifications for each component, including interface contracts, data flow, error handling strategies, and design rules that must be followed during implementation.</w:t>
      </w:r>
    </w:p>
    <w:p>
      <w:pPr>
        <w:pStyle w:val="Heading1"/>
        <w:spacing w:after="200" w:before="480" w:line="312"/>
      </w:pPr>
      <w:bookmarkStart w:id="100001" w:name="_Toc100001"/>
      <w:r>
        <w:rPr>
          <w:rFonts w:ascii="Times New Roman"/>
          <w:b/>
          <w:bCs/>
          <w:color w:val="D4875A"/>
          <w:sz w:val="32"/>
          <w:szCs w:val="32"/>
        </w:rPr>
        <w:t xml:space="preserve">2. Architecture Overview</w:t>
      </w:r>
      <w:bookmarkEnd w:id="100001"/>
    </w:p>
    <w:p>
      <w:pPr>
        <w:pStyle w:val="Heading2"/>
        <w:spacing w:after="160" w:before="360" w:line="312"/>
      </w:pPr>
      <w:bookmarkStart w:id="100002" w:name="_Toc100002"/>
      <w:r>
        <w:rPr>
          <w:rFonts w:ascii="Times New Roman"/>
          <w:b/>
          <w:bCs/>
          <w:color w:val="2C2C2C"/>
          <w:sz w:val="28"/>
          <w:szCs w:val="28"/>
        </w:rPr>
        <w:t xml:space="preserve">2.1 High-Level Architecture</w:t>
      </w:r>
      <w:bookmarkEnd w:id="100002"/>
    </w:p>
    <w:p>
      <w:pPr>
        <w:spacing w:after="120" w:line="312"/>
        <w:jc w:val="both"/>
      </w:pPr>
      <w:r>
        <w:rPr>
          <w:rFonts w:ascii="Times New Roman"/>
          <w:color w:val="2C2C2C"/>
          <w:sz w:val="24"/>
          <w:szCs w:val="24"/>
        </w:rPr>
        <w:t xml:space="preserve">The pipeline follows a layered architecture pattern with strict separation of concerns. At the top level, three distinct layers interact through well-defined interfaces: the Presentation Layer (TUI), the Core Engine Layer (business logic), and the Output Layer (report generation). Each layer communicates only with its adjacent layers, and no layer bypasses another to access shared resources directly.</w:t>
      </w:r>
    </w:p>
    <w:p>
      <w:pPr>
        <w:spacing w:after="120" w:line="312"/>
        <w:jc w:val="both"/>
      </w:pPr>
      <w:r>
        <w:rPr>
          <w:rFonts w:ascii="Times New Roman"/>
          <w:color w:val="2C2C2C"/>
          <w:sz w:val="24"/>
          <w:szCs w:val="24"/>
        </w:rPr>
        <w:t xml:space="preserve">The Core Engine is the heart of the system and is completely decoupled from any user interface. It exposes a programmatic API that the TUI layer calls, and it produces intermediate results that the Output Layer consumes. This means the engine can be used independently, for example from a Jupyter notebook, a web API, or a cron job, without any modification to the core code.</w:t>
      </w:r>
    </w:p>
    <w:p>
      <w:pPr>
        <w:spacing w:after="120" w:line="312"/>
        <w:jc w:val="both"/>
      </w:pPr>
      <w:r>
        <w:rPr>
          <w:rFonts w:ascii="Times New Roman"/>
          <w:color w:val="2C2C2C"/>
          <w:sz w:val="24"/>
          <w:szCs w:val="24"/>
        </w:rPr>
        <w:t xml:space="preserve">Data flows through the engine in a linear pipeline pattern: Import, Filter, Normalize, Join, Compare, Compute Stats, and Generate Report. Each stage receives the output of the previous stage and produces output for the next. This design makes it easy to insert, remove, or reorder stages as requirements evolve. Every stage is implemented as a separate module with a standardized interface, making the system inherently modular.</w:t>
      </w:r>
    </w:p>
    <w:p>
      <w:pPr>
        <w:pStyle w:val="Heading2"/>
        <w:spacing w:after="160" w:before="360" w:line="312"/>
      </w:pPr>
      <w:bookmarkStart w:id="100003" w:name="_Toc100003"/>
      <w:r>
        <w:rPr>
          <w:rFonts w:ascii="Times New Roman"/>
          <w:b/>
          <w:bCs/>
          <w:color w:val="2C2C2C"/>
          <w:sz w:val="28"/>
          <w:szCs w:val="28"/>
        </w:rPr>
        <w:t xml:space="preserve">2.2 Pipeline Flow</w:t>
      </w:r>
      <w:bookmarkEnd w:id="100003"/>
    </w:p>
    <w:p>
      <w:pPr>
        <w:spacing w:after="120" w:line="312"/>
        <w:jc w:val="both"/>
      </w:pPr>
      <w:r>
        <w:rPr>
          <w:rFonts w:ascii="Times New Roman"/>
          <w:color w:val="2C2C2C"/>
          <w:sz w:val="24"/>
          <w:szCs w:val="24"/>
        </w:rPr>
        <w:t xml:space="preserve">The execution flow proceeds through seven sequential stages, each of which is responsible for a specific data transformation. The Import stage reads both CSV files into pandas DataFrames, handling encoding detection, delimiter inference, and data type casting. The Filter stage applies user-configured row exclusion rules to each source independently, removing rows that do not meet the criteria for comparison. The Normalize stage applies value transformation rules, including alias grouping, case normalization, whitespace trimming, and special character removal.</w:t>
      </w:r>
    </w:p>
    <w:p>
      <w:pPr>
        <w:spacing w:after="120" w:line="312"/>
        <w:jc w:val="both"/>
      </w:pPr>
      <w:r>
        <w:rPr>
          <w:rFonts w:ascii="Times New Roman"/>
          <w:color w:val="2C2C2C"/>
          <w:sz w:val="24"/>
          <w:szCs w:val="24"/>
        </w:rPr>
        <w:t xml:space="preserve">The Join stage performs a key-based merge of the two filtered and normalized DataFrames, producing an inner join for matched keys and identifying keys that exist only in one source. The Compare stage evaluates each mapped column pair cell-by-cell (or set-by-set for array-type data), producing a match/mismatch status for each cell. The Stats stage computes aggregate statistics based on the configured stat library and custom expressions. Finally, the Report stage formats all results into the user's chosen output formats and writes them to disk.</w:t>
      </w:r>
    </w:p>
    <w:p>
      <w:pPr>
        <w:pStyle w:val="Heading2"/>
        <w:spacing w:after="160" w:before="360" w:line="312"/>
      </w:pPr>
      <w:bookmarkStart w:id="100004" w:name="_Toc100004"/>
      <w:r>
        <w:rPr>
          <w:rFonts w:ascii="Times New Roman"/>
          <w:b/>
          <w:bCs/>
          <w:color w:val="2C2C2C"/>
          <w:sz w:val="28"/>
          <w:szCs w:val="28"/>
        </w:rPr>
        <w:t xml:space="preserve">2.3 Layer Separation Diagram</w:t>
      </w:r>
      <w:bookmarkEnd w:id="10000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5%"/>
            <w:shd w:fill="D4875A" w:val="clear"/>
            <w:tcMar>
              <w:top w:type="dxa" w:w="60"/>
              <w:left w:type="dxa" w:w="120"/>
              <w:bottom w:type="dxa" w:w="60"/>
              <w:right w:type="dxa" w:w="120"/>
            </w:tcMar>
          </w:tcPr>
          <w:p>
            <w:r>
              <w:rPr>
                <w:rFonts w:ascii="Times New Roman"/>
                <w:b/>
                <w:bCs/>
                <w:color w:val="FFFFFF"/>
                <w:sz w:val="21"/>
                <w:szCs w:val="21"/>
              </w:rPr>
              <w:t xml:space="preserve">Layer</w:t>
            </w:r>
          </w:p>
        </w:tc>
        <w:tc>
          <w:tcPr>
            <w:tcW w:type="pct" w:w="30%"/>
            <w:shd w:fill="D4875A" w:val="clear"/>
            <w:tcMar>
              <w:top w:type="dxa" w:w="60"/>
              <w:left w:type="dxa" w:w="120"/>
              <w:bottom w:type="dxa" w:w="60"/>
              <w:right w:type="dxa" w:w="120"/>
            </w:tcMar>
          </w:tcPr>
          <w:p>
            <w:r>
              <w:rPr>
                <w:rFonts w:ascii="Times New Roman"/>
                <w:b/>
                <w:bCs/>
                <w:color w:val="FFFFFF"/>
                <w:sz w:val="21"/>
                <w:szCs w:val="21"/>
              </w:rPr>
              <w:t xml:space="preserve">Component</w:t>
            </w:r>
          </w:p>
        </w:tc>
        <w:tc>
          <w:tcPr>
            <w:tcW w:type="pct" w:w="30%"/>
            <w:shd w:fill="D4875A" w:val="clear"/>
            <w:tcMar>
              <w:top w:type="dxa" w:w="60"/>
              <w:left w:type="dxa" w:w="120"/>
              <w:bottom w:type="dxa" w:w="60"/>
              <w:right w:type="dxa" w:w="120"/>
            </w:tcMar>
          </w:tcPr>
          <w:p>
            <w:r>
              <w:rPr>
                <w:rFonts w:ascii="Times New Roman"/>
                <w:b/>
                <w:bCs/>
                <w:color w:val="FFFFFF"/>
                <w:sz w:val="21"/>
                <w:szCs w:val="21"/>
              </w:rPr>
              <w:t xml:space="preserve">Responsibility</w:t>
            </w:r>
          </w:p>
        </w:tc>
        <w:tc>
          <w:tcPr>
            <w:tcW w:type="pct" w:w="25%"/>
            <w:shd w:fill="D4875A" w:val="clear"/>
            <w:tcMar>
              <w:top w:type="dxa" w:w="60"/>
              <w:left w:type="dxa" w:w="120"/>
              <w:bottom w:type="dxa" w:w="60"/>
              <w:right w:type="dxa" w:w="120"/>
            </w:tcMar>
          </w:tcPr>
          <w:p>
            <w:r>
              <w:rPr>
                <w:rFonts w:ascii="Times New Roman"/>
                <w:b/>
                <w:bCs/>
                <w:color w:val="FFFFFF"/>
                <w:sz w:val="21"/>
                <w:szCs w:val="21"/>
              </w:rPr>
              <w:t xml:space="preserve">Interface</w:t>
            </w:r>
          </w:p>
        </w:tc>
      </w:tr>
      <w:tr>
        <w:trPr>
          <w:cantSplit/>
        </w:trPr>
        <w:tc>
          <w:tcPr>
            <w:tcW w:type="pct" w:w="15%"/>
            <w:tcMar>
              <w:top w:type="dxa" w:w="50"/>
              <w:left w:type="dxa" w:w="120"/>
              <w:bottom w:type="dxa" w:w="50"/>
              <w:right w:type="dxa" w:w="120"/>
            </w:tcMar>
          </w:tcPr>
          <w:p>
            <w:r>
              <w:rPr>
                <w:rFonts w:ascii="Times New Roman"/>
                <w:color w:val="2C2C2C"/>
                <w:sz w:val="21"/>
                <w:szCs w:val="21"/>
              </w:rPr>
              <w:t xml:space="preserve">Presentation</w:t>
            </w:r>
          </w:p>
        </w:tc>
        <w:tc>
          <w:tcPr>
            <w:tcW w:type="pct" w:w="30%"/>
            <w:tcMar>
              <w:top w:type="dxa" w:w="50"/>
              <w:left w:type="dxa" w:w="120"/>
              <w:bottom w:type="dxa" w:w="50"/>
              <w:right w:type="dxa" w:w="120"/>
            </w:tcMar>
          </w:tcPr>
          <w:p>
            <w:r>
              <w:rPr>
                <w:rFonts w:ascii="Times New Roman"/>
                <w:color w:val="2C2C2C"/>
                <w:sz w:val="21"/>
                <w:szCs w:val="21"/>
              </w:rPr>
              <w:t xml:space="preserve">TUI (rich + prompt_toolkit)</w:t>
            </w:r>
          </w:p>
        </w:tc>
        <w:tc>
          <w:tcPr>
            <w:tcW w:type="pct" w:w="30%"/>
            <w:tcMar>
              <w:top w:type="dxa" w:w="50"/>
              <w:left w:type="dxa" w:w="120"/>
              <w:bottom w:type="dxa" w:w="50"/>
              <w:right w:type="dxa" w:w="120"/>
            </w:tcMar>
          </w:tcPr>
          <w:p>
            <w:r>
              <w:rPr>
                <w:rFonts w:ascii="Times New Roman"/>
                <w:color w:val="2C2C2C"/>
                <w:sz w:val="21"/>
                <w:szCs w:val="21"/>
              </w:rPr>
              <w:t xml:space="preserve">User interaction, progress, wizard</w:t>
            </w:r>
          </w:p>
        </w:tc>
        <w:tc>
          <w:tcPr>
            <w:tcW w:type="pct" w:w="25%"/>
            <w:tcMar>
              <w:top w:type="dxa" w:w="50"/>
              <w:left w:type="dxa" w:w="120"/>
              <w:bottom w:type="dxa" w:w="50"/>
              <w:right w:type="dxa" w:w="120"/>
            </w:tcMar>
          </w:tcPr>
          <w:p>
            <w:r>
              <w:rPr>
                <w:rFonts w:ascii="Times New Roman"/>
                <w:color w:val="2C2C2C"/>
                <w:sz w:val="21"/>
                <w:szCs w:val="21"/>
              </w:rPr>
              <w:t xml:space="preserve">CLI commands</w:t>
            </w:r>
          </w:p>
        </w:tc>
      </w:tr>
      <w:tr>
        <w:trPr>
          <w:cantSplit/>
        </w:trPr>
        <w:tc>
          <w:tcPr>
            <w:tcW w:type="pct" w:w="15%"/>
            <w:shd w:fill="F8F0EB" w:val="clear"/>
            <w:tcMar>
              <w:top w:type="dxa" w:w="50"/>
              <w:left w:type="dxa" w:w="120"/>
              <w:bottom w:type="dxa" w:w="50"/>
              <w:right w:type="dxa" w:w="120"/>
            </w:tcMar>
          </w:tcPr>
          <w:p>
            <w:r>
              <w:rPr>
                <w:rFonts w:ascii="Times New Roman"/>
                <w:color w:val="2C2C2C"/>
                <w:sz w:val="21"/>
                <w:szCs w:val="21"/>
              </w:rPr>
              <w:t xml:space="preserve">Presentation</w:t>
            </w:r>
          </w:p>
        </w:tc>
        <w:tc>
          <w:tcPr>
            <w:tcW w:type="pct" w:w="30%"/>
            <w:shd w:fill="F8F0EB" w:val="clear"/>
            <w:tcMar>
              <w:top w:type="dxa" w:w="50"/>
              <w:left w:type="dxa" w:w="120"/>
              <w:bottom w:type="dxa" w:w="50"/>
              <w:right w:type="dxa" w:w="120"/>
            </w:tcMar>
          </w:tcPr>
          <w:p>
            <w:r>
              <w:rPr>
                <w:rFonts w:ascii="Times New Roman"/>
                <w:color w:val="2C2C2C"/>
                <w:sz w:val="21"/>
                <w:szCs w:val="21"/>
              </w:rPr>
              <w:t xml:space="preserve">CLI (click)</w:t>
            </w:r>
          </w:p>
        </w:tc>
        <w:tc>
          <w:tcPr>
            <w:tcW w:type="pct" w:w="30%"/>
            <w:shd w:fill="F8F0EB" w:val="clear"/>
            <w:tcMar>
              <w:top w:type="dxa" w:w="50"/>
              <w:left w:type="dxa" w:w="120"/>
              <w:bottom w:type="dxa" w:w="50"/>
              <w:right w:type="dxa" w:w="120"/>
            </w:tcMar>
          </w:tcPr>
          <w:p>
            <w:r>
              <w:rPr>
                <w:rFonts w:ascii="Times New Roman"/>
                <w:color w:val="2C2C2C"/>
                <w:sz w:val="21"/>
                <w:szCs w:val="21"/>
              </w:rPr>
              <w:t xml:space="preserve">Argument parsing, command routing</w:t>
            </w:r>
          </w:p>
        </w:tc>
        <w:tc>
          <w:tcPr>
            <w:tcW w:type="pct" w:w="25%"/>
            <w:shd w:fill="F8F0EB" w:val="clear"/>
            <w:tcMar>
              <w:top w:type="dxa" w:w="50"/>
              <w:left w:type="dxa" w:w="120"/>
              <w:bottom w:type="dxa" w:w="50"/>
              <w:right w:type="dxa" w:w="120"/>
            </w:tcMar>
          </w:tcPr>
          <w:p>
            <w:r>
              <w:rPr>
                <w:rFonts w:ascii="Times New Roman"/>
                <w:color w:val="2C2C2C"/>
                <w:sz w:val="21"/>
                <w:szCs w:val="21"/>
              </w:rPr>
              <w:t xml:space="preserve">Terminal I/O</w:t>
            </w:r>
          </w:p>
        </w:tc>
      </w:tr>
      <w:tr>
        <w:trPr>
          <w:cantSplit/>
        </w:trPr>
        <w:tc>
          <w:tcPr>
            <w:tcW w:type="pct" w:w="15%"/>
            <w:tcMar>
              <w:top w:type="dxa" w:w="50"/>
              <w:left w:type="dxa" w:w="120"/>
              <w:bottom w:type="dxa" w:w="50"/>
              <w:right w:type="dxa" w:w="120"/>
            </w:tcMar>
          </w:tcPr>
          <w:p>
            <w:r>
              <w:rPr>
                <w:rFonts w:ascii="Times New Roman"/>
                <w:color w:val="2C2C2C"/>
                <w:sz w:val="21"/>
                <w:szCs w:val="21"/>
              </w:rPr>
              <w:t xml:space="preserve">Core</w:t>
            </w:r>
          </w:p>
        </w:tc>
        <w:tc>
          <w:tcPr>
            <w:tcW w:type="pct" w:w="30%"/>
            <w:tcMar>
              <w:top w:type="dxa" w:w="50"/>
              <w:left w:type="dxa" w:w="120"/>
              <w:bottom w:type="dxa" w:w="50"/>
              <w:right w:type="dxa" w:w="120"/>
            </w:tcMar>
          </w:tcPr>
          <w:p>
            <w:r>
              <w:rPr>
                <w:rFonts w:ascii="Times New Roman"/>
                <w:color w:val="2C2C2C"/>
                <w:sz w:val="21"/>
                <w:szCs w:val="21"/>
              </w:rPr>
              <w:t xml:space="preserve">Engine (engine.py)</w:t>
            </w:r>
          </w:p>
        </w:tc>
        <w:tc>
          <w:tcPr>
            <w:tcW w:type="pct" w:w="30%"/>
            <w:tcMar>
              <w:top w:type="dxa" w:w="50"/>
              <w:left w:type="dxa" w:w="120"/>
              <w:bottom w:type="dxa" w:w="50"/>
              <w:right w:type="dxa" w:w="120"/>
            </w:tcMar>
          </w:tcPr>
          <w:p>
            <w:r>
              <w:rPr>
                <w:rFonts w:ascii="Times New Roman"/>
                <w:color w:val="2C2C2C"/>
                <w:sz w:val="21"/>
                <w:szCs w:val="21"/>
              </w:rPr>
              <w:t xml:space="preserve">Orchestrate pipeline stages</w:t>
            </w:r>
          </w:p>
        </w:tc>
        <w:tc>
          <w:tcPr>
            <w:tcW w:type="pct" w:w="25%"/>
            <w:tcMar>
              <w:top w:type="dxa" w:w="50"/>
              <w:left w:type="dxa" w:w="120"/>
              <w:bottom w:type="dxa" w:w="50"/>
              <w:right w:type="dxa" w:w="120"/>
            </w:tcMar>
          </w:tcPr>
          <w:p>
            <w:r>
              <w:rPr>
                <w:rFonts w:ascii="Times New Roman"/>
                <w:color w:val="2C2C2C"/>
                <w:sz w:val="21"/>
                <w:szCs w:val="21"/>
              </w:rPr>
              <w:t xml:space="preserve">PipelineContext</w:t>
            </w:r>
          </w:p>
        </w:tc>
      </w:tr>
      <w:tr>
        <w:trPr>
          <w:cantSplit/>
        </w:trPr>
        <w:tc>
          <w:tcPr>
            <w:tcW w:type="pct" w:w="15%"/>
            <w:shd w:fill="F8F0EB" w:val="clear"/>
            <w:tcMar>
              <w:top w:type="dxa" w:w="50"/>
              <w:left w:type="dxa" w:w="120"/>
              <w:bottom w:type="dxa" w:w="50"/>
              <w:right w:type="dxa" w:w="120"/>
            </w:tcMar>
          </w:tcPr>
          <w:p>
            <w:r>
              <w:rPr>
                <w:rFonts w:ascii="Times New Roman"/>
                <w:color w:val="2C2C2C"/>
                <w:sz w:val="21"/>
                <w:szCs w:val="21"/>
              </w:rPr>
              <w:t xml:space="preserve">Core</w:t>
            </w:r>
          </w:p>
        </w:tc>
        <w:tc>
          <w:tcPr>
            <w:tcW w:type="pct" w:w="30%"/>
            <w:shd w:fill="F8F0EB" w:val="clear"/>
            <w:tcMar>
              <w:top w:type="dxa" w:w="50"/>
              <w:left w:type="dxa" w:w="120"/>
              <w:bottom w:type="dxa" w:w="50"/>
              <w:right w:type="dxa" w:w="120"/>
            </w:tcMar>
          </w:tcPr>
          <w:p>
            <w:r>
              <w:rPr>
                <w:rFonts w:ascii="Times New Roman"/>
                <w:color w:val="2C2C2C"/>
                <w:sz w:val="21"/>
                <w:szCs w:val="21"/>
              </w:rPr>
              <w:t xml:space="preserve">Importer (importer.py)</w:t>
            </w:r>
          </w:p>
        </w:tc>
        <w:tc>
          <w:tcPr>
            <w:tcW w:type="pct" w:w="30%"/>
            <w:shd w:fill="F8F0EB" w:val="clear"/>
            <w:tcMar>
              <w:top w:type="dxa" w:w="50"/>
              <w:left w:type="dxa" w:w="120"/>
              <w:bottom w:type="dxa" w:w="50"/>
              <w:right w:type="dxa" w:w="120"/>
            </w:tcMar>
          </w:tcPr>
          <w:p>
            <w:r>
              <w:rPr>
                <w:rFonts w:ascii="Times New Roman"/>
                <w:color w:val="2C2C2C"/>
                <w:sz w:val="21"/>
                <w:szCs w:val="21"/>
              </w:rPr>
              <w:t xml:space="preserve">CSV file reading and parsing</w:t>
            </w:r>
          </w:p>
        </w:tc>
        <w:tc>
          <w:tcPr>
            <w:tcW w:type="pct" w:w="25%"/>
            <w:shd w:fill="F8F0EB" w:val="clear"/>
            <w:tcMar>
              <w:top w:type="dxa" w:w="50"/>
              <w:left w:type="dxa" w:w="120"/>
              <w:bottom w:type="dxa" w:w="50"/>
              <w:right w:type="dxa" w:w="120"/>
            </w:tcMar>
          </w:tcPr>
          <w:p>
            <w:r>
              <w:rPr>
                <w:rFonts w:ascii="Times New Roman"/>
                <w:color w:val="2C2C2C"/>
                <w:sz w:val="21"/>
                <w:szCs w:val="21"/>
              </w:rPr>
              <w:t xml:space="preserve">DataFrame output</w:t>
            </w:r>
          </w:p>
        </w:tc>
      </w:tr>
      <w:tr>
        <w:trPr>
          <w:cantSplit/>
        </w:trPr>
        <w:tc>
          <w:tcPr>
            <w:tcW w:type="pct" w:w="15%"/>
            <w:tcMar>
              <w:top w:type="dxa" w:w="50"/>
              <w:left w:type="dxa" w:w="120"/>
              <w:bottom w:type="dxa" w:w="50"/>
              <w:right w:type="dxa" w:w="120"/>
            </w:tcMar>
          </w:tcPr>
          <w:p>
            <w:r>
              <w:rPr>
                <w:rFonts w:ascii="Times New Roman"/>
                <w:color w:val="2C2C2C"/>
                <w:sz w:val="21"/>
                <w:szCs w:val="21"/>
              </w:rPr>
              <w:t xml:space="preserve">Core</w:t>
            </w:r>
          </w:p>
        </w:tc>
        <w:tc>
          <w:tcPr>
            <w:tcW w:type="pct" w:w="30%"/>
            <w:tcMar>
              <w:top w:type="dxa" w:w="50"/>
              <w:left w:type="dxa" w:w="120"/>
              <w:bottom w:type="dxa" w:w="50"/>
              <w:right w:type="dxa" w:w="120"/>
            </w:tcMar>
          </w:tcPr>
          <w:p>
            <w:r>
              <w:rPr>
                <w:rFonts w:ascii="Times New Roman"/>
                <w:color w:val="2C2C2C"/>
                <w:sz w:val="21"/>
                <w:szCs w:val="21"/>
              </w:rPr>
              <w:t xml:space="preserve">Filter (filter.py)</w:t>
            </w:r>
          </w:p>
        </w:tc>
        <w:tc>
          <w:tcPr>
            <w:tcW w:type="pct" w:w="30%"/>
            <w:tcMar>
              <w:top w:type="dxa" w:w="50"/>
              <w:left w:type="dxa" w:w="120"/>
              <w:bottom w:type="dxa" w:w="50"/>
              <w:right w:type="dxa" w:w="120"/>
            </w:tcMar>
          </w:tcPr>
          <w:p>
            <w:r>
              <w:rPr>
                <w:rFonts w:ascii="Times New Roman"/>
                <w:color w:val="2C2C2C"/>
                <w:sz w:val="21"/>
                <w:szCs w:val="21"/>
              </w:rPr>
              <w:t xml:space="preserve">Row-level filtering per source</w:t>
            </w:r>
          </w:p>
        </w:tc>
        <w:tc>
          <w:tcPr>
            <w:tcW w:type="pct" w:w="25%"/>
            <w:tcMar>
              <w:top w:type="dxa" w:w="50"/>
              <w:left w:type="dxa" w:w="120"/>
              <w:bottom w:type="dxa" w:w="50"/>
              <w:right w:type="dxa" w:w="120"/>
            </w:tcMar>
          </w:tcPr>
          <w:p>
            <w:r>
              <w:rPr>
                <w:rFonts w:ascii="Times New Roman"/>
                <w:color w:val="2C2C2C"/>
                <w:sz w:val="21"/>
                <w:szCs w:val="21"/>
              </w:rPr>
              <w:t xml:space="preserve">Filtered DataFrame</w:t>
            </w:r>
          </w:p>
        </w:tc>
      </w:tr>
      <w:tr>
        <w:trPr>
          <w:cantSplit/>
        </w:trPr>
        <w:tc>
          <w:tcPr>
            <w:tcW w:type="pct" w:w="15%"/>
            <w:shd w:fill="F8F0EB" w:val="clear"/>
            <w:tcMar>
              <w:top w:type="dxa" w:w="50"/>
              <w:left w:type="dxa" w:w="120"/>
              <w:bottom w:type="dxa" w:w="50"/>
              <w:right w:type="dxa" w:w="120"/>
            </w:tcMar>
          </w:tcPr>
          <w:p>
            <w:r>
              <w:rPr>
                <w:rFonts w:ascii="Times New Roman"/>
                <w:color w:val="2C2C2C"/>
                <w:sz w:val="21"/>
                <w:szCs w:val="21"/>
              </w:rPr>
              <w:t xml:space="preserve">Core</w:t>
            </w:r>
          </w:p>
        </w:tc>
        <w:tc>
          <w:tcPr>
            <w:tcW w:type="pct" w:w="30%"/>
            <w:shd w:fill="F8F0EB" w:val="clear"/>
            <w:tcMar>
              <w:top w:type="dxa" w:w="50"/>
              <w:left w:type="dxa" w:w="120"/>
              <w:bottom w:type="dxa" w:w="50"/>
              <w:right w:type="dxa" w:w="120"/>
            </w:tcMar>
          </w:tcPr>
          <w:p>
            <w:r>
              <w:rPr>
                <w:rFonts w:ascii="Times New Roman"/>
                <w:color w:val="2C2C2C"/>
                <w:sz w:val="21"/>
                <w:szCs w:val="21"/>
              </w:rPr>
              <w:t xml:space="preserve">Normalizer (normalizer.py)</w:t>
            </w:r>
          </w:p>
        </w:tc>
        <w:tc>
          <w:tcPr>
            <w:tcW w:type="pct" w:w="30%"/>
            <w:shd w:fill="F8F0EB" w:val="clear"/>
            <w:tcMar>
              <w:top w:type="dxa" w:w="50"/>
              <w:left w:type="dxa" w:w="120"/>
              <w:bottom w:type="dxa" w:w="50"/>
              <w:right w:type="dxa" w:w="120"/>
            </w:tcMar>
          </w:tcPr>
          <w:p>
            <w:r>
              <w:rPr>
                <w:rFonts w:ascii="Times New Roman"/>
                <w:color w:val="2C2C2C"/>
                <w:sz w:val="21"/>
                <w:szCs w:val="21"/>
              </w:rPr>
              <w:t xml:space="preserve">Value grouping, cleaning, parsing</w:t>
            </w:r>
          </w:p>
        </w:tc>
        <w:tc>
          <w:tcPr>
            <w:tcW w:type="pct" w:w="25%"/>
            <w:shd w:fill="F8F0EB" w:val="clear"/>
            <w:tcMar>
              <w:top w:type="dxa" w:w="50"/>
              <w:left w:type="dxa" w:w="120"/>
              <w:bottom w:type="dxa" w:w="50"/>
              <w:right w:type="dxa" w:w="120"/>
            </w:tcMar>
          </w:tcPr>
          <w:p>
            <w:r>
              <w:rPr>
                <w:rFonts w:ascii="Times New Roman"/>
                <w:color w:val="2C2C2C"/>
                <w:sz w:val="21"/>
                <w:szCs w:val="21"/>
              </w:rPr>
              <w:t xml:space="preserve">Normalized DataFrame</w:t>
            </w:r>
          </w:p>
        </w:tc>
      </w:tr>
      <w:tr>
        <w:trPr>
          <w:cantSplit/>
        </w:trPr>
        <w:tc>
          <w:tcPr>
            <w:tcW w:type="pct" w:w="15%"/>
            <w:tcMar>
              <w:top w:type="dxa" w:w="50"/>
              <w:left w:type="dxa" w:w="120"/>
              <w:bottom w:type="dxa" w:w="50"/>
              <w:right w:type="dxa" w:w="120"/>
            </w:tcMar>
          </w:tcPr>
          <w:p>
            <w:r>
              <w:rPr>
                <w:rFonts w:ascii="Times New Roman"/>
                <w:color w:val="2C2C2C"/>
                <w:sz w:val="21"/>
                <w:szCs w:val="21"/>
              </w:rPr>
              <w:t xml:space="preserve">Core</w:t>
            </w:r>
          </w:p>
        </w:tc>
        <w:tc>
          <w:tcPr>
            <w:tcW w:type="pct" w:w="30%"/>
            <w:tcMar>
              <w:top w:type="dxa" w:w="50"/>
              <w:left w:type="dxa" w:w="120"/>
              <w:bottom w:type="dxa" w:w="50"/>
              <w:right w:type="dxa" w:w="120"/>
            </w:tcMar>
          </w:tcPr>
          <w:p>
            <w:r>
              <w:rPr>
                <w:rFonts w:ascii="Times New Roman"/>
                <w:color w:val="2C2C2C"/>
                <w:sz w:val="21"/>
                <w:szCs w:val="21"/>
              </w:rPr>
              <w:t xml:space="preserve">Comparator (comparator.py)</w:t>
            </w:r>
          </w:p>
        </w:tc>
        <w:tc>
          <w:tcPr>
            <w:tcW w:type="pct" w:w="30%"/>
            <w:tcMar>
              <w:top w:type="dxa" w:w="50"/>
              <w:left w:type="dxa" w:w="120"/>
              <w:bottom w:type="dxa" w:w="50"/>
              <w:right w:type="dxa" w:w="120"/>
            </w:tcMar>
          </w:tcPr>
          <w:p>
            <w:r>
              <w:rPr>
                <w:rFonts w:ascii="Times New Roman"/>
                <w:color w:val="2C2C2C"/>
                <w:sz w:val="21"/>
                <w:szCs w:val="21"/>
              </w:rPr>
              <w:t xml:space="preserve">Key join, column comparison</w:t>
            </w:r>
          </w:p>
        </w:tc>
        <w:tc>
          <w:tcPr>
            <w:tcW w:type="pct" w:w="25%"/>
            <w:tcMar>
              <w:top w:type="dxa" w:w="50"/>
              <w:left w:type="dxa" w:w="120"/>
              <w:bottom w:type="dxa" w:w="50"/>
              <w:right w:type="dxa" w:w="120"/>
            </w:tcMar>
          </w:tcPr>
          <w:p>
            <w:r>
              <w:rPr>
                <w:rFonts w:ascii="Times New Roman"/>
                <w:color w:val="2C2C2C"/>
                <w:sz w:val="21"/>
                <w:szCs w:val="21"/>
              </w:rPr>
              <w:t xml:space="preserve">ComparisonResult</w:t>
            </w:r>
          </w:p>
        </w:tc>
      </w:tr>
      <w:tr>
        <w:trPr>
          <w:cantSplit/>
        </w:trPr>
        <w:tc>
          <w:tcPr>
            <w:tcW w:type="pct" w:w="15%"/>
            <w:shd w:fill="F8F0EB" w:val="clear"/>
            <w:tcMar>
              <w:top w:type="dxa" w:w="50"/>
              <w:left w:type="dxa" w:w="120"/>
              <w:bottom w:type="dxa" w:w="50"/>
              <w:right w:type="dxa" w:w="120"/>
            </w:tcMar>
          </w:tcPr>
          <w:p>
            <w:r>
              <w:rPr>
                <w:rFonts w:ascii="Times New Roman"/>
                <w:color w:val="2C2C2C"/>
                <w:sz w:val="21"/>
                <w:szCs w:val="21"/>
              </w:rPr>
              <w:t xml:space="preserve">Core</w:t>
            </w:r>
          </w:p>
        </w:tc>
        <w:tc>
          <w:tcPr>
            <w:tcW w:type="pct" w:w="30%"/>
            <w:shd w:fill="F8F0EB" w:val="clear"/>
            <w:tcMar>
              <w:top w:type="dxa" w:w="50"/>
              <w:left w:type="dxa" w:w="120"/>
              <w:bottom w:type="dxa" w:w="50"/>
              <w:right w:type="dxa" w:w="120"/>
            </w:tcMar>
          </w:tcPr>
          <w:p>
            <w:r>
              <w:rPr>
                <w:rFonts w:ascii="Times New Roman"/>
                <w:color w:val="2C2C2C"/>
                <w:sz w:val="21"/>
                <w:szCs w:val="21"/>
              </w:rPr>
              <w:t xml:space="preserve">Stats (stats.py)</w:t>
            </w:r>
          </w:p>
        </w:tc>
        <w:tc>
          <w:tcPr>
            <w:tcW w:type="pct" w:w="30%"/>
            <w:shd w:fill="F8F0EB" w:val="clear"/>
            <w:tcMar>
              <w:top w:type="dxa" w:w="50"/>
              <w:left w:type="dxa" w:w="120"/>
              <w:bottom w:type="dxa" w:w="50"/>
              <w:right w:type="dxa" w:w="120"/>
            </w:tcMar>
          </w:tcPr>
          <w:p>
            <w:r>
              <w:rPr>
                <w:rFonts w:ascii="Times New Roman"/>
                <w:color w:val="2C2C2C"/>
                <w:sz w:val="21"/>
                <w:szCs w:val="21"/>
              </w:rPr>
              <w:t xml:space="preserve">Aggregate metric computation</w:t>
            </w:r>
          </w:p>
        </w:tc>
        <w:tc>
          <w:tcPr>
            <w:tcW w:type="pct" w:w="25%"/>
            <w:shd w:fill="F8F0EB" w:val="clear"/>
            <w:tcMar>
              <w:top w:type="dxa" w:w="50"/>
              <w:left w:type="dxa" w:w="120"/>
              <w:bottom w:type="dxa" w:w="50"/>
              <w:right w:type="dxa" w:w="120"/>
            </w:tcMar>
          </w:tcPr>
          <w:p>
            <w:r>
              <w:rPr>
                <w:rFonts w:ascii="Times New Roman"/>
                <w:color w:val="2C2C2C"/>
                <w:sz w:val="21"/>
                <w:szCs w:val="21"/>
              </w:rPr>
              <w:t xml:space="preserve">StatsResult dict</w:t>
            </w:r>
          </w:p>
        </w:tc>
      </w:tr>
      <w:tr>
        <w:trPr>
          <w:cantSplit/>
        </w:trPr>
        <w:tc>
          <w:tcPr>
            <w:tcW w:type="pct" w:w="15%"/>
            <w:tcMar>
              <w:top w:type="dxa" w:w="50"/>
              <w:left w:type="dxa" w:w="120"/>
              <w:bottom w:type="dxa" w:w="50"/>
              <w:right w:type="dxa" w:w="120"/>
            </w:tcMar>
          </w:tcPr>
          <w:p>
            <w:r>
              <w:rPr>
                <w:rFonts w:ascii="Times New Roman"/>
                <w:color w:val="2C2C2C"/>
                <w:sz w:val="21"/>
                <w:szCs w:val="21"/>
              </w:rPr>
              <w:t xml:space="preserve">Core</w:t>
            </w:r>
          </w:p>
        </w:tc>
        <w:tc>
          <w:tcPr>
            <w:tcW w:type="pct" w:w="30%"/>
            <w:tcMar>
              <w:top w:type="dxa" w:w="50"/>
              <w:left w:type="dxa" w:w="120"/>
              <w:bottom w:type="dxa" w:w="50"/>
              <w:right w:type="dxa" w:w="120"/>
            </w:tcMar>
          </w:tcPr>
          <w:p>
            <w:r>
              <w:rPr>
                <w:rFonts w:ascii="Times New Roman"/>
                <w:color w:val="2C2C2C"/>
                <w:sz w:val="21"/>
                <w:szCs w:val="21"/>
              </w:rPr>
              <w:t xml:space="preserve">Plugin Loader (plugin_loader.py)</w:t>
            </w:r>
          </w:p>
        </w:tc>
        <w:tc>
          <w:tcPr>
            <w:tcW w:type="pct" w:w="30%"/>
            <w:tcMar>
              <w:top w:type="dxa" w:w="50"/>
              <w:left w:type="dxa" w:w="120"/>
              <w:bottom w:type="dxa" w:w="50"/>
              <w:right w:type="dxa" w:w="120"/>
            </w:tcMar>
          </w:tcPr>
          <w:p>
            <w:r>
              <w:rPr>
                <w:rFonts w:ascii="Times New Roman"/>
                <w:color w:val="2C2C2C"/>
                <w:sz w:val="21"/>
                <w:szCs w:val="21"/>
              </w:rPr>
              <w:t xml:space="preserve">Auto-discover and load plugins</w:t>
            </w:r>
          </w:p>
        </w:tc>
        <w:tc>
          <w:tcPr>
            <w:tcW w:type="pct" w:w="25%"/>
            <w:tcMar>
              <w:top w:type="dxa" w:w="50"/>
              <w:left w:type="dxa" w:w="120"/>
              <w:bottom w:type="dxa" w:w="50"/>
              <w:right w:type="dxa" w:w="120"/>
            </w:tcMar>
          </w:tcPr>
          <w:p>
            <w:r>
              <w:rPr>
                <w:rFonts w:ascii="Times New Roman"/>
                <w:color w:val="2C2C2C"/>
                <w:sz w:val="21"/>
                <w:szCs w:val="21"/>
              </w:rPr>
              <w:t xml:space="preserve">Plugin registry</w:t>
            </w:r>
          </w:p>
        </w:tc>
      </w:tr>
      <w:tr>
        <w:trPr>
          <w:cantSplit/>
        </w:trPr>
        <w:tc>
          <w:tcPr>
            <w:tcW w:type="pct" w:w="15%"/>
            <w:shd w:fill="F8F0EB" w:val="clear"/>
            <w:tcMar>
              <w:top w:type="dxa" w:w="50"/>
              <w:left w:type="dxa" w:w="120"/>
              <w:bottom w:type="dxa" w:w="50"/>
              <w:right w:type="dxa" w:w="120"/>
            </w:tcMar>
          </w:tcPr>
          <w:p>
            <w:r>
              <w:rPr>
                <w:rFonts w:ascii="Times New Roman"/>
                <w:color w:val="2C2C2C"/>
                <w:sz w:val="21"/>
                <w:szCs w:val="21"/>
              </w:rPr>
              <w:t xml:space="preserve">Output</w:t>
            </w:r>
          </w:p>
        </w:tc>
        <w:tc>
          <w:tcPr>
            <w:tcW w:type="pct" w:w="30%"/>
            <w:shd w:fill="F8F0EB" w:val="clear"/>
            <w:tcMar>
              <w:top w:type="dxa" w:w="50"/>
              <w:left w:type="dxa" w:w="120"/>
              <w:bottom w:type="dxa" w:w="50"/>
              <w:right w:type="dxa" w:w="120"/>
            </w:tcMar>
          </w:tcPr>
          <w:p>
            <w:r>
              <w:rPr>
                <w:rFonts w:ascii="Times New Roman"/>
                <w:color w:val="2C2C2C"/>
                <w:sz w:val="21"/>
                <w:szCs w:val="21"/>
              </w:rPr>
              <w:t xml:space="preserve">Reporter (reporter.py)</w:t>
            </w:r>
          </w:p>
        </w:tc>
        <w:tc>
          <w:tcPr>
            <w:tcW w:type="pct" w:w="30%"/>
            <w:shd w:fill="F8F0EB" w:val="clear"/>
            <w:tcMar>
              <w:top w:type="dxa" w:w="50"/>
              <w:left w:type="dxa" w:w="120"/>
              <w:bottom w:type="dxa" w:w="50"/>
              <w:right w:type="dxa" w:w="120"/>
            </w:tcMar>
          </w:tcPr>
          <w:p>
            <w:r>
              <w:rPr>
                <w:rFonts w:ascii="Times New Roman"/>
                <w:color w:val="2C2C2C"/>
                <w:sz w:val="21"/>
                <w:szCs w:val="21"/>
              </w:rPr>
              <w:t xml:space="preserve">Format and write reports</w:t>
            </w:r>
          </w:p>
        </w:tc>
        <w:tc>
          <w:tcPr>
            <w:tcW w:type="pct" w:w="25%"/>
            <w:shd w:fill="F8F0EB" w:val="clear"/>
            <w:tcMar>
              <w:top w:type="dxa" w:w="50"/>
              <w:left w:type="dxa" w:w="120"/>
              <w:bottom w:type="dxa" w:w="50"/>
              <w:right w:type="dxa" w:w="120"/>
            </w:tcMar>
          </w:tcPr>
          <w:p>
            <w:r>
              <w:rPr>
                <w:rFonts w:ascii="Times New Roman"/>
                <w:color w:val="2C2C2C"/>
                <w:sz w:val="21"/>
                <w:szCs w:val="21"/>
              </w:rPr>
              <w:t xml:space="preserve">File output</w:t>
            </w:r>
          </w:p>
        </w:tc>
      </w:tr>
      <w:tr>
        <w:trPr>
          <w:cantSplit/>
        </w:trPr>
        <w:tc>
          <w:tcPr>
            <w:tcW w:type="pct" w:w="15%"/>
            <w:tcMar>
              <w:top w:type="dxa" w:w="50"/>
              <w:left w:type="dxa" w:w="120"/>
              <w:bottom w:type="dxa" w:w="50"/>
              <w:right w:type="dxa" w:w="120"/>
            </w:tcMar>
          </w:tcPr>
          <w:p>
            <w:r>
              <w:rPr>
                <w:rFonts w:ascii="Times New Roman"/>
                <w:color w:val="2C2C2C"/>
                <w:sz w:val="21"/>
                <w:szCs w:val="21"/>
              </w:rPr>
              <w:t xml:space="preserve">Output</w:t>
            </w:r>
          </w:p>
        </w:tc>
        <w:tc>
          <w:tcPr>
            <w:tcW w:type="pct" w:w="30%"/>
            <w:tcMar>
              <w:top w:type="dxa" w:w="50"/>
              <w:left w:type="dxa" w:w="120"/>
              <w:bottom w:type="dxa" w:w="50"/>
              <w:right w:type="dxa" w:w="120"/>
            </w:tcMar>
          </w:tcPr>
          <w:p>
            <w:r>
              <w:rPr>
                <w:rFonts w:ascii="Times New Roman"/>
                <w:color w:val="2C2C2C"/>
                <w:sz w:val="21"/>
                <w:szCs w:val="21"/>
              </w:rPr>
              <w:t xml:space="preserve">Templates (html, md)</w:t>
            </w:r>
          </w:p>
        </w:tc>
        <w:tc>
          <w:tcPr>
            <w:tcW w:type="pct" w:w="30%"/>
            <w:tcMar>
              <w:top w:type="dxa" w:w="50"/>
              <w:left w:type="dxa" w:w="120"/>
              <w:bottom w:type="dxa" w:w="50"/>
              <w:right w:type="dxa" w:w="120"/>
            </w:tcMar>
          </w:tcPr>
          <w:p>
            <w:r>
              <w:rPr>
                <w:rFonts w:ascii="Times New Roman"/>
                <w:color w:val="2C2C2C"/>
                <w:sz w:val="21"/>
                <w:szCs w:val="21"/>
              </w:rPr>
              <w:t xml:space="preserve">Report layout templates</w:t>
            </w:r>
          </w:p>
        </w:tc>
        <w:tc>
          <w:tcPr>
            <w:tcW w:type="pct" w:w="25%"/>
            <w:tcMar>
              <w:top w:type="dxa" w:w="50"/>
              <w:left w:type="dxa" w:w="120"/>
              <w:bottom w:type="dxa" w:w="50"/>
              <w:right w:type="dxa" w:w="120"/>
            </w:tcMar>
          </w:tcPr>
          <w:p>
            <w:r>
              <w:rPr>
                <w:rFonts w:ascii="Times New Roman"/>
                <w:color w:val="2C2C2C"/>
                <w:sz w:val="21"/>
                <w:szCs w:val="21"/>
              </w:rPr>
              <w:t xml:space="preserve">Rendered output</w:t>
            </w:r>
          </w:p>
        </w:tc>
      </w:tr>
    </w:tbl>
    <w:p>
      <w:pPr>
        <w:spacing w:after="60"/>
      </w:pPr>
    </w:p>
    <w:p>
      <w:pPr>
        <w:pStyle w:val="Heading1"/>
        <w:spacing w:after="200" w:before="480" w:line="312"/>
      </w:pPr>
      <w:bookmarkStart w:id="100005" w:name="_Toc100005"/>
      <w:r>
        <w:rPr>
          <w:rFonts w:ascii="Times New Roman"/>
          <w:b/>
          <w:bCs/>
          <w:color w:val="D4875A"/>
          <w:sz w:val="32"/>
          <w:szCs w:val="32"/>
        </w:rPr>
        <w:t xml:space="preserve">3. Core Engine</w:t>
      </w:r>
      <w:bookmarkEnd w:id="100005"/>
    </w:p>
    <w:p>
      <w:pPr>
        <w:pStyle w:val="Heading2"/>
        <w:spacing w:after="160" w:before="360" w:line="312"/>
      </w:pPr>
      <w:bookmarkStart w:id="100006" w:name="_Toc100006"/>
      <w:r>
        <w:rPr>
          <w:rFonts w:ascii="Times New Roman"/>
          <w:b/>
          <w:bCs/>
          <w:color w:val="2C2C2C"/>
          <w:sz w:val="28"/>
          <w:szCs w:val="28"/>
        </w:rPr>
        <w:t xml:space="preserve">3.1 Engine Module (engine.py)</w:t>
      </w:r>
      <w:bookmarkEnd w:id="100006"/>
    </w:p>
    <w:p>
      <w:pPr>
        <w:pStyle w:val="Heading3"/>
        <w:spacing w:after="120" w:before="240" w:line="312"/>
      </w:pPr>
      <w:bookmarkStart w:id="100007" w:name="_Toc100007"/>
      <w:r>
        <w:rPr>
          <w:rFonts w:ascii="Times New Roman"/>
          <w:b/>
          <w:bCs/>
          <w:color w:val="6B6B6B"/>
          <w:sz w:val="24"/>
          <w:szCs w:val="24"/>
        </w:rPr>
        <w:t xml:space="preserve">3.1.1 Responsibilities</w:t>
      </w:r>
      <w:bookmarkEnd w:id="100007"/>
    </w:p>
    <w:p>
      <w:pPr>
        <w:spacing w:after="120" w:line="312"/>
        <w:jc w:val="both"/>
      </w:pPr>
      <w:r>
        <w:rPr>
          <w:rFonts w:ascii="Times New Roman"/>
          <w:color w:val="2C2C2C"/>
          <w:sz w:val="24"/>
          <w:szCs w:val="24"/>
        </w:rPr>
        <w:t xml:space="preserve">The engine module serves as the central orchestrator for the entire pipeline. It is responsible for loading and validating the configuration file, instantiating each pipeline stage in the correct order, passing data between stages through a shared context object, and handling any errors that occur during pipeline execution. The engine must not contain any business logic itself; instead, it delegates all data transformation work to the specialized stage modules and coordinates their execution.</w:t>
      </w:r>
    </w:p>
    <w:p>
      <w:pPr>
        <w:spacing w:after="120" w:line="312"/>
        <w:jc w:val="both"/>
      </w:pPr>
      <w:r>
        <w:rPr>
          <w:rFonts w:ascii="Times New Roman"/>
          <w:color w:val="2C2C2C"/>
          <w:sz w:val="24"/>
          <w:szCs w:val="24"/>
        </w:rPr>
        <w:t xml:space="preserve">The engine receives its configuration as a validated and normalized dictionary, produced by the configuration loader. This dictionary is passed to every stage along with the pipeline context, which is a mutable object that accumulates intermediate results as the pipeline progresses. Each stage reads its required inputs from the context, performs its transformations, and writes its outputs back to the context. This design ensures that stages are loosely coupled and can be independently unit-tested by populating the context with mock data.</w:t>
      </w:r>
    </w:p>
    <w:p>
      <w:pPr>
        <w:pStyle w:val="Heading3"/>
        <w:spacing w:after="120" w:before="240" w:line="312"/>
      </w:pPr>
      <w:bookmarkStart w:id="100008" w:name="_Toc100008"/>
      <w:r>
        <w:rPr>
          <w:rFonts w:ascii="Times New Roman"/>
          <w:b/>
          <w:bCs/>
          <w:color w:val="6B6B6B"/>
          <w:sz w:val="24"/>
          <w:szCs w:val="24"/>
        </w:rPr>
        <w:t xml:space="preserve">3.1.2 PipelineContext Object</w:t>
      </w:r>
      <w:bookmarkEnd w:id="100008"/>
    </w:p>
    <w:p>
      <w:pPr>
        <w:spacing w:after="120" w:line="312"/>
        <w:jc w:val="both"/>
      </w:pPr>
      <w:r>
        <w:rPr>
          <w:rFonts w:ascii="Times New Roman"/>
          <w:color w:val="2C2C2C"/>
          <w:sz w:val="24"/>
          <w:szCs w:val="24"/>
        </w:rPr>
        <w:t xml:space="preserve">The PipelineContext is a dataclass that serves as the shared state container for the entire pipeline execution. It is created by the engine at the start of each run and passed to every stage in sequence. The context contains references to the raw DataFrames, filtered DataFrames, normalized DataFrames, the joined comparison result, computed statistics, normalization logs, filter logs, and any additional metadata that stages may need. By centralizing all state in a single object, the system avoids the complexity of passing individual arguments between stages and makes it straightforward to inspect the pipeline state at any point for debugging or logging purposes.</w:t>
      </w:r>
    </w:p>
    <w:p>
      <w:pPr>
        <w:pStyle w:val="Heading3"/>
        <w:spacing w:after="120" w:before="240" w:line="312"/>
      </w:pPr>
      <w:bookmarkStart w:id="100009" w:name="_Toc100009"/>
      <w:r>
        <w:rPr>
          <w:rFonts w:ascii="Times New Roman"/>
          <w:b/>
          <w:bCs/>
          <w:color w:val="6B6B6B"/>
          <w:sz w:val="24"/>
          <w:szCs w:val="24"/>
        </w:rPr>
        <w:t xml:space="preserve">3.1.3 Stage Interface Contract</w:t>
      </w:r>
      <w:bookmarkEnd w:id="100009"/>
    </w:p>
    <w:p>
      <w:pPr>
        <w:spacing w:after="120" w:line="312"/>
        <w:jc w:val="both"/>
      </w:pPr>
      <w:r>
        <w:rPr>
          <w:rFonts w:ascii="Times New Roman"/>
          <w:color w:val="2C2C2C"/>
          <w:sz w:val="24"/>
          <w:szCs w:val="24"/>
        </w:rPr>
        <w:t xml:space="preserve">Every pipeline stage must implement a standardized interface consisting of three methods: validate_config(), execute(), and describe(). The validate_config() method receives the relevant section of the configuration dictionary and raises a ConfigurationError if any required keys are missing or values are invalid. The execute() method receives the PipelineContext and the configuration section, performs its transformation, and updates the context with its results. The describe() method returns a human-readable string describing what the stage does, which is used by the TUI layer to display progress information.</w:t>
      </w:r>
    </w:p>
    <w:p>
      <w:pPr>
        <w:pStyle w:val="Heading2"/>
        <w:spacing w:after="160" w:before="360" w:line="312"/>
      </w:pPr>
      <w:bookmarkStart w:id="100010" w:name="_Toc100010"/>
      <w:r>
        <w:rPr>
          <w:rFonts w:ascii="Times New Roman"/>
          <w:b/>
          <w:bCs/>
          <w:color w:val="2C2C2C"/>
          <w:sz w:val="28"/>
          <w:szCs w:val="28"/>
        </w:rPr>
        <w:t xml:space="preserve">3.2 Data Processing Library: pandas</w:t>
      </w:r>
      <w:bookmarkEnd w:id="100010"/>
    </w:p>
    <w:p>
      <w:pPr>
        <w:pStyle w:val="Heading3"/>
        <w:spacing w:after="120" w:before="240" w:line="312"/>
      </w:pPr>
      <w:bookmarkStart w:id="100011" w:name="_Toc100011"/>
      <w:r>
        <w:rPr>
          <w:rFonts w:ascii="Times New Roman"/>
          <w:b/>
          <w:bCs/>
          <w:color w:val="6B6B6B"/>
          <w:sz w:val="24"/>
          <w:szCs w:val="24"/>
        </w:rPr>
        <w:t xml:space="preserve">3.2.1 Why pandas</w:t>
      </w:r>
      <w:bookmarkEnd w:id="100011"/>
    </w:p>
    <w:p>
      <w:pPr>
        <w:spacing w:after="120" w:line="312"/>
        <w:jc w:val="both"/>
      </w:pPr>
      <w:r>
        <w:rPr>
          <w:rFonts w:ascii="Times New Roman"/>
          <w:color w:val="2C2C2C"/>
          <w:sz w:val="24"/>
          <w:szCs w:val="24"/>
        </w:rPr>
        <w:t xml:space="preserve">pandas is the foundational data processing library for this pipeline. It provides high-performance, in-memory data structures (DataFrame and Series) that are optimized for tabular data manipulation. For CSV files exceeding 500MB, pandas supports chunked reading through its read_csv() chunksize parameter, which allows the pipeline to process data in manageable batches without loading the entire file into memory at once. This capability is critical for the large file support requirement.</w:t>
      </w:r>
    </w:p>
    <w:p>
      <w:pPr>
        <w:spacing w:after="120" w:line="312"/>
        <w:jc w:val="both"/>
      </w:pPr>
      <w:r>
        <w:rPr>
          <w:rFonts w:ascii="Times New Roman"/>
          <w:color w:val="2C2C2C"/>
          <w:sz w:val="24"/>
          <w:szCs w:val="24"/>
        </w:rPr>
        <w:t xml:space="preserve">pandas also provides built-in support for data type inference, missing value handling, string operations, merge operations, and group-by aggregations, all of which are heavily used by the pipeline stages. The library is widely adopted, well-documented, and has a stable API, which reduces the risk of breaking changes affecting the pipeline. Its integration with NumPy enables efficient vectorized operations that are orders of magnitude faster than equivalent Python loops.</w:t>
      </w:r>
    </w:p>
    <w:p>
      <w:pPr>
        <w:pStyle w:val="Heading3"/>
        <w:spacing w:after="120" w:before="240" w:line="312"/>
      </w:pPr>
      <w:bookmarkStart w:id="100012" w:name="_Toc100012"/>
      <w:r>
        <w:rPr>
          <w:rFonts w:ascii="Times New Roman"/>
          <w:b/>
          <w:bCs/>
          <w:color w:val="6B6B6B"/>
          <w:sz w:val="24"/>
          <w:szCs w:val="24"/>
        </w:rPr>
        <w:t xml:space="preserve">3.2.2 Memory Management Strategy</w:t>
      </w:r>
      <w:bookmarkEnd w:id="100012"/>
    </w:p>
    <w:p>
      <w:pPr>
        <w:spacing w:after="120" w:line="312"/>
        <w:jc w:val="both"/>
      </w:pPr>
      <w:r>
        <w:rPr>
          <w:rFonts w:ascii="Times New Roman"/>
          <w:color w:val="2C2C2C"/>
          <w:sz w:val="24"/>
          <w:szCs w:val="24"/>
        </w:rPr>
        <w:t xml:space="preserve">For files larger than available RAM, the pipeline implements a chunked processing strategy. The Importer reads the CSV in fixed-size chunks (configurable, default 100,000 rows per chunk). Each chunk is processed through the Filter and Normalize stages independently, and only the rows that pass all filters are retained. The filtered chunks are then concatenated into a single DataFrame for the Join and Compare stages. This approach ensures that the memory footprint never exceeds the size of a single chunk plus the filtered output, rather than the full input file size.</w:t>
      </w:r>
    </w:p>
    <w:p>
      <w:pPr>
        <w:spacing w:after="120" w:line="312"/>
        <w:jc w:val="both"/>
      </w:pPr>
      <w:r>
        <w:rPr>
          <w:rFonts w:ascii="Times New Roman"/>
          <w:color w:val="2C2C2C"/>
          <w:sz w:val="24"/>
          <w:szCs w:val="24"/>
        </w:rPr>
        <w:t xml:space="preserve">Additionally, the pipeline supports optional column pruning at import time. If the user specifies only a subset of columns to compare, the Importer can drop all other columns during the initial read, significantly reducing memory usage. This is controlled by the use_columns configuration key in each source definition. When enabled, the Importer passes a usecols parameter to pandas read_csv(), which skips parsing of unwanted columns entirely.</w:t>
      </w:r>
    </w:p>
    <w:p>
      <w:pPr>
        <w:pStyle w:val="Heading3"/>
        <w:spacing w:after="120" w:before="240" w:line="312"/>
      </w:pPr>
      <w:bookmarkStart w:id="100013" w:name="_Toc100013"/>
      <w:r>
        <w:rPr>
          <w:rFonts w:ascii="Times New Roman"/>
          <w:b/>
          <w:bCs/>
          <w:color w:val="6B6B6B"/>
          <w:sz w:val="24"/>
          <w:szCs w:val="24"/>
        </w:rPr>
        <w:t xml:space="preserve">3.2.3 Data Type Handling</w:t>
      </w:r>
      <w:bookmarkEnd w:id="100013"/>
    </w:p>
    <w:p>
      <w:pPr>
        <w:spacing w:after="120" w:line="312"/>
        <w:jc w:val="both"/>
      </w:pPr>
      <w:r>
        <w:rPr>
          <w:rFonts w:ascii="Times New Roman"/>
          <w:color w:val="2C2C2C"/>
          <w:sz w:val="24"/>
          <w:szCs w:val="24"/>
        </w:rPr>
        <w:t xml:space="preserve">The Importer performs intelligent data type inference using pandas dtype parameter. By default, all columns are read as strings (dtype=str) to preserve the exact cell values without unintended conversion. This is important because CSV comparison is fundamentally about string matching, and converting values to numeric or date types can introduce rounding, formatting, or timezone artifacts that cause false mismatches. However, the user can override this behavior by specifying explicit column types in the configuration, which is useful when numeric comparison with tolerance is needed.</w:t>
      </w:r>
    </w:p>
    <w:p>
      <w:pPr>
        <w:pStyle w:val="Heading1"/>
        <w:spacing w:after="200" w:before="480" w:line="312"/>
      </w:pPr>
      <w:bookmarkStart w:id="100014" w:name="_Toc100014"/>
      <w:r>
        <w:rPr>
          <w:rFonts w:ascii="Times New Roman"/>
          <w:b/>
          <w:bCs/>
          <w:color w:val="D4875A"/>
          <w:sz w:val="32"/>
          <w:szCs w:val="32"/>
        </w:rPr>
        <w:t xml:space="preserve">4. Configuration System</w:t>
      </w:r>
      <w:bookmarkEnd w:id="100014"/>
    </w:p>
    <w:p>
      <w:pPr>
        <w:pStyle w:val="Heading2"/>
        <w:spacing w:after="160" w:before="360" w:line="312"/>
      </w:pPr>
      <w:bookmarkStart w:id="100015" w:name="_Toc100015"/>
      <w:r>
        <w:rPr>
          <w:rFonts w:ascii="Times New Roman"/>
          <w:b/>
          <w:bCs/>
          <w:color w:val="2C2C2C"/>
          <w:sz w:val="28"/>
          <w:szCs w:val="28"/>
        </w:rPr>
        <w:t xml:space="preserve">4.1 Design Philosophy</w:t>
      </w:r>
      <w:bookmarkEnd w:id="100015"/>
    </w:p>
    <w:p>
      <w:pPr>
        <w:spacing w:after="120" w:line="312"/>
        <w:jc w:val="both"/>
      </w:pPr>
      <w:r>
        <w:rPr>
          <w:rFonts w:ascii="Times New Roman"/>
          <w:color w:val="2C2C2C"/>
          <w:sz w:val="24"/>
          <w:szCs w:val="24"/>
        </w:rPr>
        <w:t xml:space="preserve">The configuration system is the single most important design element of the pipeline. Its primary goal is to allow users to define every aspect of a comparison job without writing or modifying Python code. The configuration is stored in a YAML file that serves as the complete specification for a comparison job. The YAML format was chosen over JSON because it supports comments, which allow users to document their configuration decisions, and because its syntax is more readable for complex nested structures.</w:t>
      </w:r>
    </w:p>
    <w:p>
      <w:pPr>
        <w:spacing w:after="120" w:line="312"/>
        <w:jc w:val="both"/>
      </w:pPr>
      <w:r>
        <w:rPr>
          <w:rFonts w:ascii="Times New Roman"/>
          <w:color w:val="2C2C2C"/>
          <w:sz w:val="24"/>
          <w:szCs w:val="24"/>
        </w:rPr>
        <w:t xml:space="preserve">The configuration schema is versioned to ensure backward compatibility as the pipeline evolves. Each config file must include a schema_version key that indicates which version of the configuration schema it follows. The pipeline loads the appropriate schema validator based on this version, allowing older configuration files to continue working even after the pipeline has been updated with new features and configuration options.</w:t>
      </w:r>
    </w:p>
    <w:p>
      <w:pPr>
        <w:pStyle w:val="Heading2"/>
        <w:spacing w:after="160" w:before="360" w:line="312"/>
      </w:pPr>
      <w:bookmarkStart w:id="100016" w:name="_Toc100016"/>
      <w:r>
        <w:rPr>
          <w:rFonts w:ascii="Times New Roman"/>
          <w:b/>
          <w:bCs/>
          <w:color w:val="2C2C2C"/>
          <w:sz w:val="28"/>
          <w:szCs w:val="28"/>
        </w:rPr>
        <w:t xml:space="preserve">4.2 Configuration Schema</w:t>
      </w:r>
      <w:bookmarkEnd w:id="100016"/>
    </w:p>
    <w:p>
      <w:pPr>
        <w:spacing w:after="120" w:line="312"/>
        <w:jc w:val="both"/>
      </w:pPr>
      <w:r>
        <w:rPr>
          <w:rFonts w:ascii="Times New Roman"/>
          <w:color w:val="2C2C2C"/>
          <w:sz w:val="24"/>
          <w:szCs w:val="24"/>
        </w:rPr>
        <w:t xml:space="preserve">The configuration file is organized into seven top-level sections: metadata, sources, key_column, column_mappings, pre_filters, normalization_rules, and report. Each section is validated independently by the configuration loader, and detailed error messages are produced if any section fails validation. The validation rules include type checking, required key verification, cross-reference validation (e.g., ensuring that column names referenced in mappings exist in the source files), and conflict detection (e.g., duplicate normalization group names).</w:t>
      </w:r>
    </w:p>
    <w:p>
      <w:pPr>
        <w:pStyle w:val="Heading3"/>
        <w:spacing w:after="120" w:before="240" w:line="312"/>
      </w:pPr>
      <w:bookmarkStart w:id="100017" w:name="_Toc100017"/>
      <w:r>
        <w:rPr>
          <w:rFonts w:ascii="Times New Roman"/>
          <w:b/>
          <w:bCs/>
          <w:color w:val="6B6B6B"/>
          <w:sz w:val="24"/>
          <w:szCs w:val="24"/>
        </w:rPr>
        <w:t xml:space="preserve">4.2.1 Metadata Section</w:t>
      </w:r>
      <w:bookmarkEnd w:id="100017"/>
    </w:p>
    <w:p>
      <w:pPr>
        <w:spacing w:after="120" w:line="312"/>
        <w:jc w:val="both"/>
      </w:pPr>
      <w:r>
        <w:rPr>
          <w:rFonts w:ascii="Times New Roman"/>
          <w:color w:val="2C2C2C"/>
          <w:sz w:val="24"/>
          <w:szCs w:val="24"/>
        </w:rPr>
        <w:t xml:space="preserve">The metadata section contains non-functional information about the comparison job, including a human-readable title, a description, the schema version, and an optional list of tags for categorization. This information is used in the generated report header and in the TUI display. It has no effect on the comparison logic but provides important context for users reviewing the results.</w:t>
      </w:r>
    </w:p>
    <w:p>
      <w:pPr>
        <w:pStyle w:val="Heading3"/>
        <w:spacing w:after="120" w:before="240" w:line="312"/>
      </w:pPr>
      <w:bookmarkStart w:id="100018" w:name="_Toc100018"/>
      <w:r>
        <w:rPr>
          <w:rFonts w:ascii="Times New Roman"/>
          <w:b/>
          <w:bCs/>
          <w:color w:val="6B6B6B"/>
          <w:sz w:val="24"/>
          <w:szCs w:val="24"/>
        </w:rPr>
        <w:t xml:space="preserve">4.2.2 Sources Section</w:t>
      </w:r>
      <w:bookmarkEnd w:id="100018"/>
    </w:p>
    <w:p>
      <w:pPr>
        <w:spacing w:after="120" w:line="312"/>
        <w:jc w:val="both"/>
      </w:pPr>
      <w:r>
        <w:rPr>
          <w:rFonts w:ascii="Times New Roman"/>
          <w:color w:val="2C2C2C"/>
          <w:sz w:val="24"/>
          <w:szCs w:val="24"/>
        </w:rPr>
        <w:t xml:space="preserve">The sources section defines the two input CSV files and their properties. Each source definition includes the file path (relative or absolute), delimiter character, encoding, quote character, and an optional list of columns to import. The engine validates that both files exist and are readable before starting the pipeline, and it produces clear error messages if a file cannot be found or if the specified encoding is incorrect.</w:t>
      </w:r>
    </w:p>
    <w:p>
      <w:pPr>
        <w:pStyle w:val="Heading3"/>
        <w:spacing w:after="120" w:before="240" w:line="312"/>
      </w:pPr>
      <w:bookmarkStart w:id="100019" w:name="_Toc100019"/>
      <w:r>
        <w:rPr>
          <w:rFonts w:ascii="Times New Roman"/>
          <w:b/>
          <w:bCs/>
          <w:color w:val="6B6B6B"/>
          <w:sz w:val="24"/>
          <w:szCs w:val="24"/>
        </w:rPr>
        <w:t xml:space="preserve">4.2.3 Key Column and Column Mappings</w:t>
      </w:r>
      <w:bookmarkEnd w:id="100019"/>
    </w:p>
    <w:p>
      <w:pPr>
        <w:spacing w:after="120" w:line="312"/>
        <w:jc w:val="both"/>
      </w:pPr>
      <w:r>
        <w:rPr>
          <w:rFonts w:ascii="Times New Roman"/>
          <w:color w:val="2C2C2C"/>
          <w:sz w:val="24"/>
          <w:szCs w:val="24"/>
        </w:rPr>
        <w:t xml:space="preserve">The key_column section specifies which column in each source serves as the unique identifier for the join operation. This section supports column renaming, so the key column can have different names in each source file. The column_mappings section defines the pairs of columns that should be compared after the join. Each mapping entry specifies the source column name, the corresponding target column name, the comparison method (exact, set, or regex), and any normalization rules that should be applied before comparison.</w:t>
      </w:r>
    </w:p>
    <w:p>
      <w:pPr>
        <w:pStyle w:val="Heading3"/>
        <w:spacing w:after="120" w:before="240" w:line="312"/>
      </w:pPr>
      <w:bookmarkStart w:id="100020" w:name="_Toc100020"/>
      <w:r>
        <w:rPr>
          <w:rFonts w:ascii="Times New Roman"/>
          <w:b/>
          <w:bCs/>
          <w:color w:val="6B6B6B"/>
          <w:sz w:val="24"/>
          <w:szCs w:val="24"/>
        </w:rPr>
        <w:t xml:space="preserve">4.2.4 Pre-Filters Section</w:t>
      </w:r>
      <w:bookmarkEnd w:id="100020"/>
    </w:p>
    <w:p>
      <w:pPr>
        <w:spacing w:after="120" w:line="312"/>
        <w:jc w:val="both"/>
      </w:pPr>
      <w:r>
        <w:rPr>
          <w:rFonts w:ascii="Times New Roman"/>
          <w:color w:val="2C2C2C"/>
          <w:sz w:val="24"/>
          <w:szCs w:val="24"/>
        </w:rPr>
        <w:t xml:space="preserve">The pre_filters section defines row-level exclusion rules that are applied independently to each source before the join operation. Each filter rule specifies a column, an operator (equals, not_equals, in, not_in, greater_than, less_than, contains, matches_regex, is_null, is_not_null), a value or list of values, and an action (skip or keep). Multiple filter rules within the same source are combined with AND logic, meaning a row must pass all rules to be retained.</w:t>
      </w:r>
    </w:p>
    <w:p>
      <w:pPr>
        <w:pStyle w:val="Heading3"/>
        <w:spacing w:after="120" w:before="240" w:line="312"/>
      </w:pPr>
      <w:bookmarkStart w:id="100021" w:name="_Toc100021"/>
      <w:r>
        <w:rPr>
          <w:rFonts w:ascii="Times New Roman"/>
          <w:b/>
          <w:bCs/>
          <w:color w:val="6B6B6B"/>
          <w:sz w:val="24"/>
          <w:szCs w:val="24"/>
        </w:rPr>
        <w:t xml:space="preserve">4.2.5 Normalization Rules Section</w:t>
      </w:r>
      <w:bookmarkEnd w:id="100021"/>
    </w:p>
    <w:p>
      <w:pPr>
        <w:spacing w:after="120" w:line="312"/>
        <w:jc w:val="both"/>
      </w:pPr>
      <w:r>
        <w:rPr>
          <w:rFonts w:ascii="Times New Roman"/>
          <w:color w:val="2C2C2C"/>
          <w:sz w:val="24"/>
          <w:szCs w:val="24"/>
        </w:rPr>
        <w:t xml:space="preserve">The normalization_rules section defines how cell values should be transformed before comparison. There are three types of normalization rules. Global cleaning rules (trim_whitespace, remove_nulls, case_normalize) are applied to all compared columns uniformly. Alias groups define sets of values that should be treated as equivalent, with a display format template that controls how the normalized value is presented in the report (e.g., 'Model A({original})'). Column-specific rules allow per-column normalization overrides, including fixed-length parsing for contiguous text strings and array parsing for values that contain lists encoded as comma-separated strings or JSON arrays.</w:t>
      </w:r>
    </w:p>
    <w:p>
      <w:pPr>
        <w:pStyle w:val="Heading3"/>
        <w:spacing w:after="120" w:before="240" w:line="312"/>
      </w:pPr>
      <w:bookmarkStart w:id="100022" w:name="_Toc100022"/>
      <w:r>
        <w:rPr>
          <w:rFonts w:ascii="Times New Roman"/>
          <w:b/>
          <w:bCs/>
          <w:color w:val="6B6B6B"/>
          <w:sz w:val="24"/>
          <w:szCs w:val="24"/>
        </w:rPr>
        <w:t xml:space="preserve">4.2.6 Report Section</w:t>
      </w:r>
      <w:bookmarkEnd w:id="100022"/>
    </w:p>
    <w:p>
      <w:pPr>
        <w:spacing w:after="120" w:line="312"/>
        <w:jc w:val="both"/>
      </w:pPr>
      <w:r>
        <w:rPr>
          <w:rFonts w:ascii="Times New Roman"/>
          <w:color w:val="2C2C2C"/>
          <w:sz w:val="24"/>
          <w:szCs w:val="24"/>
        </w:rPr>
        <w:t xml:space="preserve">The report section controls the output of the pipeline. It defines which report sections are enabled (summary, mismatch_details, unmatched_records, per_column_breakdown, normalization_log, filter_log), which statistics should be computed and displayed, which columns should appear in each report section, and the output file formats and locations. The report section is fully configurable, allowing users to tailor the report content to their specific needs without modifying the pipeline code.</w:t>
      </w:r>
    </w:p>
    <w:p>
      <w:pPr>
        <w:pStyle w:val="Heading2"/>
        <w:spacing w:after="160" w:before="360" w:line="312"/>
      </w:pPr>
      <w:bookmarkStart w:id="100023" w:name="_Toc100023"/>
      <w:r>
        <w:rPr>
          <w:rFonts w:ascii="Times New Roman"/>
          <w:b/>
          <w:bCs/>
          <w:color w:val="2C2C2C"/>
          <w:sz w:val="28"/>
          <w:szCs w:val="28"/>
        </w:rPr>
        <w:t xml:space="preserve">4.3 Config Validation Rules</w:t>
      </w:r>
      <w:bookmarkEnd w:id="10002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2%"/>
            <w:shd w:fill="D4875A" w:val="clear"/>
            <w:tcMar>
              <w:top w:type="dxa" w:w="60"/>
              <w:left w:type="dxa" w:w="120"/>
              <w:bottom w:type="dxa" w:w="60"/>
              <w:right w:type="dxa" w:w="120"/>
            </w:tcMar>
          </w:tcPr>
          <w:p>
            <w:r>
              <w:rPr>
                <w:rFonts w:ascii="Times New Roman"/>
                <w:b/>
                <w:bCs/>
                <w:color w:val="FFFFFF"/>
                <w:sz w:val="21"/>
                <w:szCs w:val="21"/>
              </w:rPr>
              <w:t xml:space="preserve">Rule ID</w:t>
            </w:r>
          </w:p>
        </w:tc>
        <w:tc>
          <w:tcPr>
            <w:tcW w:type="pct" w:w="40%"/>
            <w:shd w:fill="D4875A" w:val="clear"/>
            <w:tcMar>
              <w:top w:type="dxa" w:w="60"/>
              <w:left w:type="dxa" w:w="120"/>
              <w:bottom w:type="dxa" w:w="60"/>
              <w:right w:type="dxa" w:w="120"/>
            </w:tcMar>
          </w:tcPr>
          <w:p>
            <w:r>
              <w:rPr>
                <w:rFonts w:ascii="Times New Roman"/>
                <w:b/>
                <w:bCs/>
                <w:color w:val="FFFFFF"/>
                <w:sz w:val="21"/>
                <w:szCs w:val="21"/>
              </w:rPr>
              <w:t xml:space="preserve">Description</w:t>
            </w:r>
          </w:p>
        </w:tc>
        <w:tc>
          <w:tcPr>
            <w:tcW w:type="pct" w:w="15%"/>
            <w:shd w:fill="D4875A" w:val="clear"/>
            <w:tcMar>
              <w:top w:type="dxa" w:w="60"/>
              <w:left w:type="dxa" w:w="120"/>
              <w:bottom w:type="dxa" w:w="60"/>
              <w:right w:type="dxa" w:w="120"/>
            </w:tcMar>
          </w:tcPr>
          <w:p>
            <w:r>
              <w:rPr>
                <w:rFonts w:ascii="Times New Roman"/>
                <w:b/>
                <w:bCs/>
                <w:color w:val="FFFFFF"/>
                <w:sz w:val="21"/>
                <w:szCs w:val="21"/>
              </w:rPr>
              <w:t xml:space="preserve">Error Level</w:t>
            </w:r>
          </w:p>
        </w:tc>
        <w:tc>
          <w:tcPr>
            <w:tcW w:type="pct" w:w="33%"/>
            <w:shd w:fill="D4875A" w:val="clear"/>
            <w:tcMar>
              <w:top w:type="dxa" w:w="60"/>
              <w:left w:type="dxa" w:w="120"/>
              <w:bottom w:type="dxa" w:w="60"/>
              <w:right w:type="dxa" w:w="120"/>
            </w:tcMar>
          </w:tcPr>
          <w:p>
            <w:r>
              <w:rPr>
                <w:rFonts w:ascii="Times New Roman"/>
                <w:b/>
                <w:bCs/>
                <w:color w:val="FFFFFF"/>
                <w:sz w:val="21"/>
                <w:szCs w:val="21"/>
              </w:rPr>
              <w:t xml:space="preserve">Recovery</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CFG-001</w:t>
            </w:r>
          </w:p>
        </w:tc>
        <w:tc>
          <w:tcPr>
            <w:tcW w:type="pct" w:w="40%"/>
            <w:tcMar>
              <w:top w:type="dxa" w:w="50"/>
              <w:left w:type="dxa" w:w="120"/>
              <w:bottom w:type="dxa" w:w="50"/>
              <w:right w:type="dxa" w:w="120"/>
            </w:tcMar>
          </w:tcPr>
          <w:p>
            <w:r>
              <w:rPr>
                <w:rFonts w:ascii="Times New Roman"/>
                <w:color w:val="2C2C2C"/>
                <w:sz w:val="21"/>
                <w:szCs w:val="21"/>
              </w:rPr>
              <w:t xml:space="preserve">Required top-level keys present</w:t>
            </w:r>
          </w:p>
        </w:tc>
        <w:tc>
          <w:tcPr>
            <w:tcW w:type="pct" w:w="15%"/>
            <w:tcMar>
              <w:top w:type="dxa" w:w="50"/>
              <w:left w:type="dxa" w:w="120"/>
              <w:bottom w:type="dxa" w:w="50"/>
              <w:right w:type="dxa" w:w="120"/>
            </w:tcMar>
          </w:tcPr>
          <w:p>
            <w:r>
              <w:rPr>
                <w:rFonts w:ascii="Times New Roman"/>
                <w:color w:val="2C2C2C"/>
                <w:sz w:val="21"/>
                <w:szCs w:val="21"/>
              </w:rPr>
              <w:t xml:space="preserve">Fatal</w:t>
            </w:r>
          </w:p>
        </w:tc>
        <w:tc>
          <w:tcPr>
            <w:tcW w:type="pct" w:w="33%"/>
            <w:tcMar>
              <w:top w:type="dxa" w:w="50"/>
              <w:left w:type="dxa" w:w="120"/>
              <w:bottom w:type="dxa" w:w="50"/>
              <w:right w:type="dxa" w:w="120"/>
            </w:tcMar>
          </w:tcPr>
          <w:p>
            <w:r>
              <w:rPr>
                <w:rFonts w:ascii="Times New Roman"/>
                <w:color w:val="2C2C2C"/>
                <w:sz w:val="21"/>
                <w:szCs w:val="21"/>
              </w:rPr>
              <w:t xml:space="preserve">Halt with message</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CFG-002</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Schema version is supported</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Fatal</w:t>
            </w:r>
          </w:p>
        </w:tc>
        <w:tc>
          <w:tcPr>
            <w:tcW w:type="pct" w:w="33%"/>
            <w:shd w:fill="F8F0EB" w:val="clear"/>
            <w:tcMar>
              <w:top w:type="dxa" w:w="50"/>
              <w:left w:type="dxa" w:w="120"/>
              <w:bottom w:type="dxa" w:w="50"/>
              <w:right w:type="dxa" w:w="120"/>
            </w:tcMar>
          </w:tcPr>
          <w:p>
            <w:r>
              <w:rPr>
                <w:rFonts w:ascii="Times New Roman"/>
                <w:color w:val="2C2C2C"/>
                <w:sz w:val="21"/>
                <w:szCs w:val="21"/>
              </w:rPr>
              <w:t xml:space="preserve">Halt with message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CFG-003</w:t>
            </w:r>
          </w:p>
        </w:tc>
        <w:tc>
          <w:tcPr>
            <w:tcW w:type="pct" w:w="40%"/>
            <w:tcMar>
              <w:top w:type="dxa" w:w="50"/>
              <w:left w:type="dxa" w:w="120"/>
              <w:bottom w:type="dxa" w:w="50"/>
              <w:right w:type="dxa" w:w="120"/>
            </w:tcMar>
          </w:tcPr>
          <w:p>
            <w:r>
              <w:rPr>
                <w:rFonts w:ascii="Times New Roman"/>
                <w:color w:val="2C2C2C"/>
                <w:sz w:val="21"/>
                <w:szCs w:val="21"/>
              </w:rPr>
              <w:t xml:space="preserve">Source file paths exist and readable</w:t>
            </w:r>
          </w:p>
        </w:tc>
        <w:tc>
          <w:tcPr>
            <w:tcW w:type="pct" w:w="15%"/>
            <w:tcMar>
              <w:top w:type="dxa" w:w="50"/>
              <w:left w:type="dxa" w:w="120"/>
              <w:bottom w:type="dxa" w:w="50"/>
              <w:right w:type="dxa" w:w="120"/>
            </w:tcMar>
          </w:tcPr>
          <w:p>
            <w:r>
              <w:rPr>
                <w:rFonts w:ascii="Times New Roman"/>
                <w:color w:val="2C2C2C"/>
                <w:sz w:val="21"/>
                <w:szCs w:val="21"/>
              </w:rPr>
              <w:t xml:space="preserve">Fatal</w:t>
            </w:r>
          </w:p>
        </w:tc>
        <w:tc>
          <w:tcPr>
            <w:tcW w:type="pct" w:w="33%"/>
            <w:tcMar>
              <w:top w:type="dxa" w:w="50"/>
              <w:left w:type="dxa" w:w="120"/>
              <w:bottom w:type="dxa" w:w="50"/>
              <w:right w:type="dxa" w:w="120"/>
            </w:tcMar>
          </w:tcPr>
          <w:p>
            <w:r>
              <w:rPr>
                <w:rFonts w:ascii="Times New Roman"/>
                <w:color w:val="2C2C2C"/>
                <w:sz w:val="21"/>
                <w:szCs w:val="21"/>
              </w:rPr>
              <w:t xml:space="preserve">Halt with message</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CFG-004</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Key columns exist in respective sources</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Fatal</w:t>
            </w:r>
          </w:p>
        </w:tc>
        <w:tc>
          <w:tcPr>
            <w:tcW w:type="pct" w:w="33%"/>
            <w:shd w:fill="F8F0EB" w:val="clear"/>
            <w:tcMar>
              <w:top w:type="dxa" w:w="50"/>
              <w:left w:type="dxa" w:w="120"/>
              <w:bottom w:type="dxa" w:w="50"/>
              <w:right w:type="dxa" w:w="120"/>
            </w:tcMar>
          </w:tcPr>
          <w:p>
            <w:r>
              <w:rPr>
                <w:rFonts w:ascii="Times New Roman"/>
                <w:color w:val="2C2C2C"/>
                <w:sz w:val="21"/>
                <w:szCs w:val="21"/>
              </w:rPr>
              <w:t xml:space="preserve">Halt with message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CFG-005</w:t>
            </w:r>
          </w:p>
        </w:tc>
        <w:tc>
          <w:tcPr>
            <w:tcW w:type="pct" w:w="40%"/>
            <w:tcMar>
              <w:top w:type="dxa" w:w="50"/>
              <w:left w:type="dxa" w:w="120"/>
              <w:bottom w:type="dxa" w:w="50"/>
              <w:right w:type="dxa" w:w="120"/>
            </w:tcMar>
          </w:tcPr>
          <w:p>
            <w:r>
              <w:rPr>
                <w:rFonts w:ascii="Times New Roman"/>
                <w:color w:val="2C2C2C"/>
                <w:sz w:val="21"/>
                <w:szCs w:val="21"/>
              </w:rPr>
              <w:t xml:space="preserve">Mapped columns exist in respective sources</w:t>
            </w:r>
          </w:p>
        </w:tc>
        <w:tc>
          <w:tcPr>
            <w:tcW w:type="pct" w:w="15%"/>
            <w:tcMar>
              <w:top w:type="dxa" w:w="50"/>
              <w:left w:type="dxa" w:w="120"/>
              <w:bottom w:type="dxa" w:w="50"/>
              <w:right w:type="dxa" w:w="120"/>
            </w:tcMar>
          </w:tcPr>
          <w:p>
            <w:r>
              <w:rPr>
                <w:rFonts w:ascii="Times New Roman"/>
                <w:color w:val="2C2C2C"/>
                <w:sz w:val="21"/>
                <w:szCs w:val="21"/>
              </w:rPr>
              <w:t xml:space="preserve">Fatal</w:t>
            </w:r>
          </w:p>
        </w:tc>
        <w:tc>
          <w:tcPr>
            <w:tcW w:type="pct" w:w="33%"/>
            <w:tcMar>
              <w:top w:type="dxa" w:w="50"/>
              <w:left w:type="dxa" w:w="120"/>
              <w:bottom w:type="dxa" w:w="50"/>
              <w:right w:type="dxa" w:w="120"/>
            </w:tcMar>
          </w:tcPr>
          <w:p>
            <w:r>
              <w:rPr>
                <w:rFonts w:ascii="Times New Roman"/>
                <w:color w:val="2C2C2C"/>
                <w:sz w:val="21"/>
                <w:szCs w:val="21"/>
              </w:rPr>
              <w:t xml:space="preserve">Halt with message</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CFG-006</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No duplicate normalization group names</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Fatal</w:t>
            </w:r>
          </w:p>
        </w:tc>
        <w:tc>
          <w:tcPr>
            <w:tcW w:type="pct" w:w="33%"/>
            <w:shd w:fill="F8F0EB" w:val="clear"/>
            <w:tcMar>
              <w:top w:type="dxa" w:w="50"/>
              <w:left w:type="dxa" w:w="120"/>
              <w:bottom w:type="dxa" w:w="50"/>
              <w:right w:type="dxa" w:w="120"/>
            </w:tcMar>
          </w:tcPr>
          <w:p>
            <w:r>
              <w:rPr>
                <w:rFonts w:ascii="Times New Roman"/>
                <w:color w:val="2C2C2C"/>
                <w:sz w:val="21"/>
                <w:szCs w:val="21"/>
              </w:rPr>
              <w:t xml:space="preserve">Halt with message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CFG-007</w:t>
            </w:r>
          </w:p>
        </w:tc>
        <w:tc>
          <w:tcPr>
            <w:tcW w:type="pct" w:w="40%"/>
            <w:tcMar>
              <w:top w:type="dxa" w:w="50"/>
              <w:left w:type="dxa" w:w="120"/>
              <w:bottom w:type="dxa" w:w="50"/>
              <w:right w:type="dxa" w:w="120"/>
            </w:tcMar>
          </w:tcPr>
          <w:p>
            <w:r>
              <w:rPr>
                <w:rFonts w:ascii="Times New Roman"/>
                <w:color w:val="2C2C2C"/>
                <w:sz w:val="21"/>
                <w:szCs w:val="21"/>
              </w:rPr>
              <w:t xml:space="preserve">Filter operators are valid</w:t>
            </w:r>
          </w:p>
        </w:tc>
        <w:tc>
          <w:tcPr>
            <w:tcW w:type="pct" w:w="15%"/>
            <w:tcMar>
              <w:top w:type="dxa" w:w="50"/>
              <w:left w:type="dxa" w:w="120"/>
              <w:bottom w:type="dxa" w:w="50"/>
              <w:right w:type="dxa" w:w="120"/>
            </w:tcMar>
          </w:tcPr>
          <w:p>
            <w:r>
              <w:rPr>
                <w:rFonts w:ascii="Times New Roman"/>
                <w:color w:val="2C2C2C"/>
                <w:sz w:val="21"/>
                <w:szCs w:val="21"/>
              </w:rPr>
              <w:t xml:space="preserve">Fatal</w:t>
            </w:r>
          </w:p>
        </w:tc>
        <w:tc>
          <w:tcPr>
            <w:tcW w:type="pct" w:w="33%"/>
            <w:tcMar>
              <w:top w:type="dxa" w:w="50"/>
              <w:left w:type="dxa" w:w="120"/>
              <w:bottom w:type="dxa" w:w="50"/>
              <w:right w:type="dxa" w:w="120"/>
            </w:tcMar>
          </w:tcPr>
          <w:p>
            <w:r>
              <w:rPr>
                <w:rFonts w:ascii="Times New Roman"/>
                <w:color w:val="2C2C2C"/>
                <w:sz w:val="21"/>
                <w:szCs w:val="21"/>
              </w:rPr>
              <w:t xml:space="preserve">Halt with message</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CFG-008</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Stat names in report ref exist in library</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Fatal</w:t>
            </w:r>
          </w:p>
        </w:tc>
        <w:tc>
          <w:tcPr>
            <w:tcW w:type="pct" w:w="33%"/>
            <w:shd w:fill="F8F0EB" w:val="clear"/>
            <w:tcMar>
              <w:top w:type="dxa" w:w="50"/>
              <w:left w:type="dxa" w:w="120"/>
              <w:bottom w:type="dxa" w:w="50"/>
              <w:right w:type="dxa" w:w="120"/>
            </w:tcMar>
          </w:tcPr>
          <w:p>
            <w:r>
              <w:rPr>
                <w:rFonts w:ascii="Times New Roman"/>
                <w:color w:val="2C2C2C"/>
                <w:sz w:val="21"/>
                <w:szCs w:val="21"/>
              </w:rPr>
              <w:t xml:space="preserve">Halt with message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CFG-009</w:t>
            </w:r>
          </w:p>
        </w:tc>
        <w:tc>
          <w:tcPr>
            <w:tcW w:type="pct" w:w="40%"/>
            <w:tcMar>
              <w:top w:type="dxa" w:w="50"/>
              <w:left w:type="dxa" w:w="120"/>
              <w:bottom w:type="dxa" w:w="50"/>
              <w:right w:type="dxa" w:w="120"/>
            </w:tcMar>
          </w:tcPr>
          <w:p>
            <w:r>
              <w:rPr>
                <w:rFonts w:ascii="Times New Roman"/>
                <w:color w:val="2C2C2C"/>
                <w:sz w:val="21"/>
                <w:szCs w:val="21"/>
              </w:rPr>
              <w:t xml:space="preserve">No name conflicts between inline and library stats</w:t>
            </w:r>
          </w:p>
        </w:tc>
        <w:tc>
          <w:tcPr>
            <w:tcW w:type="pct" w:w="15%"/>
            <w:tcMar>
              <w:top w:type="dxa" w:w="50"/>
              <w:left w:type="dxa" w:w="120"/>
              <w:bottom w:type="dxa" w:w="50"/>
              <w:right w:type="dxa" w:w="120"/>
            </w:tcMar>
          </w:tcPr>
          <w:p>
            <w:r>
              <w:rPr>
                <w:rFonts w:ascii="Times New Roman"/>
                <w:color w:val="2C2C2C"/>
                <w:sz w:val="21"/>
                <w:szCs w:val="21"/>
              </w:rPr>
              <w:t xml:space="preserve">Fatal</w:t>
            </w:r>
          </w:p>
        </w:tc>
        <w:tc>
          <w:tcPr>
            <w:tcW w:type="pct" w:w="33%"/>
            <w:tcMar>
              <w:top w:type="dxa" w:w="50"/>
              <w:left w:type="dxa" w:w="120"/>
              <w:bottom w:type="dxa" w:w="50"/>
              <w:right w:type="dxa" w:w="120"/>
            </w:tcMar>
          </w:tcPr>
          <w:p>
            <w:r>
              <w:rPr>
                <w:rFonts w:ascii="Times New Roman"/>
                <w:color w:val="2C2C2C"/>
                <w:sz w:val="21"/>
                <w:szCs w:val="21"/>
              </w:rPr>
              <w:t xml:space="preserve">Halt with message</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CFG-010</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Output directory is writable</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Warning</w:t>
            </w:r>
          </w:p>
        </w:tc>
        <w:tc>
          <w:tcPr>
            <w:tcW w:type="pct" w:w="33%"/>
            <w:shd w:fill="F8F0EB" w:val="clear"/>
            <w:tcMar>
              <w:top w:type="dxa" w:w="50"/>
              <w:left w:type="dxa" w:w="120"/>
              <w:bottom w:type="dxa" w:w="50"/>
              <w:right w:type="dxa" w:w="120"/>
            </w:tcMar>
          </w:tcPr>
          <w:p>
            <w:r>
              <w:rPr>
                <w:rFonts w:ascii="Times New Roman"/>
                <w:color w:val="2C2C2C"/>
                <w:sz w:val="21"/>
                <w:szCs w:val="21"/>
              </w:rPr>
              <w:t xml:space="preserve">Create directory</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CFG-011</w:t>
            </w:r>
          </w:p>
        </w:tc>
        <w:tc>
          <w:tcPr>
            <w:tcW w:type="pct" w:w="40%"/>
            <w:tcMar>
              <w:top w:type="dxa" w:w="50"/>
              <w:left w:type="dxa" w:w="120"/>
              <w:bottom w:type="dxa" w:w="50"/>
              <w:right w:type="dxa" w:w="120"/>
            </w:tcMar>
          </w:tcPr>
          <w:p>
            <w:r>
              <w:rPr>
                <w:rFonts w:ascii="Times New Roman"/>
                <w:color w:val="2C2C2C"/>
                <w:sz w:val="21"/>
                <w:szCs w:val="21"/>
              </w:rPr>
              <w:t xml:space="preserve">Plugin files in plugins/ are importable</w:t>
            </w:r>
          </w:p>
        </w:tc>
        <w:tc>
          <w:tcPr>
            <w:tcW w:type="pct" w:w="15%"/>
            <w:tcMar>
              <w:top w:type="dxa" w:w="50"/>
              <w:left w:type="dxa" w:w="120"/>
              <w:bottom w:type="dxa" w:w="50"/>
              <w:right w:type="dxa" w:w="120"/>
            </w:tcMar>
          </w:tcPr>
          <w:p>
            <w:r>
              <w:rPr>
                <w:rFonts w:ascii="Times New Roman"/>
                <w:color w:val="2C2C2C"/>
                <w:sz w:val="21"/>
                <w:szCs w:val="21"/>
              </w:rPr>
              <w:t xml:space="preserve">Warning</w:t>
            </w:r>
          </w:p>
        </w:tc>
        <w:tc>
          <w:tcPr>
            <w:tcW w:type="pct" w:w="33%"/>
            <w:tcMar>
              <w:top w:type="dxa" w:w="50"/>
              <w:left w:type="dxa" w:w="120"/>
              <w:bottom w:type="dxa" w:w="50"/>
              <w:right w:type="dxa" w:w="120"/>
            </w:tcMar>
          </w:tcPr>
          <w:p>
            <w:r>
              <w:rPr>
                <w:rFonts w:ascii="Times New Roman"/>
                <w:color w:val="2C2C2C"/>
                <w:sz w:val="21"/>
                <w:szCs w:val="21"/>
              </w:rPr>
              <w:t xml:space="preserve">Skip broken plugins</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CFG-012</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Template files referenced exist</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Warning</w:t>
            </w:r>
          </w:p>
        </w:tc>
        <w:tc>
          <w:tcPr>
            <w:tcW w:type="pct" w:w="33%"/>
            <w:shd w:fill="F8F0EB" w:val="clear"/>
            <w:tcMar>
              <w:top w:type="dxa" w:w="50"/>
              <w:left w:type="dxa" w:w="120"/>
              <w:bottom w:type="dxa" w:w="50"/>
              <w:right w:type="dxa" w:w="120"/>
            </w:tcMar>
          </w:tcPr>
          <w:p>
            <w:r>
              <w:rPr>
                <w:rFonts w:ascii="Times New Roman"/>
                <w:color w:val="2C2C2C"/>
                <w:sz w:val="21"/>
                <w:szCs w:val="21"/>
              </w:rPr>
              <w:t xml:space="preserve">Fall back to default</w:t>
            </w:r>
          </w:p>
        </w:tc>
      </w:tr>
    </w:tbl>
    <w:p>
      <w:pPr>
        <w:spacing w:after="60"/>
      </w:pPr>
    </w:p>
    <w:p>
      <w:pPr>
        <w:pStyle w:val="Heading1"/>
        <w:spacing w:after="200" w:before="480" w:line="312"/>
      </w:pPr>
      <w:bookmarkStart w:id="100024" w:name="_Toc100024"/>
      <w:r>
        <w:rPr>
          <w:rFonts w:ascii="Times New Roman"/>
          <w:b/>
          <w:bCs/>
          <w:color w:val="D4875A"/>
          <w:sz w:val="32"/>
          <w:szCs w:val="32"/>
        </w:rPr>
        <w:t xml:space="preserve">5. Import Engine (importer.py)</w:t>
      </w:r>
      <w:bookmarkEnd w:id="100024"/>
    </w:p>
    <w:p>
      <w:pPr>
        <w:pStyle w:val="Heading2"/>
        <w:spacing w:after="160" w:before="360" w:line="312"/>
      </w:pPr>
      <w:bookmarkStart w:id="100025" w:name="_Toc100025"/>
      <w:r>
        <w:rPr>
          <w:rFonts w:ascii="Times New Roman"/>
          <w:b/>
          <w:bCs/>
          <w:color w:val="2C2C2C"/>
          <w:sz w:val="28"/>
          <w:szCs w:val="28"/>
        </w:rPr>
        <w:t xml:space="preserve">5.1 Responsibilities</w:t>
      </w:r>
      <w:bookmarkEnd w:id="100025"/>
    </w:p>
    <w:p>
      <w:pPr>
        <w:spacing w:after="120" w:line="312"/>
        <w:jc w:val="both"/>
      </w:pPr>
      <w:r>
        <w:rPr>
          <w:rFonts w:ascii="Times New Roman"/>
          <w:color w:val="2C2C2C"/>
          <w:sz w:val="24"/>
          <w:szCs w:val="24"/>
        </w:rPr>
        <w:t xml:space="preserve">The Import Engine is responsible for reading CSV files from disk and converting them into pandas DataFrames that the rest of the pipeline can operate on. This includes handling different file encodings, delimiters, quote characters, and line endings. The engine must detect these properties automatically when the user specifies 'auto' for any of them, but also allow explicit specification for cases where auto-detection fails.</w:t>
      </w:r>
    </w:p>
    <w:p>
      <w:pPr>
        <w:spacing w:after="120" w:line="312"/>
        <w:jc w:val="both"/>
      </w:pPr>
      <w:r>
        <w:rPr>
          <w:rFonts w:ascii="Times New Roman"/>
          <w:color w:val="2C2C2C"/>
          <w:sz w:val="24"/>
          <w:szCs w:val="24"/>
        </w:rPr>
        <w:t xml:space="preserve">Beyond basic file reading, the Import Engine performs initial data quality checks, including checking for duplicate key values within a single source, reporting the total row count and column count, and detecting whether the file uses a byte-order mark (BOM). These checks are performed before any filtering or normalization, and their results are stored in the PipelineContext for use in the summary report section.</w:t>
      </w:r>
    </w:p>
    <w:p>
      <w:pPr>
        <w:pStyle w:val="Heading2"/>
        <w:spacing w:after="160" w:before="360" w:line="312"/>
      </w:pPr>
      <w:bookmarkStart w:id="100026" w:name="_Toc100026"/>
      <w:r>
        <w:rPr>
          <w:rFonts w:ascii="Times New Roman"/>
          <w:b/>
          <w:bCs/>
          <w:color w:val="2C2C2C"/>
          <w:sz w:val="28"/>
          <w:szCs w:val="28"/>
        </w:rPr>
        <w:t xml:space="preserve">5.2 Encoding Detection</w:t>
      </w:r>
      <w:bookmarkEnd w:id="100026"/>
    </w:p>
    <w:p>
      <w:pPr>
        <w:spacing w:after="120" w:line="312"/>
        <w:jc w:val="both"/>
      </w:pPr>
      <w:r>
        <w:rPr>
          <w:rFonts w:ascii="Times New Roman"/>
          <w:color w:val="2C2C2C"/>
          <w:sz w:val="24"/>
          <w:szCs w:val="24"/>
        </w:rPr>
        <w:t xml:space="preserve">When the encoding is set to 'auto', the Import Engine uses the chardet library to detect the file encoding. It reads the first 10,000 bytes of the file, passes them to chardet.detect(), and uses the detected encoding with a confidence threshold of 0.8. If the confidence is below this threshold, the engine falls back to UTF-8 with a warning message. The user can override this behavior by specifying an explicit encoding in the source configuration. Supported encodings include UTF-8, UTF-8-BOM, UTF-16, Latin-1, Windows-1252, and ASCII.</w:t>
      </w:r>
    </w:p>
    <w:p>
      <w:pPr>
        <w:pStyle w:val="Heading2"/>
        <w:spacing w:after="160" w:before="360" w:line="312"/>
      </w:pPr>
      <w:bookmarkStart w:id="100027" w:name="_Toc100027"/>
      <w:r>
        <w:rPr>
          <w:rFonts w:ascii="Times New Roman"/>
          <w:b/>
          <w:bCs/>
          <w:color w:val="2C2C2C"/>
          <w:sz w:val="28"/>
          <w:szCs w:val="28"/>
        </w:rPr>
        <w:t xml:space="preserve">5.3 Chunked Reading Strategy</w:t>
      </w:r>
      <w:bookmarkEnd w:id="100027"/>
    </w:p>
    <w:p>
      <w:pPr>
        <w:spacing w:after="120" w:line="312"/>
        <w:jc w:val="both"/>
      </w:pPr>
      <w:r>
        <w:rPr>
          <w:rFonts w:ascii="Times New Roman"/>
          <w:color w:val="2C2C2C"/>
          <w:sz w:val="24"/>
          <w:szCs w:val="24"/>
        </w:rPr>
        <w:t xml:space="preserve">For files that exceed the configured memory threshold (default 200MB), the Import Engine activates chunked reading mode. In this mode, the file is read in fixed-size chunks specified by the chunk_size configuration parameter (default 100,000 rows). Each chunk is immediately passed through the Filter stage to remove unwanted rows before being appended to the output DataFrame. This streaming approach ensures that the memory footprint remains bounded regardless of the input file size. The chunk size can be tuned by the user based on available system memory and the expected density of filtered rows.</w:t>
      </w:r>
    </w:p>
    <w:p>
      <w:pPr>
        <w:pStyle w:val="Heading2"/>
        <w:spacing w:after="160" w:before="360" w:line="312"/>
      </w:pPr>
      <w:bookmarkStart w:id="100028" w:name="_Toc100028"/>
      <w:r>
        <w:rPr>
          <w:rFonts w:ascii="Times New Roman"/>
          <w:b/>
          <w:bCs/>
          <w:color w:val="2C2C2C"/>
          <w:sz w:val="28"/>
          <w:szCs w:val="28"/>
        </w:rPr>
        <w:t xml:space="preserve">5.4 Design Rules</w:t>
      </w:r>
      <w:bookmarkEnd w:id="10002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r>
              <w:rPr>
                <w:rFonts w:ascii="Times New Roman"/>
                <w:b/>
                <w:bCs/>
                <w:color w:val="FFFFFF"/>
                <w:sz w:val="21"/>
                <w:szCs w:val="21"/>
              </w:rPr>
              <w:t xml:space="preserve">Rule ID</w:t>
            </w:r>
          </w:p>
        </w:tc>
        <w:tc>
          <w:tcPr>
            <w:tcW w:type="pct" w:w="48%"/>
            <w:shd w:fill="D4875A" w:val="clear"/>
            <w:tcMar>
              <w:top w:type="dxa" w:w="60"/>
              <w:left w:type="dxa" w:w="120"/>
              <w:bottom w:type="dxa" w:w="60"/>
              <w:right w:type="dxa" w:w="120"/>
            </w:tcMar>
          </w:tcPr>
          <w:p>
            <w:r>
              <w:rPr>
                <w:rFonts w:ascii="Times New Roman"/>
                <w:b/>
                <w:bCs/>
                <w:color w:val="FFFFFF"/>
                <w:sz w:val="21"/>
                <w:szCs w:val="21"/>
              </w:rPr>
              <w:t xml:space="preserve">Rule</w:t>
            </w:r>
          </w:p>
        </w:tc>
        <w:tc>
          <w:tcPr>
            <w:tcW w:type="pct" w:w="40%"/>
            <w:shd w:fill="D4875A" w:val="clear"/>
            <w:tcMar>
              <w:top w:type="dxa" w:w="60"/>
              <w:left w:type="dxa" w:w="120"/>
              <w:bottom w:type="dxa" w:w="60"/>
              <w:right w:type="dxa" w:w="120"/>
            </w:tcMar>
          </w:tcPr>
          <w:p>
            <w:r>
              <w:rPr>
                <w:rFonts w:ascii="Times New Roman"/>
                <w:b/>
                <w:bCs/>
                <w:color w:val="FFFFFF"/>
                <w:sz w:val="21"/>
                <w:szCs w:val="21"/>
              </w:rPr>
              <w:t xml:space="preserve">Rationale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IMP-001</w:t>
            </w:r>
          </w:p>
        </w:tc>
        <w:tc>
          <w:tcPr>
            <w:tcW w:type="pct" w:w="48%"/>
            <w:tcMar>
              <w:top w:type="dxa" w:w="50"/>
              <w:left w:type="dxa" w:w="120"/>
              <w:bottom w:type="dxa" w:w="50"/>
              <w:right w:type="dxa" w:w="120"/>
            </w:tcMar>
          </w:tcPr>
          <w:p>
            <w:r>
              <w:rPr>
                <w:rFonts w:ascii="Times New Roman"/>
                <w:color w:val="2C2C2C"/>
                <w:sz w:val="21"/>
                <w:szCs w:val="21"/>
              </w:rPr>
              <w:t xml:space="preserve">All columns read as string by default</w:t>
            </w:r>
          </w:p>
        </w:tc>
        <w:tc>
          <w:tcPr>
            <w:tcW w:type="pct" w:w="40%"/>
            <w:tcMar>
              <w:top w:type="dxa" w:w="50"/>
              <w:left w:type="dxa" w:w="120"/>
              <w:bottom w:type="dxa" w:w="50"/>
              <w:right w:type="dxa" w:w="120"/>
            </w:tcMar>
          </w:tcPr>
          <w:p>
            <w:r>
              <w:rPr>
                <w:rFonts w:ascii="Times New Roman"/>
                <w:color w:val="2C2C2C"/>
                <w:sz w:val="21"/>
                <w:szCs w:val="21"/>
              </w:rPr>
              <w:t xml:space="preserve">Preserves exact cell values for comparison</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IMP-002</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Chunked mode activates above configurable threshold</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Prevents OOM on large files</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IMP-003</w:t>
            </w:r>
          </w:p>
        </w:tc>
        <w:tc>
          <w:tcPr>
            <w:tcW w:type="pct" w:w="48%"/>
            <w:tcMar>
              <w:top w:type="dxa" w:w="50"/>
              <w:left w:type="dxa" w:w="120"/>
              <w:bottom w:type="dxa" w:w="50"/>
              <w:right w:type="dxa" w:w="120"/>
            </w:tcMar>
          </w:tcPr>
          <w:p>
            <w:r>
              <w:rPr>
                <w:rFonts w:ascii="Times New Roman"/>
                <w:color w:val="2C2C2C"/>
                <w:sz w:val="21"/>
                <w:szCs w:val="21"/>
              </w:rPr>
              <w:t xml:space="preserve">Encoding detection requires 0.8 confidence</w:t>
            </w:r>
          </w:p>
        </w:tc>
        <w:tc>
          <w:tcPr>
            <w:tcW w:type="pct" w:w="40%"/>
            <w:tcMar>
              <w:top w:type="dxa" w:w="50"/>
              <w:left w:type="dxa" w:w="120"/>
              <w:bottom w:type="dxa" w:w="50"/>
              <w:right w:type="dxa" w:w="120"/>
            </w:tcMar>
          </w:tcPr>
          <w:p>
            <w:r>
              <w:rPr>
                <w:rFonts w:ascii="Times New Roman"/>
                <w:color w:val="2C2C2C"/>
                <w:sz w:val="21"/>
                <w:szCs w:val="21"/>
              </w:rPr>
              <w:t xml:space="preserve">Avoids mis-encoding with low-confidence guesses</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IMP-004</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Duplicate key detection warns but does not halt</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User may intentionally have non-unique keys</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IMP-005</w:t>
            </w:r>
          </w:p>
        </w:tc>
        <w:tc>
          <w:tcPr>
            <w:tcW w:type="pct" w:w="48%"/>
            <w:tcMar>
              <w:top w:type="dxa" w:w="50"/>
              <w:left w:type="dxa" w:w="120"/>
              <w:bottom w:type="dxa" w:w="50"/>
              <w:right w:type="dxa" w:w="120"/>
            </w:tcMar>
          </w:tcPr>
          <w:p>
            <w:r>
              <w:rPr>
                <w:rFonts w:ascii="Times New Roman"/>
                <w:color w:val="2C2C2C"/>
                <w:sz w:val="21"/>
                <w:szCs w:val="21"/>
              </w:rPr>
              <w:t xml:space="preserve">Column pruning via use_cols at read time</w:t>
            </w:r>
          </w:p>
        </w:tc>
        <w:tc>
          <w:tcPr>
            <w:tcW w:type="pct" w:w="40%"/>
            <w:tcMar>
              <w:top w:type="dxa" w:w="50"/>
              <w:left w:type="dxa" w:w="120"/>
              <w:bottom w:type="dxa" w:w="50"/>
              <w:right w:type="dxa" w:w="120"/>
            </w:tcMar>
          </w:tcPr>
          <w:p>
            <w:r>
              <w:rPr>
                <w:rFonts w:ascii="Times New Roman"/>
                <w:color w:val="2C2C2C"/>
                <w:sz w:val="21"/>
                <w:szCs w:val="21"/>
              </w:rPr>
              <w:t xml:space="preserve">Reduces memory for wide files</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IMP-006</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BOM detection and stripping on first line</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Prevents hidden characters in key columns</w:t>
            </w:r>
          </w:p>
        </w:tc>
      </w:tr>
    </w:tbl>
    <w:p>
      <w:pPr>
        <w:spacing w:after="60"/>
      </w:pPr>
    </w:p>
    <w:p>
      <w:pPr>
        <w:pStyle w:val="Heading1"/>
        <w:spacing w:after="200" w:before="480" w:line="312"/>
      </w:pPr>
      <w:bookmarkStart w:id="100029" w:name="_Toc100029"/>
      <w:r>
        <w:rPr>
          <w:rFonts w:ascii="Times New Roman"/>
          <w:b/>
          <w:bCs/>
          <w:color w:val="D4875A"/>
          <w:sz w:val="32"/>
          <w:szCs w:val="32"/>
        </w:rPr>
        <w:t xml:space="preserve">6. Filter Engine (filter.py)</w:t>
      </w:r>
      <w:bookmarkEnd w:id="100029"/>
    </w:p>
    <w:p>
      <w:pPr>
        <w:pStyle w:val="Heading2"/>
        <w:spacing w:after="160" w:before="360" w:line="312"/>
      </w:pPr>
      <w:bookmarkStart w:id="100030" w:name="_Toc100030"/>
      <w:r>
        <w:rPr>
          <w:rFonts w:ascii="Times New Roman"/>
          <w:b/>
          <w:bCs/>
          <w:color w:val="2C2C2C"/>
          <w:sz w:val="28"/>
          <w:szCs w:val="28"/>
        </w:rPr>
        <w:t xml:space="preserve">6.1 Responsibilities</w:t>
      </w:r>
      <w:bookmarkEnd w:id="100030"/>
    </w:p>
    <w:p>
      <w:pPr>
        <w:spacing w:after="120" w:line="312"/>
        <w:jc w:val="both"/>
      </w:pPr>
      <w:r>
        <w:rPr>
          <w:rFonts w:ascii="Times New Roman"/>
          <w:color w:val="2C2C2C"/>
          <w:sz w:val="24"/>
          <w:szCs w:val="24"/>
        </w:rPr>
        <w:t xml:space="preserve">The Filter Engine applies user-configured row exclusion rules to each source DataFrame independently, before the normalization and join stages. Its purpose is to remove rows that should not participate in the comparison, such as rows with zero stock values, rows with inactive statuses, or rows belonging to excluded regions. The Filter Engine operates on a rule-based system where each rule specifies a column, an operator, a comparison value, and an action (skip or keep).</w:t>
      </w:r>
    </w:p>
    <w:p>
      <w:pPr>
        <w:spacing w:after="120" w:line="312"/>
        <w:jc w:val="both"/>
      </w:pPr>
      <w:r>
        <w:rPr>
          <w:rFonts w:ascii="Times New Roman"/>
          <w:color w:val="2C2C2C"/>
          <w:sz w:val="24"/>
          <w:szCs w:val="24"/>
        </w:rPr>
        <w:t xml:space="preserve">A critical design decision is that filtering is applied independently to each source. This means the user can define different filter rules for Source A and Source B, reflecting the different data quality requirements of each source system. The filter results are logged in detail, including the number of rows removed by each rule and the total count of retained rows. This log is included in the filter_log report section and helps users understand the impact of their filter configuration.</w:t>
      </w:r>
    </w:p>
    <w:p>
      <w:pPr>
        <w:pStyle w:val="Heading2"/>
        <w:spacing w:after="160" w:before="360" w:line="312"/>
      </w:pPr>
      <w:bookmarkStart w:id="100031" w:name="_Toc100031"/>
      <w:r>
        <w:rPr>
          <w:rFonts w:ascii="Times New Roman"/>
          <w:b/>
          <w:bCs/>
          <w:color w:val="2C2C2C"/>
          <w:sz w:val="28"/>
          <w:szCs w:val="28"/>
        </w:rPr>
        <w:t xml:space="preserve">6.2 Supported Operators</w:t>
      </w:r>
      <w:bookmarkEnd w:id="10003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8%"/>
            <w:shd w:fill="D4875A" w:val="clear"/>
            <w:tcMar>
              <w:top w:type="dxa" w:w="60"/>
              <w:left w:type="dxa" w:w="120"/>
              <w:bottom w:type="dxa" w:w="60"/>
              <w:right w:type="dxa" w:w="120"/>
            </w:tcMar>
          </w:tcPr>
          <w:p>
            <w:r>
              <w:rPr>
                <w:rFonts w:ascii="Times New Roman"/>
                <w:b/>
                <w:bCs/>
                <w:color w:val="FFFFFF"/>
                <w:sz w:val="21"/>
                <w:szCs w:val="21"/>
              </w:rPr>
              <w:t xml:space="preserve">Operator</w:t>
            </w:r>
          </w:p>
        </w:tc>
        <w:tc>
          <w:tcPr>
            <w:tcW w:type="pct" w:w="15%"/>
            <w:shd w:fill="D4875A" w:val="clear"/>
            <w:tcMar>
              <w:top w:type="dxa" w:w="60"/>
              <w:left w:type="dxa" w:w="120"/>
              <w:bottom w:type="dxa" w:w="60"/>
              <w:right w:type="dxa" w:w="120"/>
            </w:tcMar>
          </w:tcPr>
          <w:p>
            <w:r>
              <w:rPr>
                <w:rFonts w:ascii="Times New Roman"/>
                <w:b/>
                <w:bCs/>
                <w:color w:val="FFFFFF"/>
                <w:sz w:val="21"/>
                <w:szCs w:val="21"/>
              </w:rPr>
              <w:t xml:space="preserve">Value Type</w:t>
            </w:r>
          </w:p>
        </w:tc>
        <w:tc>
          <w:tcPr>
            <w:tcW w:type="pct" w:w="32%"/>
            <w:shd w:fill="D4875A" w:val="clear"/>
            <w:tcMar>
              <w:top w:type="dxa" w:w="60"/>
              <w:left w:type="dxa" w:w="120"/>
              <w:bottom w:type="dxa" w:w="60"/>
              <w:right w:type="dxa" w:w="120"/>
            </w:tcMar>
          </w:tcPr>
          <w:p>
            <w:r>
              <w:rPr>
                <w:rFonts w:ascii="Times New Roman"/>
                <w:b/>
                <w:bCs/>
                <w:color w:val="FFFFFF"/>
                <w:sz w:val="21"/>
                <w:szCs w:val="21"/>
              </w:rPr>
              <w:t xml:space="preserve">Example</w:t>
            </w:r>
          </w:p>
        </w:tc>
        <w:tc>
          <w:tcPr>
            <w:tcW w:type="pct" w:w="35%"/>
            <w:shd w:fill="D4875A" w:val="clear"/>
            <w:tcMar>
              <w:top w:type="dxa" w:w="60"/>
              <w:left w:type="dxa" w:w="120"/>
              <w:bottom w:type="dxa" w:w="60"/>
              <w:right w:type="dxa" w:w="120"/>
            </w:tcMar>
          </w:tcPr>
          <w:p>
            <w:r>
              <w:rPr>
                <w:rFonts w:ascii="Times New Roman"/>
                <w:b/>
                <w:bCs/>
                <w:color w:val="FFFFFF"/>
                <w:sz w:val="21"/>
                <w:szCs w:val="21"/>
              </w:rPr>
              <w:t xml:space="preserve">Description</w:t>
            </w:r>
          </w:p>
        </w:tc>
      </w:tr>
      <w:tr>
        <w:trPr>
          <w:cantSplit/>
        </w:trPr>
        <w:tc>
          <w:tcPr>
            <w:tcW w:type="pct" w:w="18%"/>
            <w:tcMar>
              <w:top w:type="dxa" w:w="50"/>
              <w:left w:type="dxa" w:w="120"/>
              <w:bottom w:type="dxa" w:w="50"/>
              <w:right w:type="dxa" w:w="120"/>
            </w:tcMar>
          </w:tcPr>
          <w:p>
            <w:r>
              <w:rPr>
                <w:rFonts w:ascii="Times New Roman"/>
                <w:color w:val="2C2C2C"/>
                <w:sz w:val="21"/>
                <w:szCs w:val="21"/>
              </w:rPr>
              <w:t xml:space="preserve">equals</w:t>
            </w:r>
          </w:p>
        </w:tc>
        <w:tc>
          <w:tcPr>
            <w:tcW w:type="pct" w:w="15%"/>
            <w:tcMar>
              <w:top w:type="dxa" w:w="50"/>
              <w:left w:type="dxa" w:w="120"/>
              <w:bottom w:type="dxa" w:w="50"/>
              <w:right w:type="dxa" w:w="120"/>
            </w:tcMar>
          </w:tcPr>
          <w:p>
            <w:r>
              <w:rPr>
                <w:rFonts w:ascii="Times New Roman"/>
                <w:color w:val="2C2C2C"/>
                <w:sz w:val="21"/>
                <w:szCs w:val="21"/>
              </w:rPr>
              <w:t xml:space="preserve">scalar</w:t>
            </w:r>
          </w:p>
        </w:tc>
        <w:tc>
          <w:tcPr>
            <w:tcW w:type="pct" w:w="32%"/>
            <w:tcMar>
              <w:top w:type="dxa" w:w="50"/>
              <w:left w:type="dxa" w:w="120"/>
              <w:bottom w:type="dxa" w:w="50"/>
              <w:right w:type="dxa" w:w="120"/>
            </w:tcMar>
          </w:tcPr>
          <w:p>
            <w:r>
              <w:rPr>
                <w:rFonts w:ascii="Times New Roman"/>
                <w:color w:val="2C2C2C"/>
                <w:sz w:val="21"/>
                <w:szCs w:val="21"/>
              </w:rPr>
              <w:t xml:space="preserve">Stock = 0</w:t>
            </w:r>
          </w:p>
        </w:tc>
        <w:tc>
          <w:tcPr>
            <w:tcW w:type="pct" w:w="35%"/>
            <w:tcMar>
              <w:top w:type="dxa" w:w="50"/>
              <w:left w:type="dxa" w:w="120"/>
              <w:bottom w:type="dxa" w:w="50"/>
              <w:right w:type="dxa" w:w="120"/>
            </w:tcMar>
          </w:tcPr>
          <w:p>
            <w:r>
              <w:rPr>
                <w:rFonts w:ascii="Times New Roman"/>
                <w:color w:val="2C2C2C"/>
                <w:sz w:val="21"/>
                <w:szCs w:val="21"/>
              </w:rPr>
              <w:t xml:space="preserve">Exact match, skip if equal</w:t>
            </w:r>
          </w:p>
        </w:tc>
      </w:tr>
      <w:tr>
        <w:trPr>
          <w:cantSplit/>
        </w:trPr>
        <w:tc>
          <w:tcPr>
            <w:tcW w:type="pct" w:w="18%"/>
            <w:shd w:fill="F8F0EB" w:val="clear"/>
            <w:tcMar>
              <w:top w:type="dxa" w:w="50"/>
              <w:left w:type="dxa" w:w="120"/>
              <w:bottom w:type="dxa" w:w="50"/>
              <w:right w:type="dxa" w:w="120"/>
            </w:tcMar>
          </w:tcPr>
          <w:p>
            <w:r>
              <w:rPr>
                <w:rFonts w:ascii="Times New Roman"/>
                <w:color w:val="2C2C2C"/>
                <w:sz w:val="21"/>
                <w:szCs w:val="21"/>
              </w:rPr>
              <w:t xml:space="preserve">not_equals</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scalar</w:t>
            </w:r>
          </w:p>
        </w:tc>
        <w:tc>
          <w:tcPr>
            <w:tcW w:type="pct" w:w="32%"/>
            <w:shd w:fill="F8F0EB" w:val="clear"/>
            <w:tcMar>
              <w:top w:type="dxa" w:w="50"/>
              <w:left w:type="dxa" w:w="120"/>
              <w:bottom w:type="dxa" w:w="50"/>
              <w:right w:type="dxa" w:w="120"/>
            </w:tcMar>
          </w:tcPr>
          <w:p>
            <w:r>
              <w:rPr>
                <w:rFonts w:ascii="Times New Roman"/>
                <w:color w:val="2C2C2C"/>
                <w:sz w:val="21"/>
                <w:szCs w:val="21"/>
              </w:rPr>
              <w:t xml:space="preserve">Status != 'Deleted'</w:t>
            </w:r>
          </w:p>
        </w:tc>
        <w:tc>
          <w:tcPr>
            <w:tcW w:type="pct" w:w="35%"/>
            <w:shd w:fill="F8F0EB" w:val="clear"/>
            <w:tcMar>
              <w:top w:type="dxa" w:w="50"/>
              <w:left w:type="dxa" w:w="120"/>
              <w:bottom w:type="dxa" w:w="50"/>
              <w:right w:type="dxa" w:w="120"/>
            </w:tcMar>
          </w:tcPr>
          <w:p>
            <w:r>
              <w:rPr>
                <w:rFonts w:ascii="Times New Roman"/>
                <w:color w:val="2C2C2C"/>
                <w:sz w:val="21"/>
                <w:szCs w:val="21"/>
              </w:rPr>
              <w:t xml:space="preserve">Skip if value matches</w:t>
            </w:r>
          </w:p>
        </w:tc>
      </w:tr>
      <w:tr>
        <w:trPr>
          <w:cantSplit/>
        </w:trPr>
        <w:tc>
          <w:tcPr>
            <w:tcW w:type="pct" w:w="18%"/>
            <w:tcMar>
              <w:top w:type="dxa" w:w="50"/>
              <w:left w:type="dxa" w:w="120"/>
              <w:bottom w:type="dxa" w:w="50"/>
              <w:right w:type="dxa" w:w="120"/>
            </w:tcMar>
          </w:tcPr>
          <w:p>
            <w:r>
              <w:rPr>
                <w:rFonts w:ascii="Times New Roman"/>
                <w:color w:val="2C2C2C"/>
                <w:sz w:val="21"/>
                <w:szCs w:val="21"/>
              </w:rPr>
              <w:t xml:space="preserve">in</w:t>
            </w:r>
          </w:p>
        </w:tc>
        <w:tc>
          <w:tcPr>
            <w:tcW w:type="pct" w:w="15%"/>
            <w:tcMar>
              <w:top w:type="dxa" w:w="50"/>
              <w:left w:type="dxa" w:w="120"/>
              <w:bottom w:type="dxa" w:w="50"/>
              <w:right w:type="dxa" w:w="120"/>
            </w:tcMar>
          </w:tcPr>
          <w:p>
            <w:r>
              <w:rPr>
                <w:rFonts w:ascii="Times New Roman"/>
                <w:color w:val="2C2C2C"/>
                <w:sz w:val="21"/>
                <w:szCs w:val="21"/>
              </w:rPr>
              <w:t xml:space="preserve">list</w:t>
            </w:r>
          </w:p>
        </w:tc>
        <w:tc>
          <w:tcPr>
            <w:tcW w:type="pct" w:w="32%"/>
            <w:tcMar>
              <w:top w:type="dxa" w:w="50"/>
              <w:left w:type="dxa" w:w="120"/>
              <w:bottom w:type="dxa" w:w="50"/>
              <w:right w:type="dxa" w:w="120"/>
            </w:tcMar>
          </w:tcPr>
          <w:p>
            <w:r>
              <w:rPr>
                <w:rFonts w:ascii="Times New Roman"/>
                <w:color w:val="2C2C2C"/>
                <w:sz w:val="21"/>
                <w:szCs w:val="21"/>
              </w:rPr>
              <w:t xml:space="preserve">Region in ['EU', 'UK']</w:t>
            </w:r>
          </w:p>
        </w:tc>
        <w:tc>
          <w:tcPr>
            <w:tcW w:type="pct" w:w="35%"/>
            <w:tcMar>
              <w:top w:type="dxa" w:w="50"/>
              <w:left w:type="dxa" w:w="120"/>
              <w:bottom w:type="dxa" w:w="50"/>
              <w:right w:type="dxa" w:w="120"/>
            </w:tcMar>
          </w:tcPr>
          <w:p>
            <w:r>
              <w:rPr>
                <w:rFonts w:ascii="Times New Roman"/>
                <w:color w:val="2C2C2C"/>
                <w:sz w:val="21"/>
                <w:szCs w:val="21"/>
              </w:rPr>
              <w:t xml:space="preserve">Skip if value in list</w:t>
            </w:r>
          </w:p>
        </w:tc>
      </w:tr>
      <w:tr>
        <w:trPr>
          <w:cantSplit/>
        </w:trPr>
        <w:tc>
          <w:tcPr>
            <w:tcW w:type="pct" w:w="18%"/>
            <w:shd w:fill="F8F0EB" w:val="clear"/>
            <w:tcMar>
              <w:top w:type="dxa" w:w="50"/>
              <w:left w:type="dxa" w:w="120"/>
              <w:bottom w:type="dxa" w:w="50"/>
              <w:right w:type="dxa" w:w="120"/>
            </w:tcMar>
          </w:tcPr>
          <w:p>
            <w:r>
              <w:rPr>
                <w:rFonts w:ascii="Times New Roman"/>
                <w:color w:val="2C2C2C"/>
                <w:sz w:val="21"/>
                <w:szCs w:val="21"/>
              </w:rPr>
              <w:t xml:space="preserve">not_in</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list</w:t>
            </w:r>
          </w:p>
        </w:tc>
        <w:tc>
          <w:tcPr>
            <w:tcW w:type="pct" w:w="32%"/>
            <w:shd w:fill="F8F0EB" w:val="clear"/>
            <w:tcMar>
              <w:top w:type="dxa" w:w="50"/>
              <w:left w:type="dxa" w:w="120"/>
              <w:bottom w:type="dxa" w:w="50"/>
              <w:right w:type="dxa" w:w="120"/>
            </w:tcMar>
          </w:tcPr>
          <w:p>
            <w:r>
              <w:rPr>
                <w:rFonts w:ascii="Times New Roman"/>
                <w:color w:val="2C2C2C"/>
                <w:sz w:val="21"/>
                <w:szCs w:val="21"/>
              </w:rPr>
              <w:t xml:space="preserve">Status not in ['Archived']</w:t>
            </w:r>
          </w:p>
        </w:tc>
        <w:tc>
          <w:tcPr>
            <w:tcW w:type="pct" w:w="35%"/>
            <w:shd w:fill="F8F0EB" w:val="clear"/>
            <w:tcMar>
              <w:top w:type="dxa" w:w="50"/>
              <w:left w:type="dxa" w:w="120"/>
              <w:bottom w:type="dxa" w:w="50"/>
              <w:right w:type="dxa" w:w="120"/>
            </w:tcMar>
          </w:tcPr>
          <w:p>
            <w:r>
              <w:rPr>
                <w:rFonts w:ascii="Times New Roman"/>
                <w:color w:val="2C2C2C"/>
                <w:sz w:val="21"/>
                <w:szCs w:val="21"/>
              </w:rPr>
              <w:t xml:space="preserve">Skip if value not in list</w:t>
            </w:r>
          </w:p>
        </w:tc>
      </w:tr>
      <w:tr>
        <w:trPr>
          <w:cantSplit/>
        </w:trPr>
        <w:tc>
          <w:tcPr>
            <w:tcW w:type="pct" w:w="18%"/>
            <w:tcMar>
              <w:top w:type="dxa" w:w="50"/>
              <w:left w:type="dxa" w:w="120"/>
              <w:bottom w:type="dxa" w:w="50"/>
              <w:right w:type="dxa" w:w="120"/>
            </w:tcMar>
          </w:tcPr>
          <w:p>
            <w:r>
              <w:rPr>
                <w:rFonts w:ascii="Times New Roman"/>
                <w:color w:val="2C2C2C"/>
                <w:sz w:val="21"/>
                <w:szCs w:val="21"/>
              </w:rPr>
              <w:t xml:space="preserve">greater_than</w:t>
            </w:r>
          </w:p>
        </w:tc>
        <w:tc>
          <w:tcPr>
            <w:tcW w:type="pct" w:w="15%"/>
            <w:tcMar>
              <w:top w:type="dxa" w:w="50"/>
              <w:left w:type="dxa" w:w="120"/>
              <w:bottom w:type="dxa" w:w="50"/>
              <w:right w:type="dxa" w:w="120"/>
            </w:tcMar>
          </w:tcPr>
          <w:p>
            <w:r>
              <w:rPr>
                <w:rFonts w:ascii="Times New Roman"/>
                <w:color w:val="2C2C2C"/>
                <w:sz w:val="21"/>
                <w:szCs w:val="21"/>
              </w:rPr>
              <w:t xml:space="preserve">scalar</w:t>
            </w:r>
          </w:p>
        </w:tc>
        <w:tc>
          <w:tcPr>
            <w:tcW w:type="pct" w:w="32%"/>
            <w:tcMar>
              <w:top w:type="dxa" w:w="50"/>
              <w:left w:type="dxa" w:w="120"/>
              <w:bottom w:type="dxa" w:w="50"/>
              <w:right w:type="dxa" w:w="120"/>
            </w:tcMar>
          </w:tcPr>
          <w:p>
            <w:r>
              <w:rPr>
                <w:rFonts w:ascii="Times New Roman"/>
                <w:color w:val="2C2C2C"/>
                <w:sz w:val="21"/>
                <w:szCs w:val="21"/>
              </w:rPr>
              <w:t xml:space="preserve">Quantity &gt; 0</w:t>
            </w:r>
          </w:p>
        </w:tc>
        <w:tc>
          <w:tcPr>
            <w:tcW w:type="pct" w:w="35%"/>
            <w:tcMar>
              <w:top w:type="dxa" w:w="50"/>
              <w:left w:type="dxa" w:w="120"/>
              <w:bottom w:type="dxa" w:w="50"/>
              <w:right w:type="dxa" w:w="120"/>
            </w:tcMar>
          </w:tcPr>
          <w:p>
            <w:r>
              <w:rPr>
                <w:rFonts w:ascii="Times New Roman"/>
                <w:color w:val="2C2C2C"/>
                <w:sz w:val="21"/>
                <w:szCs w:val="21"/>
              </w:rPr>
              <w:t xml:space="preserve">Numeric comparison</w:t>
            </w:r>
          </w:p>
        </w:tc>
      </w:tr>
      <w:tr>
        <w:trPr>
          <w:cantSplit/>
        </w:trPr>
        <w:tc>
          <w:tcPr>
            <w:tcW w:type="pct" w:w="18%"/>
            <w:shd w:fill="F8F0EB" w:val="clear"/>
            <w:tcMar>
              <w:top w:type="dxa" w:w="50"/>
              <w:left w:type="dxa" w:w="120"/>
              <w:bottom w:type="dxa" w:w="50"/>
              <w:right w:type="dxa" w:w="120"/>
            </w:tcMar>
          </w:tcPr>
          <w:p>
            <w:r>
              <w:rPr>
                <w:rFonts w:ascii="Times New Roman"/>
                <w:color w:val="2C2C2C"/>
                <w:sz w:val="21"/>
                <w:szCs w:val="21"/>
              </w:rPr>
              <w:t xml:space="preserve">less_than</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scalar</w:t>
            </w:r>
          </w:p>
        </w:tc>
        <w:tc>
          <w:tcPr>
            <w:tcW w:type="pct" w:w="32%"/>
            <w:shd w:fill="F8F0EB" w:val="clear"/>
            <w:tcMar>
              <w:top w:type="dxa" w:w="50"/>
              <w:left w:type="dxa" w:w="120"/>
              <w:bottom w:type="dxa" w:w="50"/>
              <w:right w:type="dxa" w:w="120"/>
            </w:tcMar>
          </w:tcPr>
          <w:p>
            <w:r>
              <w:rPr>
                <w:rFonts w:ascii="Times New Roman"/>
                <w:color w:val="2C2C2C"/>
                <w:sz w:val="21"/>
                <w:szCs w:val="21"/>
              </w:rPr>
              <w:t xml:space="preserve">Age &lt; 18</w:t>
            </w:r>
          </w:p>
        </w:tc>
        <w:tc>
          <w:tcPr>
            <w:tcW w:type="pct" w:w="35%"/>
            <w:shd w:fill="F8F0EB" w:val="clear"/>
            <w:tcMar>
              <w:top w:type="dxa" w:w="50"/>
              <w:left w:type="dxa" w:w="120"/>
              <w:bottom w:type="dxa" w:w="50"/>
              <w:right w:type="dxa" w:w="120"/>
            </w:tcMar>
          </w:tcPr>
          <w:p>
            <w:r>
              <w:rPr>
                <w:rFonts w:ascii="Times New Roman"/>
                <w:color w:val="2C2C2C"/>
                <w:sz w:val="21"/>
                <w:szCs w:val="21"/>
              </w:rPr>
              <w:t xml:space="preserve">Numeric comparison</w:t>
            </w:r>
          </w:p>
        </w:tc>
      </w:tr>
      <w:tr>
        <w:trPr>
          <w:cantSplit/>
        </w:trPr>
        <w:tc>
          <w:tcPr>
            <w:tcW w:type="pct" w:w="18%"/>
            <w:tcMar>
              <w:top w:type="dxa" w:w="50"/>
              <w:left w:type="dxa" w:w="120"/>
              <w:bottom w:type="dxa" w:w="50"/>
              <w:right w:type="dxa" w:w="120"/>
            </w:tcMar>
          </w:tcPr>
          <w:p>
            <w:r>
              <w:rPr>
                <w:rFonts w:ascii="Times New Roman"/>
                <w:color w:val="2C2C2C"/>
                <w:sz w:val="21"/>
                <w:szCs w:val="21"/>
              </w:rPr>
              <w:t xml:space="preserve">contains</w:t>
            </w:r>
          </w:p>
        </w:tc>
        <w:tc>
          <w:tcPr>
            <w:tcW w:type="pct" w:w="15%"/>
            <w:tcMar>
              <w:top w:type="dxa" w:w="50"/>
              <w:left w:type="dxa" w:w="120"/>
              <w:bottom w:type="dxa" w:w="50"/>
              <w:right w:type="dxa" w:w="120"/>
            </w:tcMar>
          </w:tcPr>
          <w:p>
            <w:r>
              <w:rPr>
                <w:rFonts w:ascii="Times New Roman"/>
                <w:color w:val="2C2C2C"/>
                <w:sz w:val="21"/>
                <w:szCs w:val="21"/>
              </w:rPr>
              <w:t xml:space="preserve">string</w:t>
            </w:r>
          </w:p>
        </w:tc>
        <w:tc>
          <w:tcPr>
            <w:tcW w:type="pct" w:w="32%"/>
            <w:tcMar>
              <w:top w:type="dxa" w:w="50"/>
              <w:left w:type="dxa" w:w="120"/>
              <w:bottom w:type="dxa" w:w="50"/>
              <w:right w:type="dxa" w:w="120"/>
            </w:tcMar>
          </w:tcPr>
          <w:p>
            <w:r>
              <w:rPr>
                <w:rFonts w:ascii="Times New Roman"/>
                <w:color w:val="2C2C2C"/>
                <w:sz w:val="21"/>
                <w:szCs w:val="21"/>
              </w:rPr>
              <w:t xml:space="preserve">Name contains 'test'</w:t>
            </w:r>
          </w:p>
        </w:tc>
        <w:tc>
          <w:tcPr>
            <w:tcW w:type="pct" w:w="35%"/>
            <w:tcMar>
              <w:top w:type="dxa" w:w="50"/>
              <w:left w:type="dxa" w:w="120"/>
              <w:bottom w:type="dxa" w:w="50"/>
              <w:right w:type="dxa" w:w="120"/>
            </w:tcMar>
          </w:tcPr>
          <w:p>
            <w:r>
              <w:rPr>
                <w:rFonts w:ascii="Times New Roman"/>
                <w:color w:val="2C2C2C"/>
                <w:sz w:val="21"/>
                <w:szCs w:val="21"/>
              </w:rPr>
              <w:t xml:space="preserve">Substring match</w:t>
            </w:r>
          </w:p>
        </w:tc>
      </w:tr>
      <w:tr>
        <w:trPr>
          <w:cantSplit/>
        </w:trPr>
        <w:tc>
          <w:tcPr>
            <w:tcW w:type="pct" w:w="18%"/>
            <w:shd w:fill="F8F0EB" w:val="clear"/>
            <w:tcMar>
              <w:top w:type="dxa" w:w="50"/>
              <w:left w:type="dxa" w:w="120"/>
              <w:bottom w:type="dxa" w:w="50"/>
              <w:right w:type="dxa" w:w="120"/>
            </w:tcMar>
          </w:tcPr>
          <w:p>
            <w:r>
              <w:rPr>
                <w:rFonts w:ascii="Times New Roman"/>
                <w:color w:val="2C2C2C"/>
                <w:sz w:val="21"/>
                <w:szCs w:val="21"/>
              </w:rPr>
              <w:t xml:space="preserve">matches_regex</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string</w:t>
            </w:r>
          </w:p>
        </w:tc>
        <w:tc>
          <w:tcPr>
            <w:tcW w:type="pct" w:w="32%"/>
            <w:shd w:fill="F8F0EB" w:val="clear"/>
            <w:tcMar>
              <w:top w:type="dxa" w:w="50"/>
              <w:left w:type="dxa" w:w="120"/>
              <w:bottom w:type="dxa" w:w="50"/>
              <w:right w:type="dxa" w:w="120"/>
            </w:tcMar>
          </w:tcPr>
          <w:p>
            <w:r>
              <w:rPr>
                <w:rFonts w:ascii="Times New Roman"/>
                <w:color w:val="2C2C2C"/>
                <w:sz w:val="21"/>
                <w:szCs w:val="21"/>
              </w:rPr>
              <w:t xml:space="preserve">Code matches '^A\d{3}$'</w:t>
            </w:r>
          </w:p>
        </w:tc>
        <w:tc>
          <w:tcPr>
            <w:tcW w:type="pct" w:w="35%"/>
            <w:shd w:fill="F8F0EB" w:val="clear"/>
            <w:tcMar>
              <w:top w:type="dxa" w:w="50"/>
              <w:left w:type="dxa" w:w="120"/>
              <w:bottom w:type="dxa" w:w="50"/>
              <w:right w:type="dxa" w:w="120"/>
            </w:tcMar>
          </w:tcPr>
          <w:p>
            <w:r>
              <w:rPr>
                <w:rFonts w:ascii="Times New Roman"/>
                <w:color w:val="2C2C2C"/>
                <w:sz w:val="21"/>
                <w:szCs w:val="21"/>
              </w:rPr>
              <w:t xml:space="preserve">Pattern match</w:t>
            </w:r>
          </w:p>
        </w:tc>
      </w:tr>
      <w:tr>
        <w:trPr>
          <w:cantSplit/>
        </w:trPr>
        <w:tc>
          <w:tcPr>
            <w:tcW w:type="pct" w:w="18%"/>
            <w:tcMar>
              <w:top w:type="dxa" w:w="50"/>
              <w:left w:type="dxa" w:w="120"/>
              <w:bottom w:type="dxa" w:w="50"/>
              <w:right w:type="dxa" w:w="120"/>
            </w:tcMar>
          </w:tcPr>
          <w:p>
            <w:r>
              <w:rPr>
                <w:rFonts w:ascii="Times New Roman"/>
                <w:color w:val="2C2C2C"/>
                <w:sz w:val="21"/>
                <w:szCs w:val="21"/>
              </w:rPr>
              <w:t xml:space="preserve">is_null</w:t>
            </w:r>
          </w:p>
        </w:tc>
        <w:tc>
          <w:tcPr>
            <w:tcW w:type="pct" w:w="15%"/>
            <w:tcMar>
              <w:top w:type="dxa" w:w="50"/>
              <w:left w:type="dxa" w:w="120"/>
              <w:bottom w:type="dxa" w:w="50"/>
              <w:right w:type="dxa" w:w="120"/>
            </w:tcMar>
          </w:tcPr>
          <w:p>
            <w:r>
              <w:rPr>
                <w:rFonts w:ascii="Times New Roman"/>
                <w:color w:val="2C2C2C"/>
                <w:sz w:val="21"/>
                <w:szCs w:val="21"/>
              </w:rPr>
              <w:t xml:space="preserve">none</w:t>
            </w:r>
          </w:p>
        </w:tc>
        <w:tc>
          <w:tcPr>
            <w:tcW w:type="pct" w:w="32%"/>
            <w:tcMar>
              <w:top w:type="dxa" w:w="50"/>
              <w:left w:type="dxa" w:w="120"/>
              <w:bottom w:type="dxa" w:w="50"/>
              <w:right w:type="dxa" w:w="120"/>
            </w:tcMar>
          </w:tcPr>
          <w:p>
            <w:r>
              <w:rPr>
                <w:rFonts w:ascii="Times New Roman"/>
                <w:color w:val="2C2C2C"/>
                <w:sz w:val="21"/>
                <w:szCs w:val="21"/>
              </w:rPr>
              <w:t xml:space="preserve">Email is null</w:t>
            </w:r>
          </w:p>
        </w:tc>
        <w:tc>
          <w:tcPr>
            <w:tcW w:type="pct" w:w="35%"/>
            <w:tcMar>
              <w:top w:type="dxa" w:w="50"/>
              <w:left w:type="dxa" w:w="120"/>
              <w:bottom w:type="dxa" w:w="50"/>
              <w:right w:type="dxa" w:w="120"/>
            </w:tcMar>
          </w:tcPr>
          <w:p>
            <w:r>
              <w:rPr>
                <w:rFonts w:ascii="Times New Roman"/>
                <w:color w:val="2C2C2C"/>
                <w:sz w:val="21"/>
                <w:szCs w:val="21"/>
              </w:rPr>
              <w:t xml:space="preserve">Skip if cell is empty/NaN</w:t>
            </w:r>
          </w:p>
        </w:tc>
      </w:tr>
      <w:tr>
        <w:trPr>
          <w:cantSplit/>
        </w:trPr>
        <w:tc>
          <w:tcPr>
            <w:tcW w:type="pct" w:w="18%"/>
            <w:shd w:fill="F8F0EB" w:val="clear"/>
            <w:tcMar>
              <w:top w:type="dxa" w:w="50"/>
              <w:left w:type="dxa" w:w="120"/>
              <w:bottom w:type="dxa" w:w="50"/>
              <w:right w:type="dxa" w:w="120"/>
            </w:tcMar>
          </w:tcPr>
          <w:p>
            <w:r>
              <w:rPr>
                <w:rFonts w:ascii="Times New Roman"/>
                <w:color w:val="2C2C2C"/>
                <w:sz w:val="21"/>
                <w:szCs w:val="21"/>
              </w:rPr>
              <w:t xml:space="preserve">is_not_null</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none</w:t>
            </w:r>
          </w:p>
        </w:tc>
        <w:tc>
          <w:tcPr>
            <w:tcW w:type="pct" w:w="32%"/>
            <w:shd w:fill="F8F0EB" w:val="clear"/>
            <w:tcMar>
              <w:top w:type="dxa" w:w="50"/>
              <w:left w:type="dxa" w:w="120"/>
              <w:bottom w:type="dxa" w:w="50"/>
              <w:right w:type="dxa" w:w="120"/>
            </w:tcMar>
          </w:tcPr>
          <w:p>
            <w:r>
              <w:rPr>
                <w:rFonts w:ascii="Times New Roman"/>
                <w:color w:val="2C2C2C"/>
                <w:sz w:val="21"/>
                <w:szCs w:val="21"/>
              </w:rPr>
              <w:t xml:space="preserve">Name is not null</w:t>
            </w:r>
          </w:p>
        </w:tc>
        <w:tc>
          <w:tcPr>
            <w:tcW w:type="pct" w:w="35%"/>
            <w:shd w:fill="F8F0EB" w:val="clear"/>
            <w:tcMar>
              <w:top w:type="dxa" w:w="50"/>
              <w:left w:type="dxa" w:w="120"/>
              <w:bottom w:type="dxa" w:w="50"/>
              <w:right w:type="dxa" w:w="120"/>
            </w:tcMar>
          </w:tcPr>
          <w:p>
            <w:r>
              <w:rPr>
                <w:rFonts w:ascii="Times New Roman"/>
                <w:color w:val="2C2C2C"/>
                <w:sz w:val="21"/>
                <w:szCs w:val="21"/>
              </w:rPr>
              <w:t xml:space="preserve">Skip if cell has a value</w:t>
            </w:r>
          </w:p>
        </w:tc>
      </w:tr>
    </w:tbl>
    <w:p>
      <w:pPr>
        <w:spacing w:after="60"/>
      </w:pPr>
    </w:p>
    <w:p>
      <w:pPr>
        <w:pStyle w:val="Heading2"/>
        <w:spacing w:after="160" w:before="360" w:line="312"/>
      </w:pPr>
      <w:bookmarkStart w:id="100032" w:name="_Toc100032"/>
      <w:r>
        <w:rPr>
          <w:rFonts w:ascii="Times New Roman"/>
          <w:b/>
          <w:bCs/>
          <w:color w:val="2C2C2C"/>
          <w:sz w:val="28"/>
          <w:szCs w:val="28"/>
        </w:rPr>
        <w:t xml:space="preserve">6.3 Rule Evaluation Order</w:t>
      </w:r>
      <w:bookmarkEnd w:id="100032"/>
    </w:p>
    <w:p>
      <w:pPr>
        <w:spacing w:after="120" w:line="312"/>
        <w:jc w:val="both"/>
      </w:pPr>
      <w:r>
        <w:rPr>
          <w:rFonts w:ascii="Times New Roman"/>
          <w:color w:val="2C2C2C"/>
          <w:sz w:val="24"/>
          <w:szCs w:val="24"/>
        </w:rPr>
        <w:t xml:space="preserve">Filter rules within a single source are evaluated in the order they appear in the configuration file. Each rule is applied to the current state of the DataFrame, meaning that the result of one rule can affect the input to the next. This sequential evaluation model gives the user precise control over the filtering process. Rules are combined with AND logic: a row must pass all rules to be retained. If the user needs OR logic, they can achieve this by using the 'in' operator with a list of values. The engine logs the row count after each rule is applied, making it easy to diagnose unexpected filtering behavior.</w:t>
      </w:r>
    </w:p>
    <w:p>
      <w:pPr>
        <w:pStyle w:val="Heading2"/>
        <w:spacing w:after="160" w:before="360" w:line="312"/>
      </w:pPr>
      <w:bookmarkStart w:id="100033" w:name="_Toc100033"/>
      <w:r>
        <w:rPr>
          <w:rFonts w:ascii="Times New Roman"/>
          <w:b/>
          <w:bCs/>
          <w:color w:val="2C2C2C"/>
          <w:sz w:val="28"/>
          <w:szCs w:val="28"/>
        </w:rPr>
        <w:t xml:space="preserve">6.4 Design Rules</w:t>
      </w:r>
      <w:bookmarkEnd w:id="10003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r>
              <w:rPr>
                <w:rFonts w:ascii="Times New Roman"/>
                <w:b/>
                <w:bCs/>
                <w:color w:val="FFFFFF"/>
                <w:sz w:val="21"/>
                <w:szCs w:val="21"/>
              </w:rPr>
              <w:t xml:space="preserve">Rule ID</w:t>
            </w:r>
          </w:p>
        </w:tc>
        <w:tc>
          <w:tcPr>
            <w:tcW w:type="pct" w:w="48%"/>
            <w:shd w:fill="D4875A" w:val="clear"/>
            <w:tcMar>
              <w:top w:type="dxa" w:w="60"/>
              <w:left w:type="dxa" w:w="120"/>
              <w:bottom w:type="dxa" w:w="60"/>
              <w:right w:type="dxa" w:w="120"/>
            </w:tcMar>
          </w:tcPr>
          <w:p>
            <w:r>
              <w:rPr>
                <w:rFonts w:ascii="Times New Roman"/>
                <w:b/>
                <w:bCs/>
                <w:color w:val="FFFFFF"/>
                <w:sz w:val="21"/>
                <w:szCs w:val="21"/>
              </w:rPr>
              <w:t xml:space="preserve">Rule</w:t>
            </w:r>
          </w:p>
        </w:tc>
        <w:tc>
          <w:tcPr>
            <w:tcW w:type="pct" w:w="40%"/>
            <w:shd w:fill="D4875A" w:val="clear"/>
            <w:tcMar>
              <w:top w:type="dxa" w:w="60"/>
              <w:left w:type="dxa" w:w="120"/>
              <w:bottom w:type="dxa" w:w="60"/>
              <w:right w:type="dxa" w:w="120"/>
            </w:tcMar>
          </w:tcPr>
          <w:p>
            <w:r>
              <w:rPr>
                <w:rFonts w:ascii="Times New Roman"/>
                <w:b/>
                <w:bCs/>
                <w:color w:val="FFFFFF"/>
                <w:sz w:val="21"/>
                <w:szCs w:val="21"/>
              </w:rPr>
              <w:t xml:space="preserve">Rationale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FLT-001</w:t>
            </w:r>
          </w:p>
        </w:tc>
        <w:tc>
          <w:tcPr>
            <w:tcW w:type="pct" w:w="48%"/>
            <w:tcMar>
              <w:top w:type="dxa" w:w="50"/>
              <w:left w:type="dxa" w:w="120"/>
              <w:bottom w:type="dxa" w:w="50"/>
              <w:right w:type="dxa" w:w="120"/>
            </w:tcMar>
          </w:tcPr>
          <w:p>
            <w:r>
              <w:rPr>
                <w:rFonts w:ascii="Times New Roman"/>
                <w:color w:val="2C2C2C"/>
                <w:sz w:val="21"/>
                <w:szCs w:val="21"/>
              </w:rPr>
              <w:t xml:space="preserve">Filters apply per-source, not globally</w:t>
            </w:r>
          </w:p>
        </w:tc>
        <w:tc>
          <w:tcPr>
            <w:tcW w:type="pct" w:w="40%"/>
            <w:tcMar>
              <w:top w:type="dxa" w:w="50"/>
              <w:left w:type="dxa" w:w="120"/>
              <w:bottom w:type="dxa" w:w="50"/>
              <w:right w:type="dxa" w:w="120"/>
            </w:tcMar>
          </w:tcPr>
          <w:p>
            <w:r>
              <w:rPr>
                <w:rFonts w:ascii="Times New Roman"/>
                <w:color w:val="2C2C2C"/>
                <w:sz w:val="21"/>
                <w:szCs w:val="21"/>
              </w:rPr>
              <w:t xml:space="preserve">Sources may have different data quality</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FLT-002</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Rules evaluated in config order, AND logic</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Predictable, user-controlled execution</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FLT-003</w:t>
            </w:r>
          </w:p>
        </w:tc>
        <w:tc>
          <w:tcPr>
            <w:tcW w:type="pct" w:w="48%"/>
            <w:tcMar>
              <w:top w:type="dxa" w:w="50"/>
              <w:left w:type="dxa" w:w="120"/>
              <w:bottom w:type="dxa" w:w="50"/>
              <w:right w:type="dxa" w:w="120"/>
            </w:tcMar>
          </w:tcPr>
          <w:p>
            <w:r>
              <w:rPr>
                <w:rFonts w:ascii="Times New Roman"/>
                <w:color w:val="2C2C2C"/>
                <w:sz w:val="21"/>
                <w:szCs w:val="21"/>
              </w:rPr>
              <w:t xml:space="preserve">Numeric operators coerce values to float</w:t>
            </w:r>
          </w:p>
        </w:tc>
        <w:tc>
          <w:tcPr>
            <w:tcW w:type="pct" w:w="40%"/>
            <w:tcMar>
              <w:top w:type="dxa" w:w="50"/>
              <w:left w:type="dxa" w:w="120"/>
              <w:bottom w:type="dxa" w:w="50"/>
              <w:right w:type="dxa" w:w="120"/>
            </w:tcMar>
          </w:tcPr>
          <w:p>
            <w:r>
              <w:rPr>
                <w:rFonts w:ascii="Times New Roman"/>
                <w:color w:val="2C2C2C"/>
                <w:sz w:val="21"/>
                <w:szCs w:val="21"/>
              </w:rPr>
              <w:t xml:space="preserve">Handles string-encoded numbers gracefully</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FLT-004</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Regex errors halt pipeline with clear message</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Silent regex failures cause data loss</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FLT-005</w:t>
            </w:r>
          </w:p>
        </w:tc>
        <w:tc>
          <w:tcPr>
            <w:tcW w:type="pct" w:w="48%"/>
            <w:tcMar>
              <w:top w:type="dxa" w:w="50"/>
              <w:left w:type="dxa" w:w="120"/>
              <w:bottom w:type="dxa" w:w="50"/>
              <w:right w:type="dxa" w:w="120"/>
            </w:tcMar>
          </w:tcPr>
          <w:p>
            <w:r>
              <w:rPr>
                <w:rFonts w:ascii="Times New Roman"/>
                <w:color w:val="2C2C2C"/>
                <w:sz w:val="21"/>
                <w:szCs w:val="21"/>
              </w:rPr>
              <w:t xml:space="preserve">Filter log records per-rule row counts</w:t>
            </w:r>
          </w:p>
        </w:tc>
        <w:tc>
          <w:tcPr>
            <w:tcW w:type="pct" w:w="40%"/>
            <w:tcMar>
              <w:top w:type="dxa" w:w="50"/>
              <w:left w:type="dxa" w:w="120"/>
              <w:bottom w:type="dxa" w:w="50"/>
              <w:right w:type="dxa" w:w="120"/>
            </w:tcMar>
          </w:tcPr>
          <w:p>
            <w:r>
              <w:rPr>
                <w:rFonts w:ascii="Times New Roman"/>
                <w:color w:val="2C2C2C"/>
                <w:sz w:val="21"/>
                <w:szCs w:val="21"/>
              </w:rPr>
              <w:t xml:space="preserve">Enables audit trail for data reconciliation</w:t>
            </w:r>
          </w:p>
        </w:tc>
      </w:tr>
    </w:tbl>
    <w:p>
      <w:pPr>
        <w:spacing w:after="60"/>
      </w:pPr>
    </w:p>
    <w:p>
      <w:pPr>
        <w:pStyle w:val="Heading1"/>
        <w:spacing w:after="200" w:before="480" w:line="312"/>
      </w:pPr>
      <w:bookmarkStart w:id="100034" w:name="_Toc100034"/>
      <w:r>
        <w:rPr>
          <w:rFonts w:ascii="Times New Roman"/>
          <w:b/>
          <w:bCs/>
          <w:color w:val="D4875A"/>
          <w:sz w:val="32"/>
          <w:szCs w:val="32"/>
        </w:rPr>
        <w:t xml:space="preserve">7. Normalization Engine (normalizer.py)</w:t>
      </w:r>
      <w:bookmarkEnd w:id="100034"/>
    </w:p>
    <w:p>
      <w:pPr>
        <w:pStyle w:val="Heading2"/>
        <w:spacing w:after="160" w:before="360" w:line="312"/>
      </w:pPr>
      <w:bookmarkStart w:id="100035" w:name="_Toc100035"/>
      <w:r>
        <w:rPr>
          <w:rFonts w:ascii="Times New Roman"/>
          <w:b/>
          <w:bCs/>
          <w:color w:val="2C2C2C"/>
          <w:sz w:val="28"/>
          <w:szCs w:val="28"/>
        </w:rPr>
        <w:t xml:space="preserve">7.1 Responsibilities</w:t>
      </w:r>
      <w:bookmarkEnd w:id="100035"/>
    </w:p>
    <w:p>
      <w:pPr>
        <w:spacing w:after="120" w:line="312"/>
        <w:jc w:val="both"/>
      </w:pPr>
      <w:r>
        <w:rPr>
          <w:rFonts w:ascii="Times New Roman"/>
          <w:color w:val="2C2C2C"/>
          <w:sz w:val="24"/>
          <w:szCs w:val="24"/>
        </w:rPr>
        <w:t xml:space="preserve">The Normalization Engine transforms cell values into a standardized form before comparison. This is essential for handling real-world data where equivalent values may appear in different formats, casing, or naming conventions. The engine applies three categories of normalization rules: global cleaning rules that affect all compared columns, alias groups that map multiple values to a single canonical form, and column-specific rules that handle special parsing requirements such as fixed-length text segmentation and array string parsing.</w:t>
      </w:r>
    </w:p>
    <w:p>
      <w:pPr>
        <w:spacing w:after="120" w:line="312"/>
        <w:jc w:val="both"/>
      </w:pPr>
      <w:r>
        <w:rPr>
          <w:rFonts w:ascii="Times New Roman"/>
          <w:color w:val="2C2C2C"/>
          <w:sz w:val="24"/>
          <w:szCs w:val="24"/>
        </w:rPr>
        <w:t xml:space="preserve">The normalization process is applied after filtering but before the join, ensuring that the key column values are normalized consistently across both sources. This is critical because the join operation relies on exact key matching, and if one source has 'A001' while the other has 'a001', the join would fail to match them. By normalizing the key column first (using case normalization and trimming), the join correctly matches equivalent keys regardless of their original formatting.</w:t>
      </w:r>
    </w:p>
    <w:p>
      <w:pPr>
        <w:pStyle w:val="Heading2"/>
        <w:spacing w:after="160" w:before="360" w:line="312"/>
      </w:pPr>
      <w:bookmarkStart w:id="100036" w:name="_Toc100036"/>
      <w:r>
        <w:rPr>
          <w:rFonts w:ascii="Times New Roman"/>
          <w:b/>
          <w:bCs/>
          <w:color w:val="2C2C2C"/>
          <w:sz w:val="28"/>
          <w:szCs w:val="28"/>
        </w:rPr>
        <w:t xml:space="preserve">7.2 Global Cleaning Rules</w:t>
      </w:r>
      <w:bookmarkEnd w:id="100036"/>
    </w:p>
    <w:p>
      <w:pPr>
        <w:spacing w:after="120" w:line="312"/>
        <w:jc w:val="both"/>
      </w:pPr>
      <w:r>
        <w:rPr>
          <w:rFonts w:ascii="Times New Roman"/>
          <w:color w:val="2C2C2C"/>
          <w:sz w:val="24"/>
          <w:szCs w:val="24"/>
        </w:rPr>
        <w:t xml:space="preserve">Global cleaning rules are applied uniformly to all compared columns. These include whitespace trimming (removing leading, trailing, and consecutive internal spaces), null value handling (replacing empty strings, 'N/A', 'NULL', 'null', and pandas NaN with a configurable sentinel value), and case normalization (converting all values to lowercase, uppercase, or title case). These rules are configured at the top level of the normalization_rules section and apply to every column listed in column_mappings.</w:t>
      </w:r>
    </w:p>
    <w:p>
      <w:pPr>
        <w:pStyle w:val="Heading2"/>
        <w:spacing w:after="160" w:before="360" w:line="312"/>
      </w:pPr>
      <w:bookmarkStart w:id="100037" w:name="_Toc100037"/>
      <w:r>
        <w:rPr>
          <w:rFonts w:ascii="Times New Roman"/>
          <w:b/>
          <w:bCs/>
          <w:color w:val="2C2C2C"/>
          <w:sz w:val="28"/>
          <w:szCs w:val="28"/>
        </w:rPr>
        <w:t xml:space="preserve">7.3 Alias Groups and Value Mapping</w:t>
      </w:r>
      <w:bookmarkEnd w:id="100037"/>
    </w:p>
    <w:p>
      <w:pPr>
        <w:spacing w:after="120" w:line="312"/>
        <w:jc w:val="both"/>
      </w:pPr>
      <w:r>
        <w:rPr>
          <w:rFonts w:ascii="Times New Roman"/>
          <w:color w:val="2C2C2C"/>
          <w:sz w:val="24"/>
          <w:szCs w:val="24"/>
        </w:rPr>
        <w:t xml:space="preserve">Alias groups are the primary mechanism for handling business-specific value equivalence. Each alias group defines a canonical (normalized) name and a list of alias values that should be mapped to it. When a cell value matches any alias in the group, it is replaced with the normalized name. The display format for the normalized value is configurable through a template string that supports the {normalized} and {original} placeholders.</w:t>
      </w:r>
    </w:p>
    <w:p>
      <w:pPr>
        <w:spacing w:after="120" w:line="312"/>
        <w:jc w:val="both"/>
      </w:pPr>
      <w:r>
        <w:rPr>
          <w:rFonts w:ascii="Times New Roman"/>
          <w:color w:val="2C2C2C"/>
          <w:sz w:val="24"/>
          <w:szCs w:val="24"/>
        </w:rPr>
        <w:t xml:space="preserve">For example, if the alias group defines 'Model A' as the canonical name with aliases ['A001', 'A002', 'A003'], and the display format is '{normalized}({original})', then a cell containing 'A002' would be normalized to 'Model A(A002)'. This format preserves the original value in the report while clearly indicating that it has been grouped under the canonical name. The comparison between sources then operates on the canonical names, so 'A001' in Source A correctly matches 'A002' in Source B, both being recognized as 'Model A'.</w:t>
      </w:r>
    </w:p>
    <w:p>
      <w:pPr>
        <w:pStyle w:val="Heading2"/>
        <w:spacing w:after="160" w:before="360" w:line="312"/>
      </w:pPr>
      <w:bookmarkStart w:id="100038" w:name="_Toc100038"/>
      <w:r>
        <w:rPr>
          <w:rFonts w:ascii="Times New Roman"/>
          <w:b/>
          <w:bCs/>
          <w:color w:val="2C2C2C"/>
          <w:sz w:val="28"/>
          <w:szCs w:val="28"/>
        </w:rPr>
        <w:t xml:space="preserve">7.4 Fixed-Length Parsing</w:t>
      </w:r>
      <w:bookmarkEnd w:id="100038"/>
    </w:p>
    <w:p>
      <w:pPr>
        <w:spacing w:after="120" w:line="312"/>
        <w:jc w:val="both"/>
      </w:pPr>
      <w:r>
        <w:rPr>
          <w:rFonts w:ascii="Times New Roman"/>
          <w:color w:val="2C2C2C"/>
          <w:sz w:val="24"/>
          <w:szCs w:val="24"/>
        </w:rPr>
        <w:t xml:space="preserve">Some data sources store multiple logical values in a single contiguous text string, where each value occupies a fixed number of characters. The Normalization Engine supports splitting such strings into their component parts using a configurable list of segment lengths. For example, if a notes field contains 'ABCDEFGHIJ123456789012345' and the segment lengths are [10, 15], the engine splits this into ['ABCDEFGHIJ', '123456789012345'] and compares each segment independently.</w:t>
      </w:r>
    </w:p>
    <w:p>
      <w:pPr>
        <w:pStyle w:val="Heading2"/>
        <w:spacing w:after="160" w:before="360" w:line="312"/>
      </w:pPr>
      <w:bookmarkStart w:id="100039" w:name="_Toc100039"/>
      <w:r>
        <w:rPr>
          <w:rFonts w:ascii="Times New Roman"/>
          <w:b/>
          <w:bCs/>
          <w:color w:val="2C2C2C"/>
          <w:sz w:val="28"/>
          <w:szCs w:val="28"/>
        </w:rPr>
        <w:t xml:space="preserve">7.5 Array String Parsing</w:t>
      </w:r>
      <w:bookmarkEnd w:id="100039"/>
    </w:p>
    <w:p>
      <w:pPr>
        <w:spacing w:after="120" w:line="312"/>
        <w:jc w:val="both"/>
      </w:pPr>
      <w:r>
        <w:rPr>
          <w:rFonts w:ascii="Times New Roman"/>
          <w:color w:val="2C2C2C"/>
          <w:sz w:val="24"/>
          <w:szCs w:val="24"/>
        </w:rPr>
        <w:t xml:space="preserve">Array-type data can appear in various formats within CSV files: comma-separated strings ('a, b, c'), JSON-encoded arrays ('["a", "b", "c"]'), or bracket-quoted strings ('[a, b, c]'). The Normalization Engine detects and parses each format automatically, converting the cell value into a Python set for comparison purposes. When comparing array-type columns, the engine performs set-based comparison rather than string comparison, so the order of elements does not affect the result. The user specifies which columns contain array data through the array_parse flag in the column_mappings configuration.</w:t>
      </w:r>
    </w:p>
    <w:p>
      <w:pPr>
        <w:pStyle w:val="Heading2"/>
        <w:spacing w:after="160" w:before="360" w:line="312"/>
      </w:pPr>
      <w:bookmarkStart w:id="100040" w:name="_Toc100040"/>
      <w:r>
        <w:rPr>
          <w:rFonts w:ascii="Times New Roman"/>
          <w:b/>
          <w:bCs/>
          <w:color w:val="2C2C2C"/>
          <w:sz w:val="28"/>
          <w:szCs w:val="28"/>
        </w:rPr>
        <w:t xml:space="preserve">7.6 Design Rules</w:t>
      </w:r>
      <w:bookmarkEnd w:id="10004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r>
              <w:rPr>
                <w:rFonts w:ascii="Times New Roman"/>
                <w:b/>
                <w:bCs/>
                <w:color w:val="FFFFFF"/>
                <w:sz w:val="21"/>
                <w:szCs w:val="21"/>
              </w:rPr>
              <w:t xml:space="preserve">Rule ID</w:t>
            </w:r>
          </w:p>
        </w:tc>
        <w:tc>
          <w:tcPr>
            <w:tcW w:type="pct" w:w="48%"/>
            <w:shd w:fill="D4875A" w:val="clear"/>
            <w:tcMar>
              <w:top w:type="dxa" w:w="60"/>
              <w:left w:type="dxa" w:w="120"/>
              <w:bottom w:type="dxa" w:w="60"/>
              <w:right w:type="dxa" w:w="120"/>
            </w:tcMar>
          </w:tcPr>
          <w:p>
            <w:r>
              <w:rPr>
                <w:rFonts w:ascii="Times New Roman"/>
                <w:b/>
                <w:bCs/>
                <w:color w:val="FFFFFF"/>
                <w:sz w:val="21"/>
                <w:szCs w:val="21"/>
              </w:rPr>
              <w:t xml:space="preserve">Rule</w:t>
            </w:r>
          </w:p>
        </w:tc>
        <w:tc>
          <w:tcPr>
            <w:tcW w:type="pct" w:w="40%"/>
            <w:shd w:fill="D4875A" w:val="clear"/>
            <w:tcMar>
              <w:top w:type="dxa" w:w="60"/>
              <w:left w:type="dxa" w:w="120"/>
              <w:bottom w:type="dxa" w:w="60"/>
              <w:right w:type="dxa" w:w="120"/>
            </w:tcMar>
          </w:tcPr>
          <w:p>
            <w:r>
              <w:rPr>
                <w:rFonts w:ascii="Times New Roman"/>
                <w:b/>
                <w:bCs/>
                <w:color w:val="FFFFFF"/>
                <w:sz w:val="21"/>
                <w:szCs w:val="21"/>
              </w:rPr>
              <w:t xml:space="preserve">Rationale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NRM-001</w:t>
            </w:r>
          </w:p>
        </w:tc>
        <w:tc>
          <w:tcPr>
            <w:tcW w:type="pct" w:w="48%"/>
            <w:tcMar>
              <w:top w:type="dxa" w:w="50"/>
              <w:left w:type="dxa" w:w="120"/>
              <w:bottom w:type="dxa" w:w="50"/>
              <w:right w:type="dxa" w:w="120"/>
            </w:tcMar>
          </w:tcPr>
          <w:p>
            <w:r>
              <w:rPr>
                <w:rFonts w:ascii="Times New Roman"/>
                <w:color w:val="2C2C2C"/>
                <w:sz w:val="21"/>
                <w:szCs w:val="21"/>
              </w:rPr>
              <w:t xml:space="preserve">Key column normalized before join</w:t>
            </w:r>
          </w:p>
        </w:tc>
        <w:tc>
          <w:tcPr>
            <w:tcW w:type="pct" w:w="40%"/>
            <w:tcMar>
              <w:top w:type="dxa" w:w="50"/>
              <w:left w:type="dxa" w:w="120"/>
              <w:bottom w:type="dxa" w:w="50"/>
              <w:right w:type="dxa" w:w="120"/>
            </w:tcMar>
          </w:tcPr>
          <w:p>
            <w:r>
              <w:rPr>
                <w:rFonts w:ascii="Times New Roman"/>
                <w:color w:val="2C2C2C"/>
                <w:sz w:val="21"/>
                <w:szCs w:val="21"/>
              </w:rPr>
              <w:t xml:space="preserve">Ensures correct matching across sources</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NRM-002</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Alias matching is case-insensitive</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Handles inconsistent casing in source data</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NRM-003</w:t>
            </w:r>
          </w:p>
        </w:tc>
        <w:tc>
          <w:tcPr>
            <w:tcW w:type="pct" w:w="48%"/>
            <w:tcMar>
              <w:top w:type="dxa" w:w="50"/>
              <w:left w:type="dxa" w:w="120"/>
              <w:bottom w:type="dxa" w:w="50"/>
              <w:right w:type="dxa" w:w="120"/>
            </w:tcMar>
          </w:tcPr>
          <w:p>
            <w:r>
              <w:rPr>
                <w:rFonts w:ascii="Times New Roman"/>
                <w:color w:val="2C2C2C"/>
                <w:sz w:val="21"/>
                <w:szCs w:val="21"/>
              </w:rPr>
              <w:t xml:space="preserve">Display format preserves original value</w:t>
            </w:r>
          </w:p>
        </w:tc>
        <w:tc>
          <w:tcPr>
            <w:tcW w:type="pct" w:w="40%"/>
            <w:tcMar>
              <w:top w:type="dxa" w:w="50"/>
              <w:left w:type="dxa" w:w="120"/>
              <w:bottom w:type="dxa" w:w="50"/>
              <w:right w:type="dxa" w:w="120"/>
            </w:tcMar>
          </w:tcPr>
          <w:p>
            <w:r>
              <w:rPr>
                <w:rFonts w:ascii="Times New Roman"/>
                <w:color w:val="2C2C2C"/>
                <w:sz w:val="21"/>
                <w:szCs w:val="21"/>
              </w:rPr>
              <w:t xml:space="preserve">Audit trail for normalized values</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NRM-004</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Fixed-length segments validated for total length</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Detects malformed input data early</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NRM-005</w:t>
            </w:r>
          </w:p>
        </w:tc>
        <w:tc>
          <w:tcPr>
            <w:tcW w:type="pct" w:w="48%"/>
            <w:tcMar>
              <w:top w:type="dxa" w:w="50"/>
              <w:left w:type="dxa" w:w="120"/>
              <w:bottom w:type="dxa" w:w="50"/>
              <w:right w:type="dxa" w:w="120"/>
            </w:tcMar>
          </w:tcPr>
          <w:p>
            <w:r>
              <w:rPr>
                <w:rFonts w:ascii="Times New Roman"/>
                <w:color w:val="2C2C2C"/>
                <w:sz w:val="21"/>
                <w:szCs w:val="21"/>
              </w:rPr>
              <w:t xml:space="preserve">Array parsing falls back to comma-split</w:t>
            </w:r>
          </w:p>
        </w:tc>
        <w:tc>
          <w:tcPr>
            <w:tcW w:type="pct" w:w="40%"/>
            <w:tcMar>
              <w:top w:type="dxa" w:w="50"/>
              <w:left w:type="dxa" w:w="120"/>
              <w:bottom w:type="dxa" w:w="50"/>
              <w:right w:type="dxa" w:w="120"/>
            </w:tcMar>
          </w:tcPr>
          <w:p>
            <w:r>
              <w:rPr>
                <w:rFonts w:ascii="Times New Roman"/>
                <w:color w:val="2C2C2C"/>
                <w:sz w:val="21"/>
                <w:szCs w:val="21"/>
              </w:rPr>
              <w:t xml:space="preserve">Handles non-JSON array formats gracefully</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NRM-006</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Normalization log records every transformation</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Full traceability in reports</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NRM-007</w:t>
            </w:r>
          </w:p>
        </w:tc>
        <w:tc>
          <w:tcPr>
            <w:tcW w:type="pct" w:w="48%"/>
            <w:tcMar>
              <w:top w:type="dxa" w:w="50"/>
              <w:left w:type="dxa" w:w="120"/>
              <w:bottom w:type="dxa" w:w="50"/>
              <w:right w:type="dxa" w:w="120"/>
            </w:tcMar>
          </w:tcPr>
          <w:p>
            <w:r>
              <w:rPr>
                <w:rFonts w:ascii="Times New Roman"/>
                <w:color w:val="2C2C2C"/>
                <w:sz w:val="21"/>
                <w:szCs w:val="21"/>
              </w:rPr>
              <w:t xml:space="preserve">Custom normalization via plugins supported</w:t>
            </w:r>
          </w:p>
        </w:tc>
        <w:tc>
          <w:tcPr>
            <w:tcW w:type="pct" w:w="40%"/>
            <w:tcMar>
              <w:top w:type="dxa" w:w="50"/>
              <w:left w:type="dxa" w:w="120"/>
              <w:bottom w:type="dxa" w:w="50"/>
              <w:right w:type="dxa" w:w="120"/>
            </w:tcMar>
          </w:tcPr>
          <w:p>
            <w:r>
              <w:rPr>
                <w:rFonts w:ascii="Times New Roman"/>
                <w:color w:val="2C2C2C"/>
                <w:sz w:val="21"/>
                <w:szCs w:val="21"/>
              </w:rPr>
              <w:t xml:space="preserve">Business logic extensibility</w:t>
            </w:r>
          </w:p>
        </w:tc>
      </w:tr>
    </w:tbl>
    <w:p>
      <w:pPr>
        <w:spacing w:after="60"/>
      </w:pPr>
    </w:p>
    <w:p>
      <w:pPr>
        <w:pStyle w:val="Heading1"/>
        <w:spacing w:after="200" w:before="480" w:line="312"/>
      </w:pPr>
      <w:bookmarkStart w:id="100041" w:name="_Toc100041"/>
      <w:r>
        <w:rPr>
          <w:rFonts w:ascii="Times New Roman"/>
          <w:b/>
          <w:bCs/>
          <w:color w:val="D4875A"/>
          <w:sz w:val="32"/>
          <w:szCs w:val="32"/>
        </w:rPr>
        <w:t xml:space="preserve">8. Comparator Engine (comparator.py)</w:t>
      </w:r>
      <w:bookmarkEnd w:id="100041"/>
    </w:p>
    <w:p>
      <w:pPr>
        <w:pStyle w:val="Heading2"/>
        <w:spacing w:after="160" w:before="360" w:line="312"/>
      </w:pPr>
      <w:bookmarkStart w:id="100042" w:name="_Toc100042"/>
      <w:r>
        <w:rPr>
          <w:rFonts w:ascii="Times New Roman"/>
          <w:b/>
          <w:bCs/>
          <w:color w:val="2C2C2C"/>
          <w:sz w:val="28"/>
          <w:szCs w:val="28"/>
        </w:rPr>
        <w:t xml:space="preserve">8.1 Responsibilities</w:t>
      </w:r>
      <w:bookmarkEnd w:id="100042"/>
    </w:p>
    <w:p>
      <w:pPr>
        <w:spacing w:after="120" w:line="312"/>
        <w:jc w:val="both"/>
      </w:pPr>
      <w:r>
        <w:rPr>
          <w:rFonts w:ascii="Times New Roman"/>
          <w:color w:val="2C2C2C"/>
          <w:sz w:val="24"/>
          <w:szCs w:val="24"/>
        </w:rPr>
        <w:t xml:space="preserve">The Comparator Engine performs the core data comparison operation. It joins the two normalized DataFrames on the specified key column and evaluates each mapped column pair for every matched key. The engine produces a detailed comparison result that includes, for each key and each column pair, the source A value, the source B value, the normalized values, the match/mismatch status, and the type of difference detected (exact match, value difference, type difference, missing in one source, or array set difference).</w:t>
      </w:r>
    </w:p>
    <w:p>
      <w:pPr>
        <w:pStyle w:val="Heading2"/>
        <w:spacing w:after="160" w:before="360" w:line="312"/>
      </w:pPr>
      <w:bookmarkStart w:id="100043" w:name="_Toc100043"/>
      <w:r>
        <w:rPr>
          <w:rFonts w:ascii="Times New Roman"/>
          <w:b/>
          <w:bCs/>
          <w:color w:val="2C2C2C"/>
          <w:sz w:val="28"/>
          <w:szCs w:val="28"/>
        </w:rPr>
        <w:t xml:space="preserve">8.2 Join Strategy</w:t>
      </w:r>
      <w:bookmarkEnd w:id="100043"/>
    </w:p>
    <w:p>
      <w:pPr>
        <w:spacing w:after="120" w:line="312"/>
        <w:jc w:val="both"/>
      </w:pPr>
      <w:r>
        <w:rPr>
          <w:rFonts w:ascii="Times New Roman"/>
          <w:color w:val="2C2C2C"/>
          <w:sz w:val="24"/>
          <w:szCs w:val="24"/>
        </w:rPr>
        <w:t xml:space="preserve">The join operation uses pandas merge() with an inner join by default, matching only keys that exist in both sources. The engine also identifies keys that exist only in Source A (left-only) and only in Source B (right-only), which are reported in the unmatched_records section. The user can configure the join type through the join_type configuration parameter, which supports 'inner', 'left', 'right', and 'outer' modes. Each mode produces a different set of matched and unmatched records.</w:t>
      </w:r>
    </w:p>
    <w:p>
      <w:pPr>
        <w:pStyle w:val="Heading2"/>
        <w:spacing w:after="160" w:before="360" w:line="312"/>
      </w:pPr>
      <w:bookmarkStart w:id="100044" w:name="_Toc100044"/>
      <w:r>
        <w:rPr>
          <w:rFonts w:ascii="Times New Roman"/>
          <w:b/>
          <w:bCs/>
          <w:color w:val="2C2C2C"/>
          <w:sz w:val="28"/>
          <w:szCs w:val="28"/>
        </w:rPr>
        <w:t xml:space="preserve">8.3 Comparison Methods</w:t>
      </w:r>
      <w:bookmarkEnd w:id="100044"/>
    </w:p>
    <w:p>
      <w:pPr>
        <w:spacing w:after="120" w:line="312"/>
        <w:jc w:val="both"/>
      </w:pPr>
      <w:r>
        <w:rPr>
          <w:rFonts w:ascii="Times New Roman"/>
          <w:color w:val="2C2C2C"/>
          <w:sz w:val="24"/>
          <w:szCs w:val="24"/>
        </w:rPr>
        <w:t xml:space="preserve">Three comparison methods are supported. The 'exact' method performs a direct string equality check after normalization, suitable for simple scalar values. The 'set' method converts both values to sets and checks for set equality, used for array-type data where order does not matter. The 'regex' method applies a regular expression pattern to both values and checks whether the extracted groups match, useful for values that contain structured data with variable formatting.</w:t>
      </w:r>
    </w:p>
    <w:p>
      <w:pPr>
        <w:pStyle w:val="Heading2"/>
        <w:spacing w:after="160" w:before="360" w:line="312"/>
      </w:pPr>
      <w:bookmarkStart w:id="100045" w:name="_Toc100045"/>
      <w:r>
        <w:rPr>
          <w:rFonts w:ascii="Times New Roman"/>
          <w:b/>
          <w:bCs/>
          <w:color w:val="2C2C2C"/>
          <w:sz w:val="28"/>
          <w:szCs w:val="28"/>
        </w:rPr>
        <w:t xml:space="preserve">8.4 Array Comparison Logic</w:t>
      </w:r>
      <w:bookmarkEnd w:id="100045"/>
    </w:p>
    <w:p>
      <w:pPr>
        <w:spacing w:after="120" w:line="312"/>
        <w:jc w:val="both"/>
      </w:pPr>
      <w:r>
        <w:rPr>
          <w:rFonts w:ascii="Times New Roman"/>
          <w:color w:val="2C2C2C"/>
          <w:sz w:val="24"/>
          <w:szCs w:val="24"/>
        </w:rPr>
        <w:t xml:space="preserve">When comparing array-type columns, the engine converts both values to sets and performs three-way comparison: it identifies values present only in Source A (only_in_a), values present only in Source B (only_in_b), and values present in both sources (common). A match is declared only if both sets are identical. For partial matches, the engine records the symmetric difference and includes it in the mismatch details, allowing users to see exactly which elements differ between the two sources.</w:t>
      </w:r>
    </w:p>
    <w:p>
      <w:pPr>
        <w:pStyle w:val="Heading2"/>
        <w:spacing w:after="160" w:before="360" w:line="312"/>
      </w:pPr>
      <w:bookmarkStart w:id="100046" w:name="_Toc100046"/>
      <w:r>
        <w:rPr>
          <w:rFonts w:ascii="Times New Roman"/>
          <w:b/>
          <w:bCs/>
          <w:color w:val="2C2C2C"/>
          <w:sz w:val="28"/>
          <w:szCs w:val="28"/>
        </w:rPr>
        <w:t xml:space="preserve">8.5 Design Rules</w:t>
      </w:r>
      <w:bookmarkEnd w:id="10004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r>
              <w:rPr>
                <w:rFonts w:ascii="Times New Roman"/>
                <w:b/>
                <w:bCs/>
                <w:color w:val="FFFFFF"/>
                <w:sz w:val="21"/>
                <w:szCs w:val="21"/>
              </w:rPr>
              <w:t xml:space="preserve">Rule ID</w:t>
            </w:r>
          </w:p>
        </w:tc>
        <w:tc>
          <w:tcPr>
            <w:tcW w:type="pct" w:w="48%"/>
            <w:shd w:fill="D4875A" w:val="clear"/>
            <w:tcMar>
              <w:top w:type="dxa" w:w="60"/>
              <w:left w:type="dxa" w:w="120"/>
              <w:bottom w:type="dxa" w:w="60"/>
              <w:right w:type="dxa" w:w="120"/>
            </w:tcMar>
          </w:tcPr>
          <w:p>
            <w:r>
              <w:rPr>
                <w:rFonts w:ascii="Times New Roman"/>
                <w:b/>
                <w:bCs/>
                <w:color w:val="FFFFFF"/>
                <w:sz w:val="21"/>
                <w:szCs w:val="21"/>
              </w:rPr>
              <w:t xml:space="preserve">Rule</w:t>
            </w:r>
          </w:p>
        </w:tc>
        <w:tc>
          <w:tcPr>
            <w:tcW w:type="pct" w:w="40%"/>
            <w:shd w:fill="D4875A" w:val="clear"/>
            <w:tcMar>
              <w:top w:type="dxa" w:w="60"/>
              <w:left w:type="dxa" w:w="120"/>
              <w:bottom w:type="dxa" w:w="60"/>
              <w:right w:type="dxa" w:w="120"/>
            </w:tcMar>
          </w:tcPr>
          <w:p>
            <w:r>
              <w:rPr>
                <w:rFonts w:ascii="Times New Roman"/>
                <w:b/>
                <w:bCs/>
                <w:color w:val="FFFFFF"/>
                <w:sz w:val="21"/>
                <w:szCs w:val="21"/>
              </w:rPr>
              <w:t xml:space="preserve">Rationale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CMP-001</w:t>
            </w:r>
          </w:p>
        </w:tc>
        <w:tc>
          <w:tcPr>
            <w:tcW w:type="pct" w:w="48%"/>
            <w:tcMar>
              <w:top w:type="dxa" w:w="50"/>
              <w:left w:type="dxa" w:w="120"/>
              <w:bottom w:type="dxa" w:w="50"/>
              <w:right w:type="dxa" w:w="120"/>
            </w:tcMar>
          </w:tcPr>
          <w:p>
            <w:r>
              <w:rPr>
                <w:rFonts w:ascii="Times New Roman"/>
                <w:color w:val="2C2C2C"/>
                <w:sz w:val="21"/>
                <w:szCs w:val="21"/>
              </w:rPr>
              <w:t xml:space="preserve">Default join type is inner</w:t>
            </w:r>
          </w:p>
        </w:tc>
        <w:tc>
          <w:tcPr>
            <w:tcW w:type="pct" w:w="40%"/>
            <w:tcMar>
              <w:top w:type="dxa" w:w="50"/>
              <w:left w:type="dxa" w:w="120"/>
              <w:bottom w:type="dxa" w:w="50"/>
              <w:right w:type="dxa" w:w="120"/>
            </w:tcMar>
          </w:tcPr>
          <w:p>
            <w:r>
              <w:rPr>
                <w:rFonts w:ascii="Times New Roman"/>
                <w:color w:val="2C2C2C"/>
                <w:sz w:val="21"/>
                <w:szCs w:val="21"/>
              </w:rPr>
              <w:t xml:space="preserve">Focus on records present in both sources</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CMP-002</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Key column must be unique in each source (warn only)</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Duplicate keys produce ambiguous comparisons</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CMP-003</w:t>
            </w:r>
          </w:p>
        </w:tc>
        <w:tc>
          <w:tcPr>
            <w:tcW w:type="pct" w:w="48%"/>
            <w:tcMar>
              <w:top w:type="dxa" w:w="50"/>
              <w:left w:type="dxa" w:w="120"/>
              <w:bottom w:type="dxa" w:w="50"/>
              <w:right w:type="dxa" w:w="120"/>
            </w:tcMar>
          </w:tcPr>
          <w:p>
            <w:r>
              <w:rPr>
                <w:rFonts w:ascii="Times New Roman"/>
                <w:color w:val="2C2C2C"/>
                <w:sz w:val="21"/>
                <w:szCs w:val="21"/>
              </w:rPr>
              <w:t xml:space="preserve">Null vs null treated as match</w:t>
            </w:r>
          </w:p>
        </w:tc>
        <w:tc>
          <w:tcPr>
            <w:tcW w:type="pct" w:w="40%"/>
            <w:tcMar>
              <w:top w:type="dxa" w:w="50"/>
              <w:left w:type="dxa" w:w="120"/>
              <w:bottom w:type="dxa" w:w="50"/>
              <w:right w:type="dxa" w:w="120"/>
            </w:tcMar>
          </w:tcPr>
          <w:p>
            <w:r>
              <w:rPr>
                <w:rFonts w:ascii="Times New Roman"/>
                <w:color w:val="2C2C2C"/>
                <w:sz w:val="21"/>
                <w:szCs w:val="21"/>
              </w:rPr>
              <w:t xml:space="preserve">Both missing is not a real mismatch</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CMP-004</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Null vs value treated as mismatch with type 'missing'</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Clearly distinguished from value diffs</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CMP-005</w:t>
            </w:r>
          </w:p>
        </w:tc>
        <w:tc>
          <w:tcPr>
            <w:tcW w:type="pct" w:w="48%"/>
            <w:tcMar>
              <w:top w:type="dxa" w:w="50"/>
              <w:left w:type="dxa" w:w="120"/>
              <w:bottom w:type="dxa" w:w="50"/>
              <w:right w:type="dxa" w:w="120"/>
            </w:tcMar>
          </w:tcPr>
          <w:p>
            <w:r>
              <w:rPr>
                <w:rFonts w:ascii="Times New Roman"/>
                <w:color w:val="2C2C2C"/>
                <w:sz w:val="21"/>
                <w:szCs w:val="21"/>
              </w:rPr>
              <w:t xml:space="preserve">Set comparison ignores element order</w:t>
            </w:r>
          </w:p>
        </w:tc>
        <w:tc>
          <w:tcPr>
            <w:tcW w:type="pct" w:w="40%"/>
            <w:tcMar>
              <w:top w:type="dxa" w:w="50"/>
              <w:left w:type="dxa" w:w="120"/>
              <w:bottom w:type="dxa" w:w="50"/>
              <w:right w:type="dxa" w:w="120"/>
            </w:tcMar>
          </w:tcPr>
          <w:p>
            <w:r>
              <w:rPr>
                <w:rFonts w:ascii="Times New Roman"/>
                <w:color w:val="2C2C2C"/>
                <w:sz w:val="21"/>
                <w:szCs w:val="21"/>
              </w:rPr>
              <w:t xml:space="preserve">Real-world arrays often unordered</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CMP-006</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Comparison is case-sensitive after normalization</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Normalization handles casing, not comparison</w:t>
            </w:r>
          </w:p>
        </w:tc>
      </w:tr>
    </w:tbl>
    <w:p>
      <w:pPr>
        <w:spacing w:after="60"/>
      </w:pPr>
    </w:p>
    <w:p>
      <w:pPr>
        <w:pStyle w:val="Heading1"/>
        <w:spacing w:after="200" w:before="480" w:line="312"/>
      </w:pPr>
      <w:bookmarkStart w:id="100047" w:name="_Toc100047"/>
      <w:r>
        <w:rPr>
          <w:rFonts w:ascii="Times New Roman"/>
          <w:b/>
          <w:bCs/>
          <w:color w:val="D4875A"/>
          <w:sz w:val="32"/>
          <w:szCs w:val="32"/>
        </w:rPr>
        <w:t xml:space="preserve">9. Stats Engine (stats.py)</w:t>
      </w:r>
      <w:bookmarkEnd w:id="100047"/>
    </w:p>
    <w:p>
      <w:pPr>
        <w:pStyle w:val="Heading2"/>
        <w:spacing w:after="160" w:before="360" w:line="312"/>
      </w:pPr>
      <w:bookmarkStart w:id="100048" w:name="_Toc100048"/>
      <w:r>
        <w:rPr>
          <w:rFonts w:ascii="Times New Roman"/>
          <w:b/>
          <w:bCs/>
          <w:color w:val="2C2C2C"/>
          <w:sz w:val="28"/>
          <w:szCs w:val="28"/>
        </w:rPr>
        <w:t xml:space="preserve">9.1 Three-Tiered Stat System</w:t>
      </w:r>
      <w:bookmarkEnd w:id="100048"/>
    </w:p>
    <w:p>
      <w:pPr>
        <w:spacing w:after="120" w:line="312"/>
        <w:jc w:val="both"/>
      </w:pPr>
      <w:r>
        <w:rPr>
          <w:rFonts w:ascii="Times New Roman"/>
          <w:color w:val="2C2C2C"/>
          <w:sz w:val="24"/>
          <w:szCs w:val="24"/>
        </w:rPr>
        <w:t xml:space="preserve">The Stats Engine implements a three-tiered computation system that provides increasing levels of flexibility while maintaining a clear separation between built-in functionality, user-defined expressions, and custom plugin logic. This design ensures that the majority of use cases can be addressed through configuration alone, while providing an escape hatch for truly unique business logic requirements.</w:t>
      </w:r>
    </w:p>
    <w:p>
      <w:pPr>
        <w:pStyle w:val="Heading3"/>
        <w:spacing w:after="120" w:before="240" w:line="312"/>
      </w:pPr>
      <w:bookmarkStart w:id="100049" w:name="_Toc100049"/>
      <w:r>
        <w:rPr>
          <w:rFonts w:ascii="Times New Roman"/>
          <w:b/>
          <w:bCs/>
          <w:color w:val="6B6B6B"/>
          <w:sz w:val="24"/>
          <w:szCs w:val="24"/>
        </w:rPr>
        <w:t xml:space="preserve">9.1.1 Tier 1: Built-in Stat Library</w:t>
      </w:r>
      <w:bookmarkEnd w:id="100049"/>
    </w:p>
    <w:p>
      <w:pPr>
        <w:spacing w:after="120" w:line="312"/>
        <w:jc w:val="both"/>
      </w:pPr>
      <w:r>
        <w:rPr>
          <w:rFonts w:ascii="Times New Roman"/>
          <w:color w:val="2C2C2C"/>
          <w:sz w:val="24"/>
          <w:szCs w:val="24"/>
        </w:rPr>
        <w:t xml:space="preserve">The built-in stat library ships with the pipeline and provides a comprehensive set of commonly needed statistics. These include basic counts (total_rows_a, total_rows_b, matched_keys, only_in_a, only_in_b), match rates (match_rate_percent, per_column_match_rate), mismatch counts (total_mismatches, mismatches_by_column, high_risk_mismatches), and filter statistics (rows_filtered_a, rows_filtered_b, filter_breakdown). Each stat in the library has a unique name, a description, a list of dependencies (which context values it needs), and a compute function. Users reference stats by name in the report configuration, and the engine resolves dependencies automatically.</w:t>
      </w:r>
    </w:p>
    <w:p>
      <w:pPr>
        <w:pStyle w:val="Heading3"/>
        <w:spacing w:after="120" w:before="240" w:line="312"/>
      </w:pPr>
      <w:bookmarkStart w:id="100050" w:name="_Toc100050"/>
      <w:r>
        <w:rPr>
          <w:rFonts w:ascii="Times New Roman"/>
          <w:b/>
          <w:bCs/>
          <w:color w:val="6B6B6B"/>
          <w:sz w:val="24"/>
          <w:szCs w:val="24"/>
        </w:rPr>
        <w:t xml:space="preserve">9.1.2 Tier 2: Inline Expression Stats</w:t>
      </w:r>
      <w:bookmarkEnd w:id="100050"/>
    </w:p>
    <w:p>
      <w:pPr>
        <w:spacing w:after="120" w:line="312"/>
        <w:jc w:val="both"/>
      </w:pPr>
      <w:r>
        <w:rPr>
          <w:rFonts w:ascii="Times New Roman"/>
          <w:color w:val="2C2C2C"/>
          <w:sz w:val="24"/>
          <w:szCs w:val="24"/>
        </w:rPr>
        <w:t xml:space="preserve">For statistics that are not covered by the built-in library, users can define inline expressions directly in the configuration file. These expressions support basic arithmetic operations, references to other stats (including built-in stats), and conditional logic. The expression engine evaluates these at runtime using safe evaluation, ensuring that no arbitrary code execution is possible. Inline stats are defined in the report section of the configuration and can reference any built-in stat by name.</w:t>
      </w:r>
    </w:p>
    <w:p>
      <w:pPr>
        <w:pStyle w:val="Heading3"/>
        <w:spacing w:after="120" w:before="240" w:line="312"/>
      </w:pPr>
      <w:bookmarkStart w:id="100051" w:name="_Toc100051"/>
      <w:r>
        <w:rPr>
          <w:rFonts w:ascii="Times New Roman"/>
          <w:b/>
          <w:bCs/>
          <w:color w:val="6B6B6B"/>
          <w:sz w:val="24"/>
          <w:szCs w:val="24"/>
        </w:rPr>
        <w:t xml:space="preserve">9.1.3 Tier 3: Plugin Stats</w:t>
      </w:r>
      <w:bookmarkEnd w:id="100051"/>
    </w:p>
    <w:p>
      <w:pPr>
        <w:spacing w:after="120" w:line="312"/>
        <w:jc w:val="both"/>
      </w:pPr>
      <w:r>
        <w:rPr>
          <w:rFonts w:ascii="Times New Roman"/>
          <w:color w:val="2C2C2C"/>
          <w:sz w:val="24"/>
          <w:szCs w:val="24"/>
        </w:rPr>
        <w:t xml:space="preserve">For the most complex business logic requirements, users can define custom stat functions in Python plugin files. These plugins are placed in the plugins/ directory and automatically discovered by the Plugin Loader at startup. Each plugin can register one or more stat functions, along with their dependencies and descriptions. Plugin stats are referenced in the configuration exactly like built-in stats, making them transparent to the report configuration system.</w:t>
      </w:r>
    </w:p>
    <w:p>
      <w:pPr>
        <w:pStyle w:val="Heading2"/>
        <w:spacing w:after="160" w:before="360" w:line="312"/>
      </w:pPr>
      <w:bookmarkStart w:id="100052" w:name="_Toc100052"/>
      <w:r>
        <w:rPr>
          <w:rFonts w:ascii="Times New Roman"/>
          <w:b/>
          <w:bCs/>
          <w:color w:val="2C2C2C"/>
          <w:sz w:val="28"/>
          <w:szCs w:val="28"/>
        </w:rPr>
        <w:t xml:space="preserve">9.2 Name Conflict Resolution</w:t>
      </w:r>
      <w:bookmarkEnd w:id="100052"/>
    </w:p>
    <w:p>
      <w:pPr>
        <w:spacing w:after="120" w:line="312"/>
        <w:jc w:val="both"/>
      </w:pPr>
      <w:r>
        <w:rPr>
          <w:rFonts w:ascii="Times New Roman"/>
          <w:color w:val="2C2C2C"/>
          <w:sz w:val="24"/>
          <w:szCs w:val="24"/>
        </w:rPr>
        <w:t xml:space="preserve">As discussed during the design phase, name conflicts between stats are treated as fatal errors. If an inline stat definition uses a name that already exists in the built-in library, or if two plugins register the same stat name, the pipeline halts with a clear error message identifying the conflict. This explicit-fail approach prevents silent overriding of stat definitions, which could lead to incorrect results that are difficult to diagnose. Users must use unique names for all custom stats and plugins.</w:t>
      </w:r>
    </w:p>
    <w:p>
      <w:pPr>
        <w:pStyle w:val="Heading2"/>
        <w:spacing w:after="160" w:before="360" w:line="312"/>
      </w:pPr>
      <w:bookmarkStart w:id="100053" w:name="_Toc100053"/>
      <w:r>
        <w:rPr>
          <w:rFonts w:ascii="Times New Roman"/>
          <w:b/>
          <w:bCs/>
          <w:color w:val="2C2C2C"/>
          <w:sz w:val="28"/>
          <w:szCs w:val="28"/>
        </w:rPr>
        <w:t xml:space="preserve">9.3 Design Rules</w:t>
      </w:r>
      <w:bookmarkEnd w:id="10005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r>
              <w:rPr>
                <w:rFonts w:ascii="Times New Roman"/>
                <w:b/>
                <w:bCs/>
                <w:color w:val="FFFFFF"/>
                <w:sz w:val="21"/>
                <w:szCs w:val="21"/>
              </w:rPr>
              <w:t xml:space="preserve">Rule ID</w:t>
            </w:r>
          </w:p>
        </w:tc>
        <w:tc>
          <w:tcPr>
            <w:tcW w:type="pct" w:w="48%"/>
            <w:shd w:fill="D4875A" w:val="clear"/>
            <w:tcMar>
              <w:top w:type="dxa" w:w="60"/>
              <w:left w:type="dxa" w:w="120"/>
              <w:bottom w:type="dxa" w:w="60"/>
              <w:right w:type="dxa" w:w="120"/>
            </w:tcMar>
          </w:tcPr>
          <w:p>
            <w:r>
              <w:rPr>
                <w:rFonts w:ascii="Times New Roman"/>
                <w:b/>
                <w:bCs/>
                <w:color w:val="FFFFFF"/>
                <w:sz w:val="21"/>
                <w:szCs w:val="21"/>
              </w:rPr>
              <w:t xml:space="preserve">Rule</w:t>
            </w:r>
          </w:p>
        </w:tc>
        <w:tc>
          <w:tcPr>
            <w:tcW w:type="pct" w:w="40%"/>
            <w:shd w:fill="D4875A" w:val="clear"/>
            <w:tcMar>
              <w:top w:type="dxa" w:w="60"/>
              <w:left w:type="dxa" w:w="120"/>
              <w:bottom w:type="dxa" w:w="60"/>
              <w:right w:type="dxa" w:w="120"/>
            </w:tcMar>
          </w:tcPr>
          <w:p>
            <w:r>
              <w:rPr>
                <w:rFonts w:ascii="Times New Roman"/>
                <w:b/>
                <w:bCs/>
                <w:color w:val="FFFFFF"/>
                <w:sz w:val="21"/>
                <w:szCs w:val="21"/>
              </w:rPr>
              <w:t xml:space="preserve">Rationale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STAT-001</w:t>
            </w:r>
          </w:p>
        </w:tc>
        <w:tc>
          <w:tcPr>
            <w:tcW w:type="pct" w:w="48%"/>
            <w:tcMar>
              <w:top w:type="dxa" w:w="50"/>
              <w:left w:type="dxa" w:w="120"/>
              <w:bottom w:type="dxa" w:w="50"/>
              <w:right w:type="dxa" w:w="120"/>
            </w:tcMar>
          </w:tcPr>
          <w:p>
            <w:r>
              <w:rPr>
                <w:rFonts w:ascii="Times New Roman"/>
                <w:color w:val="2C2C2C"/>
                <w:sz w:val="21"/>
                <w:szCs w:val="21"/>
              </w:rPr>
              <w:t xml:space="preserve">Built-in stats are immutable from config</w:t>
            </w:r>
          </w:p>
        </w:tc>
        <w:tc>
          <w:tcPr>
            <w:tcW w:type="pct" w:w="40%"/>
            <w:tcMar>
              <w:top w:type="dxa" w:w="50"/>
              <w:left w:type="dxa" w:w="120"/>
              <w:bottom w:type="dxa" w:w="50"/>
              <w:right w:type="dxa" w:w="120"/>
            </w:tcMar>
          </w:tcPr>
          <w:p>
            <w:r>
              <w:rPr>
                <w:rFonts w:ascii="Times New Roman"/>
                <w:color w:val="2C2C2C"/>
                <w:sz w:val="21"/>
                <w:szCs w:val="21"/>
              </w:rPr>
              <w:t xml:space="preserve">Prevents accidental override of core metrics</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STAT-002</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Name conflicts are fatal errors</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Explicit fail over silent misbehavior</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STAT-003</w:t>
            </w:r>
          </w:p>
        </w:tc>
        <w:tc>
          <w:tcPr>
            <w:tcW w:type="pct" w:w="48%"/>
            <w:tcMar>
              <w:top w:type="dxa" w:w="50"/>
              <w:left w:type="dxa" w:w="120"/>
              <w:bottom w:type="dxa" w:w="50"/>
              <w:right w:type="dxa" w:w="120"/>
            </w:tcMar>
          </w:tcPr>
          <w:p>
            <w:r>
              <w:rPr>
                <w:rFonts w:ascii="Times New Roman"/>
                <w:color w:val="2C2C2C"/>
                <w:sz w:val="21"/>
                <w:szCs w:val="21"/>
              </w:rPr>
              <w:t xml:space="preserve">Inline expressions use safe evaluation only</w:t>
            </w:r>
          </w:p>
        </w:tc>
        <w:tc>
          <w:tcPr>
            <w:tcW w:type="pct" w:w="40%"/>
            <w:tcMar>
              <w:top w:type="dxa" w:w="50"/>
              <w:left w:type="dxa" w:w="120"/>
              <w:bottom w:type="dxa" w:w="50"/>
              <w:right w:type="dxa" w:w="120"/>
            </w:tcMar>
          </w:tcPr>
          <w:p>
            <w:r>
              <w:rPr>
                <w:rFonts w:ascii="Times New Roman"/>
                <w:color w:val="2C2C2C"/>
                <w:sz w:val="21"/>
                <w:szCs w:val="21"/>
              </w:rPr>
              <w:t xml:space="preserve">No arbitrary code execution risk</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STAT-004</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Stat dependencies resolved topologically</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Correct evaluation order guaranteed</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STAT-005</w:t>
            </w:r>
          </w:p>
        </w:tc>
        <w:tc>
          <w:tcPr>
            <w:tcW w:type="pct" w:w="48%"/>
            <w:tcMar>
              <w:top w:type="dxa" w:w="50"/>
              <w:left w:type="dxa" w:w="120"/>
              <w:bottom w:type="dxa" w:w="50"/>
              <w:right w:type="dxa" w:w="120"/>
            </w:tcMar>
          </w:tcPr>
          <w:p>
            <w:r>
              <w:rPr>
                <w:rFonts w:ascii="Times New Roman"/>
                <w:color w:val="2C2C2C"/>
                <w:sz w:val="21"/>
                <w:szCs w:val="21"/>
              </w:rPr>
              <w:t xml:space="preserve">Plugin stats auto-registered on load</w:t>
            </w:r>
          </w:p>
        </w:tc>
        <w:tc>
          <w:tcPr>
            <w:tcW w:type="pct" w:w="40%"/>
            <w:tcMar>
              <w:top w:type="dxa" w:w="50"/>
              <w:left w:type="dxa" w:w="120"/>
              <w:bottom w:type="dxa" w:w="50"/>
              <w:right w:type="dxa" w:w="120"/>
            </w:tcMar>
          </w:tcPr>
          <w:p>
            <w:r>
              <w:rPr>
                <w:rFonts w:ascii="Times New Roman"/>
                <w:color w:val="2C2C2C"/>
                <w:sz w:val="21"/>
                <w:szCs w:val="21"/>
              </w:rPr>
              <w:t xml:space="preserve">Seamless integration with config system</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STAT-006</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Stats computed once, cached in context</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Performance: no redundant computation</w:t>
            </w:r>
          </w:p>
        </w:tc>
      </w:tr>
    </w:tbl>
    <w:p>
      <w:pPr>
        <w:spacing w:after="60"/>
      </w:pPr>
    </w:p>
    <w:p>
      <w:pPr>
        <w:pStyle w:val="Heading1"/>
        <w:spacing w:after="200" w:before="480" w:line="312"/>
      </w:pPr>
      <w:bookmarkStart w:id="100054" w:name="_Toc100054"/>
      <w:r>
        <w:rPr>
          <w:rFonts w:ascii="Times New Roman"/>
          <w:b/>
          <w:bCs/>
          <w:color w:val="D4875A"/>
          <w:sz w:val="32"/>
          <w:szCs w:val="32"/>
        </w:rPr>
        <w:t xml:space="preserve">10. Plugin System (plugin_loader.py)</w:t>
      </w:r>
      <w:bookmarkEnd w:id="100054"/>
    </w:p>
    <w:p>
      <w:pPr>
        <w:pStyle w:val="Heading2"/>
        <w:spacing w:after="160" w:before="360" w:line="312"/>
      </w:pPr>
      <w:bookmarkStart w:id="100055" w:name="_Toc100055"/>
      <w:r>
        <w:rPr>
          <w:rFonts w:ascii="Times New Roman"/>
          <w:b/>
          <w:bCs/>
          <w:color w:val="2C2C2C"/>
          <w:sz w:val="28"/>
          <w:szCs w:val="28"/>
        </w:rPr>
        <w:t xml:space="preserve">10.1 Plugin Architecture</w:t>
      </w:r>
      <w:bookmarkEnd w:id="100055"/>
    </w:p>
    <w:p>
      <w:pPr>
        <w:spacing w:after="120" w:line="312"/>
        <w:jc w:val="both"/>
      </w:pPr>
      <w:r>
        <w:rPr>
          <w:rFonts w:ascii="Times New Roman"/>
          <w:color w:val="2C2C2C"/>
          <w:sz w:val="24"/>
          <w:szCs w:val="24"/>
        </w:rPr>
        <w:t xml:space="preserve">The Plugin System provides a mechanism for extending the pipeline with custom business logic without modifying the core codebase. Plugins are Python files placed in the plugins/ directory that follow a simple registration protocol. At startup, the Plugin Loader scans the plugins/ directory, imports each Python file, and calls the register() function exported by each plugin. The register() function returns a dictionary describing the plugin's capabilities, including any custom stat functions, normalization functions, comparison methods, or output format handlers it provides.</w:t>
      </w:r>
    </w:p>
    <w:p>
      <w:pPr>
        <w:pStyle w:val="Heading2"/>
        <w:spacing w:after="160" w:before="360" w:line="312"/>
      </w:pPr>
      <w:bookmarkStart w:id="100056" w:name="_Toc100056"/>
      <w:r>
        <w:rPr>
          <w:rFonts w:ascii="Times New Roman"/>
          <w:b/>
          <w:bCs/>
          <w:color w:val="2C2C2C"/>
          <w:sz w:val="28"/>
          <w:szCs w:val="28"/>
        </w:rPr>
        <w:t xml:space="preserve">10.2 Plugin Lifecycle</w:t>
      </w:r>
      <w:bookmarkEnd w:id="100056"/>
    </w:p>
    <w:p>
      <w:pPr>
        <w:spacing w:after="120" w:line="312"/>
        <w:jc w:val="both"/>
      </w:pPr>
      <w:r>
        <w:rPr>
          <w:rFonts w:ascii="Times New Roman"/>
          <w:color w:val="2C2C2C"/>
          <w:sz w:val="24"/>
          <w:szCs w:val="24"/>
        </w:rPr>
        <w:t xml:space="preserve">Each plugin goes through four lifecycle phases: discovery, registration, initialization, and execution. During discovery, the Plugin Loader scans the plugins/ directory for .py files and filters out files whose names start with an underscore (convention for private modules). During registration, each plugin's register() function is called and its capabilities are recorded in the plugin registry. During initialization, the pipeline calls the init(context) function of each plugin (if defined), passing the PipelineContext so the plugin can access configuration and data. During execution, the plugin's registered functions are called by the appropriate engine stage as needed.</w:t>
      </w:r>
    </w:p>
    <w:p>
      <w:pPr>
        <w:pStyle w:val="Heading2"/>
        <w:spacing w:after="160" w:before="360" w:line="312"/>
      </w:pPr>
      <w:bookmarkStart w:id="100057" w:name="_Toc100057"/>
      <w:r>
        <w:rPr>
          <w:rFonts w:ascii="Times New Roman"/>
          <w:b/>
          <w:bCs/>
          <w:color w:val="2C2C2C"/>
          <w:sz w:val="28"/>
          <w:szCs w:val="28"/>
        </w:rPr>
        <w:t xml:space="preserve">10.3 Plugin API Contract</w:t>
      </w:r>
      <w:bookmarkEnd w:id="100057"/>
    </w:p>
    <w:p>
      <w:pPr>
        <w:spacing w:after="120" w:line="312"/>
        <w:jc w:val="both"/>
      </w:pPr>
      <w:r>
        <w:rPr>
          <w:rFonts w:ascii="Times New Roman"/>
          <w:color w:val="2C2C2C"/>
          <w:sz w:val="24"/>
          <w:szCs w:val="24"/>
        </w:rPr>
        <w:t xml:space="preserve">Every plugin must export a register() function that returns a dictionary with the following structure: a name field (string, unique identifier), a version field (string, semver format), a description field (string), and one or more capability sections (stats, normalizers, comparators, formatters). Each capability section is a dictionary mapping function names to function objects. Each function must accept a context parameter (the PipelineContext or a relevant subset) and return a value appropriate for its type.</w:t>
      </w:r>
    </w:p>
    <w:p>
      <w:pPr>
        <w:spacing w:after="120" w:line="312"/>
        <w:jc w:val="both"/>
      </w:pPr>
      <w:r>
        <w:rPr>
          <w:rFonts w:ascii="Times New Roman"/>
          <w:color w:val="2C2C2C"/>
          <w:sz w:val="24"/>
          <w:szCs w:val="24"/>
        </w:rPr>
        <w:t xml:space="preserve">Plugins can also define their own configuration sections by declaring a config_schema key in their registration dictionary. The configuration loader will merge plugin-specific configuration from the YAML file and pass it to the plugin during initialization. This allows plugins to have their own user-configurable parameters without polluting the main configuration namespace.</w:t>
      </w:r>
    </w:p>
    <w:p>
      <w:pPr>
        <w:pStyle w:val="Heading2"/>
        <w:spacing w:after="160" w:before="360" w:line="312"/>
      </w:pPr>
      <w:bookmarkStart w:id="100058" w:name="_Toc100058"/>
      <w:r>
        <w:rPr>
          <w:rFonts w:ascii="Times New Roman"/>
          <w:b/>
          <w:bCs/>
          <w:color w:val="2C2C2C"/>
          <w:sz w:val="28"/>
          <w:szCs w:val="28"/>
        </w:rPr>
        <w:t xml:space="preserve">10.4 Design Rules</w:t>
      </w:r>
      <w:bookmarkEnd w:id="10005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r>
              <w:rPr>
                <w:rFonts w:ascii="Times New Roman"/>
                <w:b/>
                <w:bCs/>
                <w:color w:val="FFFFFF"/>
                <w:sz w:val="21"/>
                <w:szCs w:val="21"/>
              </w:rPr>
              <w:t xml:space="preserve">Rule ID</w:t>
            </w:r>
          </w:p>
        </w:tc>
        <w:tc>
          <w:tcPr>
            <w:tcW w:type="pct" w:w="48%"/>
            <w:shd w:fill="D4875A" w:val="clear"/>
            <w:tcMar>
              <w:top w:type="dxa" w:w="60"/>
              <w:left w:type="dxa" w:w="120"/>
              <w:bottom w:type="dxa" w:w="60"/>
              <w:right w:type="dxa" w:w="120"/>
            </w:tcMar>
          </w:tcPr>
          <w:p>
            <w:r>
              <w:rPr>
                <w:rFonts w:ascii="Times New Roman"/>
                <w:b/>
                <w:bCs/>
                <w:color w:val="FFFFFF"/>
                <w:sz w:val="21"/>
                <w:szCs w:val="21"/>
              </w:rPr>
              <w:t xml:space="preserve">Rule</w:t>
            </w:r>
          </w:p>
        </w:tc>
        <w:tc>
          <w:tcPr>
            <w:tcW w:type="pct" w:w="40%"/>
            <w:shd w:fill="D4875A" w:val="clear"/>
            <w:tcMar>
              <w:top w:type="dxa" w:w="60"/>
              <w:left w:type="dxa" w:w="120"/>
              <w:bottom w:type="dxa" w:w="60"/>
              <w:right w:type="dxa" w:w="120"/>
            </w:tcMar>
          </w:tcPr>
          <w:p>
            <w:r>
              <w:rPr>
                <w:rFonts w:ascii="Times New Roman"/>
                <w:b/>
                <w:bCs/>
                <w:color w:val="FFFFFF"/>
                <w:sz w:val="21"/>
                <w:szCs w:val="21"/>
              </w:rPr>
              <w:t xml:space="preserve">Rationale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PLG-001</w:t>
            </w:r>
          </w:p>
        </w:tc>
        <w:tc>
          <w:tcPr>
            <w:tcW w:type="pct" w:w="48%"/>
            <w:tcMar>
              <w:top w:type="dxa" w:w="50"/>
              <w:left w:type="dxa" w:w="120"/>
              <w:bottom w:type="dxa" w:w="50"/>
              <w:right w:type="dxa" w:w="120"/>
            </w:tcMar>
          </w:tcPr>
          <w:p>
            <w:r>
              <w:rPr>
                <w:rFonts w:ascii="Times New Roman"/>
                <w:color w:val="2C2C2C"/>
                <w:sz w:val="21"/>
                <w:szCs w:val="21"/>
              </w:rPr>
              <w:t xml:space="preserve">Plugins auto-discovered from plugins/ directory</w:t>
            </w:r>
          </w:p>
        </w:tc>
        <w:tc>
          <w:tcPr>
            <w:tcW w:type="pct" w:w="40%"/>
            <w:tcMar>
              <w:top w:type="dxa" w:w="50"/>
              <w:left w:type="dxa" w:w="120"/>
              <w:bottom w:type="dxa" w:w="50"/>
              <w:right w:type="dxa" w:w="120"/>
            </w:tcMar>
          </w:tcPr>
          <w:p>
            <w:r>
              <w:rPr>
                <w:rFonts w:ascii="Times New Roman"/>
                <w:color w:val="2C2C2C"/>
                <w:sz w:val="21"/>
                <w:szCs w:val="21"/>
              </w:rPr>
              <w:t xml:space="preserve">Zero-config plugin installation</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PLG-002</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Broken plugins skipped with warning</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One bad plugin does not break pipeline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PLG-003</w:t>
            </w:r>
          </w:p>
        </w:tc>
        <w:tc>
          <w:tcPr>
            <w:tcW w:type="pct" w:w="48%"/>
            <w:tcMar>
              <w:top w:type="dxa" w:w="50"/>
              <w:left w:type="dxa" w:w="120"/>
              <w:bottom w:type="dxa" w:w="50"/>
              <w:right w:type="dxa" w:w="120"/>
            </w:tcMar>
          </w:tcPr>
          <w:p>
            <w:r>
              <w:rPr>
                <w:rFonts w:ascii="Times New Roman"/>
                <w:color w:val="2C2C2C"/>
                <w:sz w:val="21"/>
                <w:szCs w:val="21"/>
              </w:rPr>
              <w:t xml:space="preserve">Plugin function names must be unique globally</w:t>
            </w:r>
          </w:p>
        </w:tc>
        <w:tc>
          <w:tcPr>
            <w:tcW w:type="pct" w:w="40%"/>
            <w:tcMar>
              <w:top w:type="dxa" w:w="50"/>
              <w:left w:type="dxa" w:w="120"/>
              <w:bottom w:type="dxa" w:w="50"/>
              <w:right w:type="dxa" w:w="120"/>
            </w:tcMar>
          </w:tcPr>
          <w:p>
            <w:r>
              <w:rPr>
                <w:rFonts w:ascii="Times New Roman"/>
                <w:color w:val="2C2C2C"/>
                <w:sz w:val="21"/>
                <w:szCs w:val="21"/>
              </w:rPr>
              <w:t xml:space="preserve">Conflict detection at registration</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PLG-004</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Plugin exceptions caught and logged, not propagated</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Isolation: plugin errors do not crash engine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PLG-005</w:t>
            </w:r>
          </w:p>
        </w:tc>
        <w:tc>
          <w:tcPr>
            <w:tcW w:type="pct" w:w="48%"/>
            <w:tcMar>
              <w:top w:type="dxa" w:w="50"/>
              <w:left w:type="dxa" w:w="120"/>
              <w:bottom w:type="dxa" w:w="50"/>
              <w:right w:type="dxa" w:w="120"/>
            </w:tcMar>
          </w:tcPr>
          <w:p>
            <w:r>
              <w:rPr>
                <w:rFonts w:ascii="Times New Roman"/>
                <w:color w:val="2C2C2C"/>
                <w:sz w:val="21"/>
                <w:szCs w:val="21"/>
              </w:rPr>
              <w:t xml:space="preserve">Plugin execution timeout configurable (default 30s)</w:t>
            </w:r>
          </w:p>
        </w:tc>
        <w:tc>
          <w:tcPr>
            <w:tcW w:type="pct" w:w="40%"/>
            <w:tcMar>
              <w:top w:type="dxa" w:w="50"/>
              <w:left w:type="dxa" w:w="120"/>
              <w:bottom w:type="dxa" w:w="50"/>
              <w:right w:type="dxa" w:w="120"/>
            </w:tcMar>
          </w:tcPr>
          <w:p>
            <w:r>
              <w:rPr>
                <w:rFonts w:ascii="Times New Roman"/>
                <w:color w:val="2C2C2C"/>
                <w:sz w:val="21"/>
                <w:szCs w:val="21"/>
              </w:rPr>
              <w:t xml:space="preserve">Prevent hanging from poorly written plugins</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PLG-006</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Plugin config schema validated independently</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Early error detection for plugin misconfiguration</w:t>
            </w:r>
          </w:p>
        </w:tc>
      </w:tr>
    </w:tbl>
    <w:p>
      <w:pPr>
        <w:spacing w:after="60"/>
      </w:pPr>
    </w:p>
    <w:p>
      <w:pPr>
        <w:pStyle w:val="Heading1"/>
        <w:spacing w:after="200" w:before="480" w:line="312"/>
      </w:pPr>
      <w:bookmarkStart w:id="100059" w:name="_Toc100059"/>
      <w:r>
        <w:rPr>
          <w:rFonts w:ascii="Times New Roman"/>
          <w:b/>
          <w:bCs/>
          <w:color w:val="D4875A"/>
          <w:sz w:val="32"/>
          <w:szCs w:val="32"/>
        </w:rPr>
        <w:t xml:space="preserve">11. Reporter Engine (reporter.py)</w:t>
      </w:r>
      <w:bookmarkEnd w:id="100059"/>
    </w:p>
    <w:p>
      <w:pPr>
        <w:pStyle w:val="Heading2"/>
        <w:spacing w:after="160" w:before="360" w:line="312"/>
      </w:pPr>
      <w:bookmarkStart w:id="100060" w:name="_Toc100060"/>
      <w:r>
        <w:rPr>
          <w:rFonts w:ascii="Times New Roman"/>
          <w:b/>
          <w:bCs/>
          <w:color w:val="2C2C2C"/>
          <w:sz w:val="28"/>
          <w:szCs w:val="28"/>
        </w:rPr>
        <w:t xml:space="preserve">11.1 Output Format Support</w:t>
      </w:r>
      <w:bookmarkEnd w:id="100060"/>
    </w:p>
    <w:p>
      <w:pPr>
        <w:spacing w:after="120" w:line="312"/>
        <w:jc w:val="both"/>
      </w:pPr>
      <w:r>
        <w:rPr>
          <w:rFonts w:ascii="Times New Roman"/>
          <w:color w:val="2C2C2C"/>
          <w:sz w:val="24"/>
          <w:szCs w:val="24"/>
        </w:rPr>
        <w:t xml:space="preserve">The Reporter Engine generates comparison results in four output formats: Excel (.xlsx), CSV, HTML with CSS, and Markdown. Each format serves a different use case: Excel is the primary format for business users who need to review and annotate results; CSV is for system consumption and re-import into other tools; HTML with CSS is for sharing results via email or web browsers; and Markdown is for developers who want to include results in documentation or version control.</w:t>
      </w:r>
    </w:p>
    <w:p>
      <w:pPr>
        <w:spacing w:after="120" w:line="312"/>
        <w:jc w:val="both"/>
      </w:pPr>
      <w:r>
        <w:rPr>
          <w:rFonts w:ascii="Times New Roman"/>
          <w:color w:val="2C2C2C"/>
          <w:sz w:val="24"/>
          <w:szCs w:val="24"/>
        </w:rPr>
        <w:t xml:space="preserve">The user configures which formats to generate in the report.output section of the configuration file. Each format has its own configuration block that controls the output file name, the sheets or sections to include (for Excel and HTML), the styling options (for Excel and HTML), and any format-specific parameters. The Reporter Engine generates all configured formats in a single pipeline run, writing each file to the specified output directory.</w:t>
      </w:r>
    </w:p>
    <w:p>
      <w:pPr>
        <w:pStyle w:val="Heading2"/>
        <w:spacing w:after="160" w:before="360" w:line="312"/>
      </w:pPr>
      <w:bookmarkStart w:id="100061" w:name="_Toc100061"/>
      <w:r>
        <w:rPr>
          <w:rFonts w:ascii="Times New Roman"/>
          <w:b/>
          <w:bCs/>
          <w:color w:val="2C2C2C"/>
          <w:sz w:val="28"/>
          <w:szCs w:val="28"/>
        </w:rPr>
        <w:t xml:space="preserve">11.2 Excel Output Specification</w:t>
      </w:r>
      <w:bookmarkEnd w:id="100061"/>
    </w:p>
    <w:p>
      <w:pPr>
        <w:spacing w:after="120" w:line="312"/>
        <w:jc w:val="both"/>
      </w:pPr>
      <w:r>
        <w:rPr>
          <w:rFonts w:ascii="Times New Roman"/>
          <w:color w:val="2C2C2C"/>
          <w:sz w:val="24"/>
          <w:szCs w:val="24"/>
        </w:rPr>
        <w:t xml:space="preserve">The Excel output uses the openpyxl library and generates a multi-sheet workbook. The workbook includes a Summary sheet with key statistics and a summary table, a Mismatch Details sheet with every cell-level comparison result, an Unmatched Records sheet with keys found in only one source, a Per-Column Breakdown sheet with per-column match rates, and optional Normalization Log and Filter Log sheets. Each sheet uses conditional formatting to highlight matches (green) and mismatches (red), with frozen header rows for easy scrolling. The Excel output also supports user-configurable styling, including header colors, font sizes, and column widths.</w:t>
      </w:r>
    </w:p>
    <w:p>
      <w:pPr>
        <w:pStyle w:val="Heading2"/>
        <w:spacing w:after="160" w:before="360" w:line="312"/>
      </w:pPr>
      <w:bookmarkStart w:id="100062" w:name="_Toc100062"/>
      <w:r>
        <w:rPr>
          <w:rFonts w:ascii="Times New Roman"/>
          <w:b/>
          <w:bCs/>
          <w:color w:val="2C2C2C"/>
          <w:sz w:val="28"/>
          <w:szCs w:val="28"/>
        </w:rPr>
        <w:t xml:space="preserve">11.3 HTML Output Specification</w:t>
      </w:r>
      <w:bookmarkEnd w:id="100062"/>
    </w:p>
    <w:p>
      <w:pPr>
        <w:spacing w:after="120" w:line="312"/>
        <w:jc w:val="both"/>
      </w:pPr>
      <w:r>
        <w:rPr>
          <w:rFonts w:ascii="Times New Roman"/>
          <w:color w:val="2C2C2C"/>
          <w:sz w:val="24"/>
          <w:szCs w:val="24"/>
        </w:rPr>
        <w:t xml:space="preserve">The HTML output uses pre-built template files from the templates/ directory. The default template generates a self-contained HTML file with inline CSS that can be opened in any web browser or attached to an email without external dependencies. The HTML output includes collapsible sections for each report area, sortable tables for mismatch details, and a visual summary with progress bars for match rates. Users can provide their own CSS file through the css configuration parameter to override the default styling.</w:t>
      </w:r>
    </w:p>
    <w:p>
      <w:pPr>
        <w:pStyle w:val="Heading2"/>
        <w:spacing w:after="160" w:before="360" w:line="312"/>
      </w:pPr>
      <w:bookmarkStart w:id="100063" w:name="_Toc100063"/>
      <w:r>
        <w:rPr>
          <w:rFonts w:ascii="Times New Roman"/>
          <w:b/>
          <w:bCs/>
          <w:color w:val="2C2C2C"/>
          <w:sz w:val="28"/>
          <w:szCs w:val="28"/>
        </w:rPr>
        <w:t xml:space="preserve">11.4 CSV and Markdown Output</w:t>
      </w:r>
      <w:bookmarkEnd w:id="100063"/>
    </w:p>
    <w:p>
      <w:pPr>
        <w:spacing w:after="120" w:line="312"/>
        <w:jc w:val="both"/>
      </w:pPr>
      <w:r>
        <w:rPr>
          <w:rFonts w:ascii="Times New Roman"/>
          <w:color w:val="2C2C2C"/>
          <w:sz w:val="24"/>
          <w:szCs w:val="24"/>
        </w:rPr>
        <w:t xml:space="preserve">The CSV output writes each report section as a separate CSV file, with one file per section. This format is designed for programmatic consumption and includes only the raw data without any formatting. Column headers match the configuration's column naming, and values are properly escaped for CSV format. The Markdown output generates a single .md file with the report content formatted using Markdown tables, headings, and code blocks. This format is ideal for including in Git repositories, wikis, or documentation systems that support Markdown rendering.</w:t>
      </w:r>
    </w:p>
    <w:p>
      <w:pPr>
        <w:pStyle w:val="Heading2"/>
        <w:spacing w:after="160" w:before="360" w:line="312"/>
      </w:pPr>
      <w:bookmarkStart w:id="100064" w:name="_Toc100064"/>
      <w:r>
        <w:rPr>
          <w:rFonts w:ascii="Times New Roman"/>
          <w:b/>
          <w:bCs/>
          <w:color w:val="2C2C2C"/>
          <w:sz w:val="28"/>
          <w:szCs w:val="28"/>
        </w:rPr>
        <w:t xml:space="preserve">11.5 Design Rules</w:t>
      </w:r>
      <w:bookmarkEnd w:id="10006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r>
              <w:rPr>
                <w:rFonts w:ascii="Times New Roman"/>
                <w:b/>
                <w:bCs/>
                <w:color w:val="FFFFFF"/>
                <w:sz w:val="21"/>
                <w:szCs w:val="21"/>
              </w:rPr>
              <w:t xml:space="preserve">Rule ID</w:t>
            </w:r>
          </w:p>
        </w:tc>
        <w:tc>
          <w:tcPr>
            <w:tcW w:type="pct" w:w="48%"/>
            <w:shd w:fill="D4875A" w:val="clear"/>
            <w:tcMar>
              <w:top w:type="dxa" w:w="60"/>
              <w:left w:type="dxa" w:w="120"/>
              <w:bottom w:type="dxa" w:w="60"/>
              <w:right w:type="dxa" w:w="120"/>
            </w:tcMar>
          </w:tcPr>
          <w:p>
            <w:r>
              <w:rPr>
                <w:rFonts w:ascii="Times New Roman"/>
                <w:b/>
                <w:bCs/>
                <w:color w:val="FFFFFF"/>
                <w:sz w:val="21"/>
                <w:szCs w:val="21"/>
              </w:rPr>
              <w:t xml:space="preserve">Rule</w:t>
            </w:r>
          </w:p>
        </w:tc>
        <w:tc>
          <w:tcPr>
            <w:tcW w:type="pct" w:w="40%"/>
            <w:shd w:fill="D4875A" w:val="clear"/>
            <w:tcMar>
              <w:top w:type="dxa" w:w="60"/>
              <w:left w:type="dxa" w:w="120"/>
              <w:bottom w:type="dxa" w:w="60"/>
              <w:right w:type="dxa" w:w="120"/>
            </w:tcMar>
          </w:tcPr>
          <w:p>
            <w:r>
              <w:rPr>
                <w:rFonts w:ascii="Times New Roman"/>
                <w:b/>
                <w:bCs/>
                <w:color w:val="FFFFFF"/>
                <w:sz w:val="21"/>
                <w:szCs w:val="21"/>
              </w:rPr>
              <w:t xml:space="preserve">Rationale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RPT-001</w:t>
            </w:r>
          </w:p>
        </w:tc>
        <w:tc>
          <w:tcPr>
            <w:tcW w:type="pct" w:w="48%"/>
            <w:tcMar>
              <w:top w:type="dxa" w:w="50"/>
              <w:left w:type="dxa" w:w="120"/>
              <w:bottom w:type="dxa" w:w="50"/>
              <w:right w:type="dxa" w:w="120"/>
            </w:tcMar>
          </w:tcPr>
          <w:p>
            <w:r>
              <w:rPr>
                <w:rFonts w:ascii="Times New Roman"/>
                <w:color w:val="2C2C2C"/>
                <w:sz w:val="21"/>
                <w:szCs w:val="21"/>
              </w:rPr>
              <w:t xml:space="preserve">All formats generated in single run</w:t>
            </w:r>
          </w:p>
        </w:tc>
        <w:tc>
          <w:tcPr>
            <w:tcW w:type="pct" w:w="40%"/>
            <w:tcMar>
              <w:top w:type="dxa" w:w="50"/>
              <w:left w:type="dxa" w:w="120"/>
              <w:bottom w:type="dxa" w:w="50"/>
              <w:right w:type="dxa" w:w="120"/>
            </w:tcMar>
          </w:tcPr>
          <w:p>
            <w:r>
              <w:rPr>
                <w:rFonts w:ascii="Times New Roman"/>
                <w:color w:val="2C2C2C"/>
                <w:sz w:val="21"/>
                <w:szCs w:val="21"/>
              </w:rPr>
              <w:t xml:space="preserve">Consistency across outputs</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RPT-002</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Excel uses conditional formatting for match/mismatch</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Visual clarity for reviewers</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RPT-003</w:t>
            </w:r>
          </w:p>
        </w:tc>
        <w:tc>
          <w:tcPr>
            <w:tcW w:type="pct" w:w="48%"/>
            <w:tcMar>
              <w:top w:type="dxa" w:w="50"/>
              <w:left w:type="dxa" w:w="120"/>
              <w:bottom w:type="dxa" w:w="50"/>
              <w:right w:type="dxa" w:w="120"/>
            </w:tcMar>
          </w:tcPr>
          <w:p>
            <w:r>
              <w:rPr>
                <w:rFonts w:ascii="Times New Roman"/>
                <w:color w:val="2C2C2C"/>
                <w:sz w:val="21"/>
                <w:szCs w:val="21"/>
              </w:rPr>
              <w:t xml:space="preserve">HTML is self-contained (inline CSS)</w:t>
            </w:r>
          </w:p>
        </w:tc>
        <w:tc>
          <w:tcPr>
            <w:tcW w:type="pct" w:w="40%"/>
            <w:tcMar>
              <w:top w:type="dxa" w:w="50"/>
              <w:left w:type="dxa" w:w="120"/>
              <w:bottom w:type="dxa" w:w="50"/>
              <w:right w:type="dxa" w:w="120"/>
            </w:tcMar>
          </w:tcPr>
          <w:p>
            <w:r>
              <w:rPr>
                <w:rFonts w:ascii="Times New Roman"/>
                <w:color w:val="2C2C2C"/>
                <w:sz w:val="21"/>
                <w:szCs w:val="21"/>
              </w:rPr>
              <w:t xml:space="preserve">No external dependencies for sharing</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RPT-004</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CSV output has no formatting, raw data only</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Programmatic consumption focus</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RPT-005</w:t>
            </w:r>
          </w:p>
        </w:tc>
        <w:tc>
          <w:tcPr>
            <w:tcW w:type="pct" w:w="48%"/>
            <w:tcMar>
              <w:top w:type="dxa" w:w="50"/>
              <w:left w:type="dxa" w:w="120"/>
              <w:bottom w:type="dxa" w:w="50"/>
              <w:right w:type="dxa" w:w="120"/>
            </w:tcMar>
          </w:tcPr>
          <w:p>
            <w:r>
              <w:rPr>
                <w:rFonts w:ascii="Times New Roman"/>
                <w:color w:val="2C2C2C"/>
                <w:sz w:val="21"/>
                <w:szCs w:val="21"/>
              </w:rPr>
              <w:t xml:space="preserve">Report sections controlled by config toggle</w:t>
            </w:r>
          </w:p>
        </w:tc>
        <w:tc>
          <w:tcPr>
            <w:tcW w:type="pct" w:w="40%"/>
            <w:tcMar>
              <w:top w:type="dxa" w:w="50"/>
              <w:left w:type="dxa" w:w="120"/>
              <w:bottom w:type="dxa" w:w="50"/>
              <w:right w:type="dxa" w:w="120"/>
            </w:tcMar>
          </w:tcPr>
          <w:p>
            <w:r>
              <w:rPr>
                <w:rFonts w:ascii="Times New Roman"/>
                <w:color w:val="2C2C2C"/>
                <w:sz w:val="21"/>
                <w:szCs w:val="21"/>
              </w:rPr>
              <w:t xml:space="preserve">User controls report content</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RPT-006</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Timestamp included in every report</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Traceability and version control</w:t>
            </w:r>
          </w:p>
        </w:tc>
      </w:tr>
    </w:tbl>
    <w:p>
      <w:pPr>
        <w:spacing w:after="60"/>
      </w:pPr>
    </w:p>
    <w:p>
      <w:pPr>
        <w:pStyle w:val="Heading1"/>
        <w:spacing w:after="200" w:before="480" w:line="312"/>
      </w:pPr>
      <w:bookmarkStart w:id="100065" w:name="_Toc100065"/>
      <w:r>
        <w:rPr>
          <w:rFonts w:ascii="Times New Roman"/>
          <w:b/>
          <w:bCs/>
          <w:color w:val="D4875A"/>
          <w:sz w:val="32"/>
          <w:szCs w:val="32"/>
        </w:rPr>
        <w:t xml:space="preserve">12. TUI Layer</w:t>
      </w:r>
      <w:bookmarkEnd w:id="100065"/>
    </w:p>
    <w:p>
      <w:pPr>
        <w:pStyle w:val="Heading2"/>
        <w:spacing w:after="160" w:before="360" w:line="312"/>
      </w:pPr>
      <w:bookmarkStart w:id="100066" w:name="_Toc100066"/>
      <w:r>
        <w:rPr>
          <w:rFonts w:ascii="Times New Roman"/>
          <w:b/>
          <w:bCs/>
          <w:color w:val="2C2C2C"/>
          <w:sz w:val="28"/>
          <w:szCs w:val="28"/>
        </w:rPr>
        <w:t xml:space="preserve">12.1 Library: rich</w:t>
      </w:r>
      <w:bookmarkEnd w:id="100066"/>
    </w:p>
    <w:p>
      <w:pPr>
        <w:spacing w:after="120" w:line="312"/>
        <w:jc w:val="both"/>
      </w:pPr>
      <w:r>
        <w:rPr>
          <w:rFonts w:ascii="Times New Roman"/>
          <w:color w:val="2C2C2C"/>
          <w:sz w:val="24"/>
          <w:szCs w:val="24"/>
        </w:rPr>
        <w:t xml:space="preserve">The Terminal User Interface layer uses the rich Python library for all terminal output formatting. rich provides a high-level API for rendering beautiful terminal output including styled tables, progress bars, panels, trees, and markdown-formatted text. It automatically handles terminal width detection, color support detection, and cross-platform compatibility (Linux, macOS, Windows), making it ideal for a data pipeline tool that needs to run in diverse environments.</w:t>
      </w:r>
    </w:p>
    <w:p>
      <w:pPr>
        <w:spacing w:after="120" w:line="312"/>
        <w:jc w:val="both"/>
      </w:pPr>
      <w:r>
        <w:rPr>
          <w:rFonts w:ascii="Times New Roman"/>
          <w:color w:val="2C2C2C"/>
          <w:sz w:val="24"/>
          <w:szCs w:val="24"/>
        </w:rPr>
        <w:t xml:space="preserve">The TUI layer is responsible for displaying pipeline progress (including animated progress bars for each stage), formatted result tables (including per-column breakdowns and mismatch summaries), error messages (with color-coded severity levels), and the configuration wizard interface. All TUI output is implemented through a dedicated display module (tui/display.py) that wraps the rich library and provides a consistent visual style across all output types.</w:t>
      </w:r>
    </w:p>
    <w:p>
      <w:pPr>
        <w:pStyle w:val="Heading2"/>
        <w:spacing w:after="160" w:before="360" w:line="312"/>
      </w:pPr>
      <w:bookmarkStart w:id="100067" w:name="_Toc100067"/>
      <w:r>
        <w:rPr>
          <w:rFonts w:ascii="Times New Roman"/>
          <w:b/>
          <w:bCs/>
          <w:color w:val="2C2C2C"/>
          <w:sz w:val="28"/>
          <w:szCs w:val="28"/>
        </w:rPr>
        <w:t xml:space="preserve">12.2 Library: prompt_toolkit</w:t>
      </w:r>
      <w:bookmarkEnd w:id="100067"/>
    </w:p>
    <w:p>
      <w:pPr>
        <w:spacing w:after="120" w:line="312"/>
        <w:jc w:val="both"/>
      </w:pPr>
      <w:r>
        <w:rPr>
          <w:rFonts w:ascii="Times New Roman"/>
          <w:color w:val="2C2C2C"/>
          <w:sz w:val="24"/>
          <w:szCs w:val="24"/>
        </w:rPr>
        <w:t xml:space="preserve">The prompt_toolkit library is used for the interactive configuration wizard, which is triggered by the --init CLI flag. prompt_toolkit provides advanced terminal input features including auto-completion (for file paths, column names, and configuration options), input validation (ensuring that user responses match expected types and ranges), and multi-line input support (for complex configuration values). The wizard guides the user through the configuration process step by step, detecting available columns from the CSV files and offering intelligent defaults.</w:t>
      </w:r>
    </w:p>
    <w:p>
      <w:pPr>
        <w:pStyle w:val="Heading2"/>
        <w:spacing w:after="160" w:before="360" w:line="312"/>
      </w:pPr>
      <w:bookmarkStart w:id="100068" w:name="_Toc100068"/>
      <w:r>
        <w:rPr>
          <w:rFonts w:ascii="Times New Roman"/>
          <w:b/>
          <w:bCs/>
          <w:color w:val="2C2C2C"/>
          <w:sz w:val="28"/>
          <w:szCs w:val="28"/>
        </w:rPr>
        <w:t xml:space="preserve">12.3 Library: click</w:t>
      </w:r>
      <w:bookmarkEnd w:id="100068"/>
    </w:p>
    <w:p>
      <w:pPr>
        <w:spacing w:after="120" w:line="312"/>
        <w:jc w:val="both"/>
      </w:pPr>
      <w:r>
        <w:rPr>
          <w:rFonts w:ascii="Times New Roman"/>
          <w:color w:val="2C2C2C"/>
          <w:sz w:val="24"/>
          <w:szCs w:val="24"/>
        </w:rPr>
        <w:t xml:space="preserve">The click library provides the CLI framework for the pipeline. It handles argument parsing, command routing, help text generation, and option validation. The pipeline exposes several CLI commands: run (execute the pipeline), init (launch the configuration wizard), validate (check configuration without executing), and version (display version information). Each command has its own set of options and help text, and click automatically generates formatted help output that explains each option.</w:t>
      </w:r>
    </w:p>
    <w:p>
      <w:pPr>
        <w:pStyle w:val="Heading2"/>
        <w:spacing w:after="160" w:before="360" w:line="312"/>
      </w:pPr>
      <w:bookmarkStart w:id="100069" w:name="_Toc100069"/>
      <w:r>
        <w:rPr>
          <w:rFonts w:ascii="Times New Roman"/>
          <w:b/>
          <w:bCs/>
          <w:color w:val="2C2C2C"/>
          <w:sz w:val="28"/>
          <w:szCs w:val="28"/>
        </w:rPr>
        <w:t xml:space="preserve">12.4 CLI Command Specification</w:t>
      </w:r>
      <w:bookmarkEnd w:id="10006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60"/>
              <w:left w:type="dxa" w:w="120"/>
              <w:bottom w:type="dxa" w:w="60"/>
              <w:right w:type="dxa" w:w="120"/>
            </w:tcMar>
          </w:tcPr>
          <w:p>
            <w:r>
              <w:rPr>
                <w:rFonts w:ascii="Times New Roman"/>
                <w:b/>
                <w:bCs/>
                <w:color w:val="FFFFFF"/>
                <w:sz w:val="21"/>
                <w:szCs w:val="21"/>
              </w:rPr>
              <w:t xml:space="preserve">Command</w:t>
            </w:r>
          </w:p>
        </w:tc>
        <w:tc>
          <w:tcPr>
            <w:tcW w:type="pct" w:w="45%"/>
            <w:shd w:fill="D4875A" w:val="clear"/>
            <w:tcMar>
              <w:top w:type="dxa" w:w="60"/>
              <w:left w:type="dxa" w:w="120"/>
              <w:bottom w:type="dxa" w:w="60"/>
              <w:right w:type="dxa" w:w="120"/>
            </w:tcMar>
          </w:tcPr>
          <w:p>
            <w:r>
              <w:rPr>
                <w:rFonts w:ascii="Times New Roman"/>
                <w:b/>
                <w:bCs/>
                <w:color w:val="FFFFFF"/>
                <w:sz w:val="21"/>
                <w:szCs w:val="21"/>
              </w:rPr>
              <w:t xml:space="preserve">Options</w:t>
            </w:r>
          </w:p>
        </w:tc>
        <w:tc>
          <w:tcPr>
            <w:tcW w:type="pct" w:w="40%"/>
            <w:shd w:fill="D4875A" w:val="clear"/>
            <w:tcMar>
              <w:top w:type="dxa" w:w="60"/>
              <w:left w:type="dxa" w:w="120"/>
              <w:bottom w:type="dxa" w:w="60"/>
              <w:right w:type="dxa" w:w="120"/>
            </w:tcMar>
          </w:tcPr>
          <w:p>
            <w:r>
              <w:rPr>
                <w:rFonts w:ascii="Times New Roman"/>
                <w:b/>
                <w:bCs/>
                <w:color w:val="FFFFFF"/>
                <w:sz w:val="21"/>
                <w:szCs w:val="21"/>
              </w:rPr>
              <w:t xml:space="preserve">Description</w:t>
            </w:r>
          </w:p>
        </w:tc>
      </w:tr>
      <w:tr>
        <w:trPr>
          <w:cantSplit/>
        </w:trPr>
        <w:tc>
          <w:tcPr>
            <w:tcW w:type="pct" w:w="15%"/>
            <w:tcMar>
              <w:top w:type="dxa" w:w="50"/>
              <w:left w:type="dxa" w:w="120"/>
              <w:bottom w:type="dxa" w:w="50"/>
              <w:right w:type="dxa" w:w="120"/>
            </w:tcMar>
          </w:tcPr>
          <w:p>
            <w:r>
              <w:rPr>
                <w:rFonts w:ascii="Times New Roman"/>
                <w:color w:val="2C2C2C"/>
                <w:sz w:val="21"/>
                <w:szCs w:val="21"/>
              </w:rPr>
              <w:t xml:space="preserve">run</w:t>
            </w:r>
          </w:p>
        </w:tc>
        <w:tc>
          <w:tcPr>
            <w:tcW w:type="pct" w:w="45%"/>
            <w:tcMar>
              <w:top w:type="dxa" w:w="50"/>
              <w:left w:type="dxa" w:w="120"/>
              <w:bottom w:type="dxa" w:w="50"/>
              <w:right w:type="dxa" w:w="120"/>
            </w:tcMar>
          </w:tcPr>
          <w:p>
            <w:r>
              <w:rPr>
                <w:rFonts w:ascii="Times New Roman"/>
                <w:color w:val="2C2C2C"/>
                <w:sz w:val="21"/>
                <w:szCs w:val="21"/>
              </w:rPr>
              <w:t xml:space="preserve">--config, --output, --verbose, --dry-run</w:t>
            </w:r>
          </w:p>
        </w:tc>
        <w:tc>
          <w:tcPr>
            <w:tcW w:type="pct" w:w="40%"/>
            <w:tcMar>
              <w:top w:type="dxa" w:w="50"/>
              <w:left w:type="dxa" w:w="120"/>
              <w:bottom w:type="dxa" w:w="50"/>
              <w:right w:type="dxa" w:w="120"/>
            </w:tcMar>
          </w:tcPr>
          <w:p>
            <w:r>
              <w:rPr>
                <w:rFonts w:ascii="Times New Roman"/>
                <w:color w:val="2C2C2C"/>
                <w:sz w:val="21"/>
                <w:szCs w:val="21"/>
              </w:rPr>
              <w:t xml:space="preserve">Execute the comparison pipeline</w:t>
            </w:r>
          </w:p>
        </w:tc>
      </w:tr>
      <w:tr>
        <w:trPr>
          <w:cantSplit/>
        </w:trPr>
        <w:tc>
          <w:tcPr>
            <w:tcW w:type="pct" w:w="15%"/>
            <w:shd w:fill="F8F0EB" w:val="clear"/>
            <w:tcMar>
              <w:top w:type="dxa" w:w="50"/>
              <w:left w:type="dxa" w:w="120"/>
              <w:bottom w:type="dxa" w:w="50"/>
              <w:right w:type="dxa" w:w="120"/>
            </w:tcMar>
          </w:tcPr>
          <w:p>
            <w:r>
              <w:rPr>
                <w:rFonts w:ascii="Times New Roman"/>
                <w:color w:val="2C2C2C"/>
                <w:sz w:val="21"/>
                <w:szCs w:val="21"/>
              </w:rPr>
              <w:t xml:space="preserve">init</w:t>
            </w:r>
          </w:p>
        </w:tc>
        <w:tc>
          <w:tcPr>
            <w:tcW w:type="pct" w:w="45%"/>
            <w:shd w:fill="F8F0EB" w:val="clear"/>
            <w:tcMar>
              <w:top w:type="dxa" w:w="50"/>
              <w:left w:type="dxa" w:w="120"/>
              <w:bottom w:type="dxa" w:w="50"/>
              <w:right w:type="dxa" w:w="120"/>
            </w:tcMar>
          </w:tcPr>
          <w:p>
            <w:r>
              <w:rPr>
                <w:rFonts w:ascii="Times New Roman"/>
                <w:color w:val="2C2C2C"/>
                <w:sz w:val="21"/>
                <w:szCs w:val="21"/>
              </w:rPr>
              <w:t xml:space="preserve">--output-dir</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Create a new config from interactive wizard</w:t>
            </w:r>
          </w:p>
        </w:tc>
      </w:tr>
      <w:tr>
        <w:trPr>
          <w:cantSplit/>
        </w:trPr>
        <w:tc>
          <w:tcPr>
            <w:tcW w:type="pct" w:w="15%"/>
            <w:tcMar>
              <w:top w:type="dxa" w:w="50"/>
              <w:left w:type="dxa" w:w="120"/>
              <w:bottom w:type="dxa" w:w="50"/>
              <w:right w:type="dxa" w:w="120"/>
            </w:tcMar>
          </w:tcPr>
          <w:p>
            <w:r>
              <w:rPr>
                <w:rFonts w:ascii="Times New Roman"/>
                <w:color w:val="2C2C2C"/>
                <w:sz w:val="21"/>
                <w:szCs w:val="21"/>
              </w:rPr>
              <w:t xml:space="preserve">validate</w:t>
            </w:r>
          </w:p>
        </w:tc>
        <w:tc>
          <w:tcPr>
            <w:tcW w:type="pct" w:w="45%"/>
            <w:tcMar>
              <w:top w:type="dxa" w:w="50"/>
              <w:left w:type="dxa" w:w="120"/>
              <w:bottom w:type="dxa" w:w="50"/>
              <w:right w:type="dxa" w:w="120"/>
            </w:tcMar>
          </w:tcPr>
          <w:p>
            <w:r>
              <w:rPr>
                <w:rFonts w:ascii="Times New Roman"/>
                <w:color w:val="2C2C2C"/>
                <w:sz w:val="21"/>
                <w:szCs w:val="21"/>
              </w:rPr>
              <w:t xml:space="preserve">--config</w:t>
            </w:r>
          </w:p>
        </w:tc>
        <w:tc>
          <w:tcPr>
            <w:tcW w:type="pct" w:w="40%"/>
            <w:tcMar>
              <w:top w:type="dxa" w:w="50"/>
              <w:left w:type="dxa" w:w="120"/>
              <w:bottom w:type="dxa" w:w="50"/>
              <w:right w:type="dxa" w:w="120"/>
            </w:tcMar>
          </w:tcPr>
          <w:p>
            <w:r>
              <w:rPr>
                <w:rFonts w:ascii="Times New Roman"/>
                <w:color w:val="2C2C2C"/>
                <w:sz w:val="21"/>
                <w:szCs w:val="21"/>
              </w:rPr>
              <w:t xml:space="preserve">Validate config without executing pipeline</w:t>
            </w:r>
          </w:p>
        </w:tc>
      </w:tr>
      <w:tr>
        <w:trPr>
          <w:cantSplit/>
        </w:trPr>
        <w:tc>
          <w:tcPr>
            <w:tcW w:type="pct" w:w="15%"/>
            <w:shd w:fill="F8F0EB" w:val="clear"/>
            <w:tcMar>
              <w:top w:type="dxa" w:w="50"/>
              <w:left w:type="dxa" w:w="120"/>
              <w:bottom w:type="dxa" w:w="50"/>
              <w:right w:type="dxa" w:w="120"/>
            </w:tcMar>
          </w:tcPr>
          <w:p>
            <w:r>
              <w:rPr>
                <w:rFonts w:ascii="Times New Roman"/>
                <w:color w:val="2C2C2C"/>
                <w:sz w:val="21"/>
                <w:szCs w:val="21"/>
              </w:rPr>
              <w:t xml:space="preserve">version</w:t>
            </w:r>
          </w:p>
        </w:tc>
        <w:tc>
          <w:tcPr>
            <w:tcW w:type="pct" w:w="45%"/>
            <w:shd w:fill="F8F0EB" w:val="clear"/>
            <w:tcMar>
              <w:top w:type="dxa" w:w="50"/>
              <w:left w:type="dxa" w:w="120"/>
              <w:bottom w:type="dxa" w:w="50"/>
              <w:right w:type="dxa" w:w="120"/>
            </w:tcMar>
          </w:tcPr>
          <w:p>
            <w:r>
              <w:rPr>
                <w:rFonts w:ascii="Times New Roman"/>
                <w:color w:val="2C2C2C"/>
                <w:sz w:val="21"/>
                <w:szCs w:val="21"/>
              </w:rPr>
              <w:t xml:space="preserve">(none)</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Display pipeline version and exit</w:t>
            </w:r>
          </w:p>
        </w:tc>
      </w:tr>
    </w:tbl>
    <w:p>
      <w:pPr>
        <w:spacing w:after="60"/>
      </w:pPr>
    </w:p>
    <w:p>
      <w:pPr>
        <w:pStyle w:val="Heading2"/>
        <w:spacing w:after="160" w:before="360" w:line="312"/>
      </w:pPr>
      <w:bookmarkStart w:id="100070" w:name="_Toc100070"/>
      <w:r>
        <w:rPr>
          <w:rFonts w:ascii="Times New Roman"/>
          <w:b/>
          <w:bCs/>
          <w:color w:val="2C2C2C"/>
          <w:sz w:val="28"/>
          <w:szCs w:val="28"/>
        </w:rPr>
        <w:t xml:space="preserve">12.5 Design Rules</w:t>
      </w:r>
      <w:bookmarkEnd w:id="10007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r>
              <w:rPr>
                <w:rFonts w:ascii="Times New Roman"/>
                <w:b/>
                <w:bCs/>
                <w:color w:val="FFFFFF"/>
                <w:sz w:val="21"/>
                <w:szCs w:val="21"/>
              </w:rPr>
              <w:t xml:space="preserve">Rule ID</w:t>
            </w:r>
          </w:p>
        </w:tc>
        <w:tc>
          <w:tcPr>
            <w:tcW w:type="pct" w:w="48%"/>
            <w:shd w:fill="D4875A" w:val="clear"/>
            <w:tcMar>
              <w:top w:type="dxa" w:w="60"/>
              <w:left w:type="dxa" w:w="120"/>
              <w:bottom w:type="dxa" w:w="60"/>
              <w:right w:type="dxa" w:w="120"/>
            </w:tcMar>
          </w:tcPr>
          <w:p>
            <w:r>
              <w:rPr>
                <w:rFonts w:ascii="Times New Roman"/>
                <w:b/>
                <w:bCs/>
                <w:color w:val="FFFFFF"/>
                <w:sz w:val="21"/>
                <w:szCs w:val="21"/>
              </w:rPr>
              <w:t xml:space="preserve">Rule</w:t>
            </w:r>
          </w:p>
        </w:tc>
        <w:tc>
          <w:tcPr>
            <w:tcW w:type="pct" w:w="40%"/>
            <w:shd w:fill="D4875A" w:val="clear"/>
            <w:tcMar>
              <w:top w:type="dxa" w:w="60"/>
              <w:left w:type="dxa" w:w="120"/>
              <w:bottom w:type="dxa" w:w="60"/>
              <w:right w:type="dxa" w:w="120"/>
            </w:tcMar>
          </w:tcPr>
          <w:p>
            <w:r>
              <w:rPr>
                <w:rFonts w:ascii="Times New Roman"/>
                <w:b/>
                <w:bCs/>
                <w:color w:val="FFFFFF"/>
                <w:sz w:val="21"/>
                <w:szCs w:val="21"/>
              </w:rPr>
              <w:t xml:space="preserve">Rationale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TUI-001</w:t>
            </w:r>
          </w:p>
        </w:tc>
        <w:tc>
          <w:tcPr>
            <w:tcW w:type="pct" w:w="48%"/>
            <w:tcMar>
              <w:top w:type="dxa" w:w="50"/>
              <w:left w:type="dxa" w:w="120"/>
              <w:bottom w:type="dxa" w:w="50"/>
              <w:right w:type="dxa" w:w="120"/>
            </w:tcMar>
          </w:tcPr>
          <w:p>
            <w:r>
              <w:rPr>
                <w:rFonts w:ascii="Times New Roman"/>
                <w:color w:val="2C2C2C"/>
                <w:sz w:val="21"/>
                <w:szCs w:val="21"/>
              </w:rPr>
              <w:t xml:space="preserve">All terminal output goes through rich</w:t>
            </w:r>
          </w:p>
        </w:tc>
        <w:tc>
          <w:tcPr>
            <w:tcW w:type="pct" w:w="40%"/>
            <w:tcMar>
              <w:top w:type="dxa" w:w="50"/>
              <w:left w:type="dxa" w:w="120"/>
              <w:bottom w:type="dxa" w:w="50"/>
              <w:right w:type="dxa" w:w="120"/>
            </w:tcMar>
          </w:tcPr>
          <w:p>
            <w:r>
              <w:rPr>
                <w:rFonts w:ascii="Times New Roman"/>
                <w:color w:val="2C2C2C"/>
                <w:sz w:val="21"/>
                <w:szCs w:val="21"/>
              </w:rPr>
              <w:t xml:space="preserve">Consistent formatting and color support</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TUI-002</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Progress bars for every pipeline stage</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User visibility into long-running operations</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TUI-003</w:t>
            </w:r>
          </w:p>
        </w:tc>
        <w:tc>
          <w:tcPr>
            <w:tcW w:type="pct" w:w="48%"/>
            <w:tcMar>
              <w:top w:type="dxa" w:w="50"/>
              <w:left w:type="dxa" w:w="120"/>
              <w:bottom w:type="dxa" w:w="50"/>
              <w:right w:type="dxa" w:w="120"/>
            </w:tcMar>
          </w:tcPr>
          <w:p>
            <w:r>
              <w:rPr>
                <w:rFonts w:ascii="Times New Roman"/>
                <w:color w:val="2C2C2C"/>
                <w:sz w:val="21"/>
                <w:szCs w:val="21"/>
              </w:rPr>
              <w:t xml:space="preserve">Error messages color-coded by severity</w:t>
            </w:r>
          </w:p>
        </w:tc>
        <w:tc>
          <w:tcPr>
            <w:tcW w:type="pct" w:w="40%"/>
            <w:tcMar>
              <w:top w:type="dxa" w:w="50"/>
              <w:left w:type="dxa" w:w="120"/>
              <w:bottom w:type="dxa" w:w="50"/>
              <w:right w:type="dxa" w:w="120"/>
            </w:tcMar>
          </w:tcPr>
          <w:p>
            <w:r>
              <w:rPr>
                <w:rFonts w:ascii="Times New Roman"/>
                <w:color w:val="2C2C2C"/>
                <w:sz w:val="21"/>
                <w:szCs w:val="21"/>
              </w:rPr>
              <w:t xml:space="preserve">Quick visual identification of issues</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TUI-004</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Tables auto-sized to terminal width</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No truncation or wrapping issues</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TUI-005</w:t>
            </w:r>
          </w:p>
        </w:tc>
        <w:tc>
          <w:tcPr>
            <w:tcW w:type="pct" w:w="48%"/>
            <w:tcMar>
              <w:top w:type="dxa" w:w="50"/>
              <w:left w:type="dxa" w:w="120"/>
              <w:bottom w:type="dxa" w:w="50"/>
              <w:right w:type="dxa" w:w="120"/>
            </w:tcMar>
          </w:tcPr>
          <w:p>
            <w:r>
              <w:rPr>
                <w:rFonts w:ascii="Times New Roman"/>
                <w:color w:val="2C2C2C"/>
                <w:sz w:val="21"/>
                <w:szCs w:val="21"/>
              </w:rPr>
              <w:t xml:space="preserve">CLI supports --verbose and --dry-run</w:t>
            </w:r>
          </w:p>
        </w:tc>
        <w:tc>
          <w:tcPr>
            <w:tcW w:type="pct" w:w="40%"/>
            <w:tcMar>
              <w:top w:type="dxa" w:w="50"/>
              <w:left w:type="dxa" w:w="120"/>
              <w:bottom w:type="dxa" w:w="50"/>
              <w:right w:type="dxa" w:w="120"/>
            </w:tcMar>
          </w:tcPr>
          <w:p>
            <w:r>
              <w:rPr>
                <w:rFonts w:ascii="Times New Roman"/>
                <w:color w:val="2C2C2C"/>
                <w:sz w:val="21"/>
                <w:szCs w:val="21"/>
              </w:rPr>
              <w:t xml:space="preserve">Debugging and preview capabilities</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TUI-006</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Wizard provides intelligent defaults</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Reduce configuration friction for new users</w:t>
            </w:r>
          </w:p>
        </w:tc>
      </w:tr>
    </w:tbl>
    <w:p>
      <w:pPr>
        <w:spacing w:after="60"/>
      </w:pPr>
    </w:p>
    <w:p>
      <w:pPr>
        <w:pStyle w:val="Heading1"/>
        <w:spacing w:after="200" w:before="480" w:line="312"/>
      </w:pPr>
      <w:bookmarkStart w:id="100071" w:name="_Toc100071"/>
      <w:r>
        <w:rPr>
          <w:rFonts w:ascii="Times New Roman"/>
          <w:b/>
          <w:bCs/>
          <w:color w:val="D4875A"/>
          <w:sz w:val="32"/>
          <w:szCs w:val="32"/>
        </w:rPr>
        <w:t xml:space="preserve">13. Error Handling and Logging</w:t>
      </w:r>
      <w:bookmarkEnd w:id="100071"/>
    </w:p>
    <w:p>
      <w:pPr>
        <w:pStyle w:val="Heading2"/>
        <w:spacing w:after="160" w:before="360" w:line="312"/>
      </w:pPr>
      <w:bookmarkStart w:id="100072" w:name="_Toc100072"/>
      <w:r>
        <w:rPr>
          <w:rFonts w:ascii="Times New Roman"/>
          <w:b/>
          <w:bCs/>
          <w:color w:val="2C2C2C"/>
          <w:sz w:val="28"/>
          <w:szCs w:val="28"/>
        </w:rPr>
        <w:t xml:space="preserve">13.1 Error Classification</w:t>
      </w:r>
      <w:bookmarkEnd w:id="100072"/>
    </w:p>
    <w:p>
      <w:pPr>
        <w:spacing w:after="120" w:line="312"/>
        <w:jc w:val="both"/>
      </w:pPr>
      <w:r>
        <w:rPr>
          <w:rFonts w:ascii="Times New Roman"/>
          <w:color w:val="2C2C2C"/>
          <w:sz w:val="24"/>
          <w:szCs w:val="24"/>
        </w:rPr>
        <w:t xml:space="preserve">The pipeline uses a three-tier error classification system: fatal errors, recoverable errors, and warnings. Fatal errors are conditions that prevent the pipeline from producing any meaningful output, such as a missing source file, an invalid configuration schema, or a failed file read operation. When a fatal error occurs, the pipeline halts immediately and displays a detailed error message with the exact cause and location of the error, along with suggested corrective actions.</w:t>
      </w:r>
    </w:p>
    <w:p>
      <w:pPr>
        <w:spacing w:after="120" w:line="312"/>
        <w:jc w:val="both"/>
      </w:pPr>
      <w:r>
        <w:rPr>
          <w:rFonts w:ascii="Times New Roman"/>
          <w:color w:val="2C2C2C"/>
          <w:sz w:val="24"/>
          <w:szCs w:val="24"/>
        </w:rPr>
        <w:t xml:space="preserve">Recoverable errors are conditions that affect a portion of the data but do not invalidate the entire pipeline run. Examples include a single row that fails to parse, a normalization rule that produces an unexpected result, or a plugin that raises an exception during execution. When a recoverable error occurs, the pipeline logs the error, skips the affected row or operation, and continues processing the remaining data. The error is recorded in the report's error log section.</w:t>
      </w:r>
    </w:p>
    <w:p>
      <w:pPr>
        <w:spacing w:after="120" w:line="312"/>
        <w:jc w:val="both"/>
      </w:pPr>
      <w:r>
        <w:rPr>
          <w:rFonts w:ascii="Times New Roman"/>
          <w:color w:val="2C2C2C"/>
          <w:sz w:val="24"/>
          <w:szCs w:val="24"/>
        </w:rPr>
        <w:t xml:space="preserve">Warnings are informational messages that do not affect the pipeline's output but may indicate potential issues. Examples include low encoding detection confidence, high memory usage, or a deprecated configuration option. Warnings are displayed in the TUI output and recorded in the log file, but they do not affect the pipeline's exit code.</w:t>
      </w:r>
    </w:p>
    <w:p>
      <w:pPr>
        <w:pStyle w:val="Heading2"/>
        <w:spacing w:after="160" w:before="360" w:line="312"/>
      </w:pPr>
      <w:bookmarkStart w:id="100073" w:name="_Toc100073"/>
      <w:r>
        <w:rPr>
          <w:rFonts w:ascii="Times New Roman"/>
          <w:b/>
          <w:bCs/>
          <w:color w:val="2C2C2C"/>
          <w:sz w:val="28"/>
          <w:szCs w:val="28"/>
        </w:rPr>
        <w:t xml:space="preserve">13.2 Exception Hierarchy</w:t>
      </w:r>
      <w:bookmarkEnd w:id="100073"/>
    </w:p>
    <w:p>
      <w:pPr>
        <w:spacing w:after="120" w:line="312"/>
        <w:jc w:val="both"/>
      </w:pPr>
      <w:r>
        <w:rPr>
          <w:rFonts w:ascii="Times New Roman"/>
          <w:color w:val="2C2C2C"/>
          <w:sz w:val="24"/>
          <w:szCs w:val="24"/>
        </w:rPr>
        <w:t xml:space="preserve">The pipeline defines a custom exception hierarchy rooted at PipelineError. Specific exception types include ConfigurationError (for config validation failures), ImportError (for file reading failures), FilterError (for invalid filter rules), NormalizationError (for transformation failures), ComparisonError (for join or comparison failures), PluginError (for plugin loading or execution failures), and OutputError (for report generation failures). Each exception type includes structured attributes that provide context about the error, such as the configuration key that caused the problem, the row number where the error occurred, or the plugin name that failed.</w:t>
      </w:r>
    </w:p>
    <w:p>
      <w:pPr>
        <w:pStyle w:val="Heading2"/>
        <w:spacing w:after="160" w:before="360" w:line="312"/>
      </w:pPr>
      <w:bookmarkStart w:id="100074" w:name="_Toc100074"/>
      <w:r>
        <w:rPr>
          <w:rFonts w:ascii="Times New Roman"/>
          <w:b/>
          <w:bCs/>
          <w:color w:val="2C2C2C"/>
          <w:sz w:val="28"/>
          <w:szCs w:val="28"/>
        </w:rPr>
        <w:t xml:space="preserve">13.3 Logging Strategy</w:t>
      </w:r>
      <w:bookmarkEnd w:id="100074"/>
    </w:p>
    <w:p>
      <w:pPr>
        <w:spacing w:after="120" w:line="312"/>
        <w:jc w:val="both"/>
      </w:pPr>
      <w:r>
        <w:rPr>
          <w:rFonts w:ascii="Times New Roman"/>
          <w:color w:val="2C2C2C"/>
          <w:sz w:val="24"/>
          <w:szCs w:val="24"/>
        </w:rPr>
        <w:t xml:space="preserve">The pipeline uses Python's built-in logging module with structured log formatting. Logs are written to both the terminal (via rich console handler) and a log file (via file handler). The log file is created in the output directory alongside the generated reports, and its name includes a timestamp for traceability. Log levels are: DEBUG (detailed internal state, enabled with --verbose), INFO (pipeline stage progress and summary statistics), WARNING (potential issues that do not affect output), ERROR (recoverable errors that skip individual rows or operations), and CRITICAL (fatal errors that halt the pipeline).</w:t>
      </w:r>
    </w:p>
    <w:p>
      <w:pPr>
        <w:pStyle w:val="Heading2"/>
        <w:spacing w:after="160" w:before="360" w:line="312"/>
      </w:pPr>
      <w:bookmarkStart w:id="100075" w:name="_Toc100075"/>
      <w:r>
        <w:rPr>
          <w:rFonts w:ascii="Times New Roman"/>
          <w:b/>
          <w:bCs/>
          <w:color w:val="2C2C2C"/>
          <w:sz w:val="28"/>
          <w:szCs w:val="28"/>
        </w:rPr>
        <w:t xml:space="preserve">13.4 Design Rules</w:t>
      </w:r>
      <w:bookmarkEnd w:id="100075"/>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r>
              <w:rPr>
                <w:rFonts w:ascii="Times New Roman"/>
                <w:b/>
                <w:bCs/>
                <w:color w:val="FFFFFF"/>
                <w:sz w:val="21"/>
                <w:szCs w:val="21"/>
              </w:rPr>
              <w:t xml:space="preserve">Rule ID</w:t>
            </w:r>
          </w:p>
        </w:tc>
        <w:tc>
          <w:tcPr>
            <w:tcW w:type="pct" w:w="48%"/>
            <w:shd w:fill="D4875A" w:val="clear"/>
            <w:tcMar>
              <w:top w:type="dxa" w:w="60"/>
              <w:left w:type="dxa" w:w="120"/>
              <w:bottom w:type="dxa" w:w="60"/>
              <w:right w:type="dxa" w:w="120"/>
            </w:tcMar>
          </w:tcPr>
          <w:p>
            <w:r>
              <w:rPr>
                <w:rFonts w:ascii="Times New Roman"/>
                <w:b/>
                <w:bCs/>
                <w:color w:val="FFFFFF"/>
                <w:sz w:val="21"/>
                <w:szCs w:val="21"/>
              </w:rPr>
              <w:t xml:space="preserve">Rule</w:t>
            </w:r>
          </w:p>
        </w:tc>
        <w:tc>
          <w:tcPr>
            <w:tcW w:type="pct" w:w="40%"/>
            <w:shd w:fill="D4875A" w:val="clear"/>
            <w:tcMar>
              <w:top w:type="dxa" w:w="60"/>
              <w:left w:type="dxa" w:w="120"/>
              <w:bottom w:type="dxa" w:w="60"/>
              <w:right w:type="dxa" w:w="120"/>
            </w:tcMar>
          </w:tcPr>
          <w:p>
            <w:r>
              <w:rPr>
                <w:rFonts w:ascii="Times New Roman"/>
                <w:b/>
                <w:bCs/>
                <w:color w:val="FFFFFF"/>
                <w:sz w:val="21"/>
                <w:szCs w:val="21"/>
              </w:rPr>
              <w:t xml:space="preserve">Rationale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ERR-001</w:t>
            </w:r>
          </w:p>
        </w:tc>
        <w:tc>
          <w:tcPr>
            <w:tcW w:type="pct" w:w="48%"/>
            <w:tcMar>
              <w:top w:type="dxa" w:w="50"/>
              <w:left w:type="dxa" w:w="120"/>
              <w:bottom w:type="dxa" w:w="50"/>
              <w:right w:type="dxa" w:w="120"/>
            </w:tcMar>
          </w:tcPr>
          <w:p>
            <w:r>
              <w:rPr>
                <w:rFonts w:ascii="Times New Roman"/>
                <w:color w:val="2C2C2C"/>
                <w:sz w:val="21"/>
                <w:szCs w:val="21"/>
              </w:rPr>
              <w:t xml:space="preserve">Fatal errors halt pipeline with actionable message</w:t>
            </w:r>
          </w:p>
        </w:tc>
        <w:tc>
          <w:tcPr>
            <w:tcW w:type="pct" w:w="40%"/>
            <w:tcMar>
              <w:top w:type="dxa" w:w="50"/>
              <w:left w:type="dxa" w:w="120"/>
              <w:bottom w:type="dxa" w:w="50"/>
              <w:right w:type="dxa" w:w="120"/>
            </w:tcMar>
          </w:tcPr>
          <w:p>
            <w:r>
              <w:rPr>
                <w:rFonts w:ascii="Times New Roman"/>
                <w:color w:val="2C2C2C"/>
                <w:sz w:val="21"/>
                <w:szCs w:val="21"/>
              </w:rPr>
              <w:t xml:space="preserve">User needs to know what to fix</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ERR-002</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Recoverable errors logged and skipped</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One bad row should not stop entire pipeline</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ERR-003</w:t>
            </w:r>
          </w:p>
        </w:tc>
        <w:tc>
          <w:tcPr>
            <w:tcW w:type="pct" w:w="48%"/>
            <w:tcMar>
              <w:top w:type="dxa" w:w="50"/>
              <w:left w:type="dxa" w:w="120"/>
              <w:bottom w:type="dxa" w:w="50"/>
              <w:right w:type="dxa" w:w="120"/>
            </w:tcMar>
          </w:tcPr>
          <w:p>
            <w:r>
              <w:rPr>
                <w:rFonts w:ascii="Times New Roman"/>
                <w:color w:val="2C2C2C"/>
                <w:sz w:val="21"/>
                <w:szCs w:val="21"/>
              </w:rPr>
              <w:t xml:space="preserve">Custom exception hierarchy for all error types</w:t>
            </w:r>
          </w:p>
        </w:tc>
        <w:tc>
          <w:tcPr>
            <w:tcW w:type="pct" w:w="40%"/>
            <w:tcMar>
              <w:top w:type="dxa" w:w="50"/>
              <w:left w:type="dxa" w:w="120"/>
              <w:bottom w:type="dxa" w:w="50"/>
              <w:right w:type="dxa" w:w="120"/>
            </w:tcMar>
          </w:tcPr>
          <w:p>
            <w:r>
              <w:rPr>
                <w:rFonts w:ascii="Times New Roman"/>
                <w:color w:val="2C2C2C"/>
                <w:sz w:val="21"/>
                <w:szCs w:val="21"/>
              </w:rPr>
              <w:t xml:space="preserve">Structured error handling and catching</w:t>
            </w:r>
          </w:p>
        </w:tc>
      </w:tr>
      <w:tr>
        <w:trPr>
          <w:cantSplit/>
        </w:trPr>
        <w:tc>
          <w:tcPr>
            <w:tcW w:type="pct" w:w="12%"/>
            <w:shd w:fill="F8F0EB" w:val="clear"/>
            <w:tcMar>
              <w:top w:type="dxa" w:w="50"/>
              <w:left w:type="dxa" w:w="120"/>
              <w:bottom w:type="dxa" w:w="50"/>
              <w:right w:type="dxa" w:w="120"/>
            </w:tcMar>
          </w:tcPr>
          <w:p>
            <w:r>
              <w:rPr>
                <w:rFonts w:ascii="Times New Roman"/>
                <w:color w:val="2C2C2C"/>
                <w:sz w:val="21"/>
                <w:szCs w:val="21"/>
              </w:rPr>
              <w:t xml:space="preserve">ERR-004</w:t>
            </w:r>
          </w:p>
        </w:tc>
        <w:tc>
          <w:tcPr>
            <w:tcW w:type="pct" w:w="48%"/>
            <w:shd w:fill="F8F0EB" w:val="clear"/>
            <w:tcMar>
              <w:top w:type="dxa" w:w="50"/>
              <w:left w:type="dxa" w:w="120"/>
              <w:bottom w:type="dxa" w:w="50"/>
              <w:right w:type="dxa" w:w="120"/>
            </w:tcMar>
          </w:tcPr>
          <w:p>
            <w:r>
              <w:rPr>
                <w:rFonts w:ascii="Times New Roman"/>
                <w:color w:val="2C2C2C"/>
                <w:sz w:val="21"/>
                <w:szCs w:val="21"/>
              </w:rPr>
              <w:t xml:space="preserve">Log file always written to output directory</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Post-run audit capability</w:t>
            </w:r>
          </w:p>
        </w:tc>
      </w:tr>
      <w:tr>
        <w:trPr>
          <w:cantSplit/>
        </w:trPr>
        <w:tc>
          <w:tcPr>
            <w:tcW w:type="pct" w:w="12%"/>
            <w:tcMar>
              <w:top w:type="dxa" w:w="50"/>
              <w:left w:type="dxa" w:w="120"/>
              <w:bottom w:type="dxa" w:w="50"/>
              <w:right w:type="dxa" w:w="120"/>
            </w:tcMar>
          </w:tcPr>
          <w:p>
            <w:r>
              <w:rPr>
                <w:rFonts w:ascii="Times New Roman"/>
                <w:color w:val="2C2C2C"/>
                <w:sz w:val="21"/>
                <w:szCs w:val="21"/>
              </w:rPr>
              <w:t xml:space="preserve">ERR-005</w:t>
            </w:r>
          </w:p>
        </w:tc>
        <w:tc>
          <w:tcPr>
            <w:tcW w:type="pct" w:w="48%"/>
            <w:tcMar>
              <w:top w:type="dxa" w:w="50"/>
              <w:left w:type="dxa" w:w="120"/>
              <w:bottom w:type="dxa" w:w="50"/>
              <w:right w:type="dxa" w:w="120"/>
            </w:tcMar>
          </w:tcPr>
          <w:p>
            <w:r>
              <w:rPr>
                <w:rFonts w:ascii="Times New Roman"/>
                <w:color w:val="2C2C2C"/>
                <w:sz w:val="21"/>
                <w:szCs w:val="21"/>
              </w:rPr>
              <w:t xml:space="preserve">Exit codes: 0=success, 1=fatal, 2=recoverable errors</w:t>
            </w:r>
          </w:p>
        </w:tc>
        <w:tc>
          <w:tcPr>
            <w:tcW w:type="pct" w:w="40%"/>
            <w:tcMar>
              <w:top w:type="dxa" w:w="50"/>
              <w:left w:type="dxa" w:w="120"/>
              <w:bottom w:type="dxa" w:w="50"/>
              <w:right w:type="dxa" w:w="120"/>
            </w:tcMar>
          </w:tcPr>
          <w:p>
            <w:r>
              <w:rPr>
                <w:rFonts w:ascii="Times New Roman"/>
                <w:color w:val="2C2C2C"/>
                <w:sz w:val="21"/>
                <w:szCs w:val="21"/>
              </w:rPr>
              <w:t xml:space="preserve">Scriptable integration with CI/CD</w:t>
            </w:r>
          </w:p>
        </w:tc>
      </w:tr>
    </w:tbl>
    <w:p>
      <w:pPr>
        <w:spacing w:after="60"/>
      </w:pPr>
    </w:p>
    <w:p>
      <w:pPr>
        <w:pStyle w:val="Heading1"/>
        <w:spacing w:after="200" w:before="480" w:line="312"/>
      </w:pPr>
      <w:bookmarkStart w:id="100076" w:name="_Toc100076"/>
      <w:r>
        <w:rPr>
          <w:rFonts w:ascii="Times New Roman"/>
          <w:b/>
          <w:bCs/>
          <w:color w:val="D4875A"/>
          <w:sz w:val="32"/>
          <w:szCs w:val="32"/>
        </w:rPr>
        <w:t xml:space="preserve">14. Project File Structure</w:t>
      </w:r>
      <w:bookmarkEnd w:id="100076"/>
    </w:p>
    <w:p>
      <w:pPr>
        <w:spacing w:after="120" w:line="312"/>
        <w:jc w:val="both"/>
      </w:pPr>
      <w:r>
        <w:rPr>
          <w:rFonts w:ascii="Times New Roman"/>
          <w:color w:val="2C2C2C"/>
          <w:sz w:val="24"/>
          <w:szCs w:val="24"/>
        </w:rPr>
        <w:t xml:space="preserve">The following table shows the complete project directory structure with the purpose of each file and directory. This structure is designed to keep the codebase modular, testable, and easy to navigate. Core engine modules are in the core/ directory, TUI components are in the tui/ directory, plugins go in the plugins/ directory, and all generated output is written to the output/ directory.</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5%"/>
            <w:shd w:fill="D4875A" w:val="clear"/>
            <w:tcMar>
              <w:top w:type="dxa" w:w="60"/>
              <w:left w:type="dxa" w:w="120"/>
              <w:bottom w:type="dxa" w:w="60"/>
              <w:right w:type="dxa" w:w="120"/>
            </w:tcMar>
          </w:tcPr>
          <w:p>
            <w:r>
              <w:rPr>
                <w:rFonts w:ascii="Times New Roman"/>
                <w:b/>
                <w:bCs/>
                <w:color w:val="FFFFFF"/>
                <w:sz w:val="21"/>
                <w:szCs w:val="21"/>
              </w:rPr>
              <w:t xml:space="preserve">Path</w:t>
            </w:r>
          </w:p>
        </w:tc>
        <w:tc>
          <w:tcPr>
            <w:tcW w:type="pct" w:w="12%"/>
            <w:shd w:fill="D4875A" w:val="clear"/>
            <w:tcMar>
              <w:top w:type="dxa" w:w="60"/>
              <w:left w:type="dxa" w:w="120"/>
              <w:bottom w:type="dxa" w:w="60"/>
              <w:right w:type="dxa" w:w="120"/>
            </w:tcMar>
          </w:tcPr>
          <w:p>
            <w:r>
              <w:rPr>
                <w:rFonts w:ascii="Times New Roman"/>
                <w:b/>
                <w:bCs/>
                <w:color w:val="FFFFFF"/>
                <w:sz w:val="21"/>
                <w:szCs w:val="21"/>
              </w:rPr>
              <w:t xml:space="preserve">Type</w:t>
            </w:r>
          </w:p>
        </w:tc>
        <w:tc>
          <w:tcPr>
            <w:tcW w:type="pct" w:w="53%"/>
            <w:shd w:fill="D4875A" w:val="clear"/>
            <w:tcMar>
              <w:top w:type="dxa" w:w="60"/>
              <w:left w:type="dxa" w:w="120"/>
              <w:bottom w:type="dxa" w:w="60"/>
              <w:right w:type="dxa" w:w="120"/>
            </w:tcMar>
          </w:tcPr>
          <w:p>
            <w:r>
              <w:rPr>
                <w:rFonts w:ascii="Times New Roman"/>
                <w:b/>
                <w:bCs/>
                <w:color w:val="FFFFFF"/>
                <w:sz w:val="21"/>
                <w:szCs w:val="21"/>
              </w:rPr>
              <w:t xml:space="preserve">Purpose</w:t>
            </w:r>
          </w:p>
        </w:tc>
      </w:tr>
      <w:tr>
        <w:trPr>
          <w:cantSplit/>
        </w:trPr>
        <w:tc>
          <w:tcPr>
            <w:tcW w:type="pct" w:w="35%"/>
            <w:tcMar>
              <w:top w:type="dxa" w:w="50"/>
              <w:left w:type="dxa" w:w="120"/>
              <w:bottom w:type="dxa" w:w="50"/>
              <w:right w:type="dxa" w:w="120"/>
            </w:tcMar>
          </w:tcPr>
          <w:p>
            <w:r>
              <w:rPr>
                <w:rFonts w:ascii="Times New Roman"/>
                <w:color w:val="2C2C2C"/>
                <w:sz w:val="21"/>
                <w:szCs w:val="21"/>
              </w:rPr>
              <w:t xml:space="preserve">pipeline.py</w:t>
            </w:r>
          </w:p>
        </w:tc>
        <w:tc>
          <w:tcPr>
            <w:tcW w:type="pct" w:w="12%"/>
            <w:tcMar>
              <w:top w:type="dxa" w:w="50"/>
              <w:left w:type="dxa" w:w="120"/>
              <w:bottom w:type="dxa" w:w="50"/>
              <w:right w:type="dxa" w:w="120"/>
            </w:tcMar>
          </w:tcPr>
          <w:p>
            <w:r>
              <w:rPr>
                <w:rFonts w:ascii="Times New Roman"/>
                <w:color w:val="2C2C2C"/>
                <w:sz w:val="21"/>
                <w:szCs w:val="21"/>
              </w:rPr>
              <w:t xml:space="preserve">File</w:t>
            </w:r>
          </w:p>
        </w:tc>
        <w:tc>
          <w:tcPr>
            <w:tcW w:type="pct" w:w="53%"/>
            <w:tcMar>
              <w:top w:type="dxa" w:w="50"/>
              <w:left w:type="dxa" w:w="120"/>
              <w:bottom w:type="dxa" w:w="50"/>
              <w:right w:type="dxa" w:w="120"/>
            </w:tcMar>
          </w:tcPr>
          <w:p>
            <w:r>
              <w:rPr>
                <w:rFonts w:ascii="Times New Roman"/>
                <w:color w:val="2C2C2C"/>
                <w:sz w:val="21"/>
                <w:szCs w:val="21"/>
              </w:rPr>
              <w:t xml:space="preserve">CLI entry point (click commands)</w:t>
            </w:r>
          </w:p>
        </w:tc>
      </w:tr>
      <w:tr>
        <w:trPr>
          <w:cantSplit/>
        </w:trPr>
        <w:tc>
          <w:tcPr>
            <w:tcW w:type="pct" w:w="35%"/>
            <w:shd w:fill="F8F0EB" w:val="clear"/>
            <w:tcMar>
              <w:top w:type="dxa" w:w="50"/>
              <w:left w:type="dxa" w:w="120"/>
              <w:bottom w:type="dxa" w:w="50"/>
              <w:right w:type="dxa" w:w="120"/>
            </w:tcMar>
          </w:tcPr>
          <w:p>
            <w:r>
              <w:rPr>
                <w:rFonts w:ascii="Times New Roman"/>
                <w:color w:val="2C2C2C"/>
                <w:sz w:val="21"/>
                <w:szCs w:val="21"/>
              </w:rPr>
              <w:t xml:space="preserve">config.yaml</w:t>
            </w:r>
          </w:p>
        </w:tc>
        <w:tc>
          <w:tcPr>
            <w:tcW w:type="pct" w:w="12%"/>
            <w:shd w:fill="F8F0EB" w:val="clear"/>
            <w:tcMar>
              <w:top w:type="dxa" w:w="50"/>
              <w:left w:type="dxa" w:w="120"/>
              <w:bottom w:type="dxa" w:w="50"/>
              <w:right w:type="dxa" w:w="120"/>
            </w:tcMar>
          </w:tcPr>
          <w:p>
            <w:r>
              <w:rPr>
                <w:rFonts w:ascii="Times New Roman"/>
                <w:color w:val="2C2C2C"/>
                <w:sz w:val="21"/>
                <w:szCs w:val="21"/>
              </w:rPr>
              <w:t xml:space="preserve">File</w:t>
            </w:r>
          </w:p>
        </w:tc>
        <w:tc>
          <w:tcPr>
            <w:tcW w:type="pct" w:w="53%"/>
            <w:shd w:fill="F8F0EB" w:val="clear"/>
            <w:tcMar>
              <w:top w:type="dxa" w:w="50"/>
              <w:left w:type="dxa" w:w="120"/>
              <w:bottom w:type="dxa" w:w="50"/>
              <w:right w:type="dxa" w:w="120"/>
            </w:tcMar>
          </w:tcPr>
          <w:p>
            <w:r>
              <w:rPr>
                <w:rFonts w:ascii="Times New Roman"/>
                <w:color w:val="2C2C2C"/>
                <w:sz w:val="21"/>
                <w:szCs w:val="21"/>
              </w:rPr>
              <w:t xml:space="preserve">User configuration (primary input)</w:t>
            </w:r>
          </w:p>
        </w:tc>
      </w:tr>
      <w:tr>
        <w:trPr>
          <w:cantSplit/>
        </w:trPr>
        <w:tc>
          <w:tcPr>
            <w:tcW w:type="pct" w:w="35%"/>
            <w:tcMar>
              <w:top w:type="dxa" w:w="50"/>
              <w:left w:type="dxa" w:w="120"/>
              <w:bottom w:type="dxa" w:w="50"/>
              <w:right w:type="dxa" w:w="120"/>
            </w:tcMar>
          </w:tcPr>
          <w:p>
            <w:r>
              <w:rPr>
                <w:rFonts w:ascii="Times New Roman"/>
                <w:color w:val="2C2C2C"/>
                <w:sz w:val="21"/>
                <w:szCs w:val="21"/>
              </w:rPr>
              <w:t xml:space="preserve">requirements.txt</w:t>
            </w:r>
          </w:p>
        </w:tc>
        <w:tc>
          <w:tcPr>
            <w:tcW w:type="pct" w:w="12%"/>
            <w:tcMar>
              <w:top w:type="dxa" w:w="50"/>
              <w:left w:type="dxa" w:w="120"/>
              <w:bottom w:type="dxa" w:w="50"/>
              <w:right w:type="dxa" w:w="120"/>
            </w:tcMar>
          </w:tcPr>
          <w:p>
            <w:r>
              <w:rPr>
                <w:rFonts w:ascii="Times New Roman"/>
                <w:color w:val="2C2C2C"/>
                <w:sz w:val="21"/>
                <w:szCs w:val="21"/>
              </w:rPr>
              <w:t xml:space="preserve">File</w:t>
            </w:r>
          </w:p>
        </w:tc>
        <w:tc>
          <w:tcPr>
            <w:tcW w:type="pct" w:w="53%"/>
            <w:tcMar>
              <w:top w:type="dxa" w:w="50"/>
              <w:left w:type="dxa" w:w="120"/>
              <w:bottom w:type="dxa" w:w="50"/>
              <w:right w:type="dxa" w:w="120"/>
            </w:tcMar>
          </w:tcPr>
          <w:p>
            <w:r>
              <w:rPr>
                <w:rFonts w:ascii="Times New Roman"/>
                <w:color w:val="2C2C2C"/>
                <w:sz w:val="21"/>
                <w:szCs w:val="21"/>
              </w:rPr>
              <w:t xml:space="preserve">Python dependencies</w:t>
            </w:r>
          </w:p>
        </w:tc>
      </w:tr>
      <w:tr>
        <w:trPr>
          <w:cantSplit/>
        </w:trPr>
        <w:tc>
          <w:tcPr>
            <w:tcW w:type="pct" w:w="35%"/>
            <w:shd w:fill="F8F0EB" w:val="clear"/>
            <w:tcMar>
              <w:top w:type="dxa" w:w="50"/>
              <w:left w:type="dxa" w:w="120"/>
              <w:bottom w:type="dxa" w:w="50"/>
              <w:right w:type="dxa" w:w="120"/>
            </w:tcMar>
          </w:tcPr>
          <w:p>
            <w:r>
              <w:rPr>
                <w:rFonts w:ascii="Times New Roman"/>
                <w:color w:val="2C2C2C"/>
                <w:sz w:val="21"/>
                <w:szCs w:val="21"/>
              </w:rPr>
              <w:t xml:space="preserve">core/__init__.py</w:t>
            </w:r>
          </w:p>
        </w:tc>
        <w:tc>
          <w:tcPr>
            <w:tcW w:type="pct" w:w="12%"/>
            <w:shd w:fill="F8F0EB" w:val="clear"/>
            <w:tcMar>
              <w:top w:type="dxa" w:w="50"/>
              <w:left w:type="dxa" w:w="120"/>
              <w:bottom w:type="dxa" w:w="50"/>
              <w:right w:type="dxa" w:w="120"/>
            </w:tcMar>
          </w:tcPr>
          <w:p>
            <w:r>
              <w:rPr>
                <w:rFonts w:ascii="Times New Roman"/>
                <w:color w:val="2C2C2C"/>
                <w:sz w:val="21"/>
                <w:szCs w:val="21"/>
              </w:rPr>
              <w:t xml:space="preserve">File</w:t>
            </w:r>
          </w:p>
        </w:tc>
        <w:tc>
          <w:tcPr>
            <w:tcW w:type="pct" w:w="53%"/>
            <w:shd w:fill="F8F0EB" w:val="clear"/>
            <w:tcMar>
              <w:top w:type="dxa" w:w="50"/>
              <w:left w:type="dxa" w:w="120"/>
              <w:bottom w:type="dxa" w:w="50"/>
              <w:right w:type="dxa" w:w="120"/>
            </w:tcMar>
          </w:tcPr>
          <w:p>
            <w:r>
              <w:rPr>
                <w:rFonts w:ascii="Times New Roman"/>
                <w:color w:val="2C2C2C"/>
                <w:sz w:val="21"/>
                <w:szCs w:val="21"/>
              </w:rPr>
              <w:t xml:space="preserve">Core engine package marker</w:t>
            </w:r>
          </w:p>
        </w:tc>
      </w:tr>
      <w:tr>
        <w:trPr>
          <w:cantSplit/>
        </w:trPr>
        <w:tc>
          <w:tcPr>
            <w:tcW w:type="pct" w:w="35%"/>
            <w:tcMar>
              <w:top w:type="dxa" w:w="50"/>
              <w:left w:type="dxa" w:w="120"/>
              <w:bottom w:type="dxa" w:w="50"/>
              <w:right w:type="dxa" w:w="120"/>
            </w:tcMar>
          </w:tcPr>
          <w:p>
            <w:r>
              <w:rPr>
                <w:rFonts w:ascii="Times New Roman"/>
                <w:color w:val="2C2C2C"/>
                <w:sz w:val="21"/>
                <w:szCs w:val="21"/>
              </w:rPr>
              <w:t xml:space="preserve">core/engine.py</w:t>
            </w:r>
          </w:p>
        </w:tc>
        <w:tc>
          <w:tcPr>
            <w:tcW w:type="pct" w:w="12%"/>
            <w:tcMar>
              <w:top w:type="dxa" w:w="50"/>
              <w:left w:type="dxa" w:w="120"/>
              <w:bottom w:type="dxa" w:w="50"/>
              <w:right w:type="dxa" w:w="120"/>
            </w:tcMar>
          </w:tcPr>
          <w:p>
            <w:r>
              <w:rPr>
                <w:rFonts w:ascii="Times New Roman"/>
                <w:color w:val="2C2C2C"/>
                <w:sz w:val="21"/>
                <w:szCs w:val="21"/>
              </w:rPr>
              <w:t xml:space="preserve">File</w:t>
            </w:r>
          </w:p>
        </w:tc>
        <w:tc>
          <w:tcPr>
            <w:tcW w:type="pct" w:w="53%"/>
            <w:tcMar>
              <w:top w:type="dxa" w:w="50"/>
              <w:left w:type="dxa" w:w="120"/>
              <w:bottom w:type="dxa" w:w="50"/>
              <w:right w:type="dxa" w:w="120"/>
            </w:tcMar>
          </w:tcPr>
          <w:p>
            <w:r>
              <w:rPr>
                <w:rFonts w:ascii="Times New Roman"/>
                <w:color w:val="2C2C2C"/>
                <w:sz w:val="21"/>
                <w:szCs w:val="21"/>
              </w:rPr>
              <w:t xml:space="preserve">Pipeline orchestration and context management</w:t>
            </w:r>
          </w:p>
        </w:tc>
      </w:tr>
      <w:tr>
        <w:trPr>
          <w:cantSplit/>
        </w:trPr>
        <w:tc>
          <w:tcPr>
            <w:tcW w:type="pct" w:w="35%"/>
            <w:shd w:fill="F8F0EB" w:val="clear"/>
            <w:tcMar>
              <w:top w:type="dxa" w:w="50"/>
              <w:left w:type="dxa" w:w="120"/>
              <w:bottom w:type="dxa" w:w="50"/>
              <w:right w:type="dxa" w:w="120"/>
            </w:tcMar>
          </w:tcPr>
          <w:p>
            <w:r>
              <w:rPr>
                <w:rFonts w:ascii="Times New Roman"/>
                <w:color w:val="2C2C2C"/>
                <w:sz w:val="21"/>
                <w:szCs w:val="21"/>
              </w:rPr>
              <w:t xml:space="preserve">core/importer.py</w:t>
            </w:r>
          </w:p>
        </w:tc>
        <w:tc>
          <w:tcPr>
            <w:tcW w:type="pct" w:w="12%"/>
            <w:shd w:fill="F8F0EB" w:val="clear"/>
            <w:tcMar>
              <w:top w:type="dxa" w:w="50"/>
              <w:left w:type="dxa" w:w="120"/>
              <w:bottom w:type="dxa" w:w="50"/>
              <w:right w:type="dxa" w:w="120"/>
            </w:tcMar>
          </w:tcPr>
          <w:p>
            <w:r>
              <w:rPr>
                <w:rFonts w:ascii="Times New Roman"/>
                <w:color w:val="2C2C2C"/>
                <w:sz w:val="21"/>
                <w:szCs w:val="21"/>
              </w:rPr>
              <w:t xml:space="preserve">File</w:t>
            </w:r>
          </w:p>
        </w:tc>
        <w:tc>
          <w:tcPr>
            <w:tcW w:type="pct" w:w="53%"/>
            <w:shd w:fill="F8F0EB" w:val="clear"/>
            <w:tcMar>
              <w:top w:type="dxa" w:w="50"/>
              <w:left w:type="dxa" w:w="120"/>
              <w:bottom w:type="dxa" w:w="50"/>
              <w:right w:type="dxa" w:w="120"/>
            </w:tcMar>
          </w:tcPr>
          <w:p>
            <w:r>
              <w:rPr>
                <w:rFonts w:ascii="Times New Roman"/>
                <w:color w:val="2C2C2C"/>
                <w:sz w:val="21"/>
                <w:szCs w:val="21"/>
              </w:rPr>
              <w:t xml:space="preserve">CSV file reading, encoding detection, chunking</w:t>
            </w:r>
          </w:p>
        </w:tc>
      </w:tr>
      <w:tr>
        <w:trPr>
          <w:cantSplit/>
        </w:trPr>
        <w:tc>
          <w:tcPr>
            <w:tcW w:type="pct" w:w="35%"/>
            <w:tcMar>
              <w:top w:type="dxa" w:w="50"/>
              <w:left w:type="dxa" w:w="120"/>
              <w:bottom w:type="dxa" w:w="50"/>
              <w:right w:type="dxa" w:w="120"/>
            </w:tcMar>
          </w:tcPr>
          <w:p>
            <w:r>
              <w:rPr>
                <w:rFonts w:ascii="Times New Roman"/>
                <w:color w:val="2C2C2C"/>
                <w:sz w:val="21"/>
                <w:szCs w:val="21"/>
              </w:rPr>
              <w:t xml:space="preserve">core/filter.py</w:t>
            </w:r>
          </w:p>
        </w:tc>
        <w:tc>
          <w:tcPr>
            <w:tcW w:type="pct" w:w="12%"/>
            <w:tcMar>
              <w:top w:type="dxa" w:w="50"/>
              <w:left w:type="dxa" w:w="120"/>
              <w:bottom w:type="dxa" w:w="50"/>
              <w:right w:type="dxa" w:w="120"/>
            </w:tcMar>
          </w:tcPr>
          <w:p>
            <w:r>
              <w:rPr>
                <w:rFonts w:ascii="Times New Roman"/>
                <w:color w:val="2C2C2C"/>
                <w:sz w:val="21"/>
                <w:szCs w:val="21"/>
              </w:rPr>
              <w:t xml:space="preserve">File</w:t>
            </w:r>
          </w:p>
        </w:tc>
        <w:tc>
          <w:tcPr>
            <w:tcW w:type="pct" w:w="53%"/>
            <w:tcMar>
              <w:top w:type="dxa" w:w="50"/>
              <w:left w:type="dxa" w:w="120"/>
              <w:bottom w:type="dxa" w:w="50"/>
              <w:right w:type="dxa" w:w="120"/>
            </w:tcMar>
          </w:tcPr>
          <w:p>
            <w:r>
              <w:rPr>
                <w:rFonts w:ascii="Times New Roman"/>
                <w:color w:val="2C2C2C"/>
                <w:sz w:val="21"/>
                <w:szCs w:val="21"/>
              </w:rPr>
              <w:t xml:space="preserve">Row-level filtering with operator evaluation</w:t>
            </w:r>
          </w:p>
        </w:tc>
      </w:tr>
      <w:tr>
        <w:trPr>
          <w:cantSplit/>
        </w:trPr>
        <w:tc>
          <w:tcPr>
            <w:tcW w:type="pct" w:w="35%"/>
            <w:shd w:fill="F8F0EB" w:val="clear"/>
            <w:tcMar>
              <w:top w:type="dxa" w:w="50"/>
              <w:left w:type="dxa" w:w="120"/>
              <w:bottom w:type="dxa" w:w="50"/>
              <w:right w:type="dxa" w:w="120"/>
            </w:tcMar>
          </w:tcPr>
          <w:p>
            <w:r>
              <w:rPr>
                <w:rFonts w:ascii="Times New Roman"/>
                <w:color w:val="2C2C2C"/>
                <w:sz w:val="21"/>
                <w:szCs w:val="21"/>
              </w:rPr>
              <w:t xml:space="preserve">core/normalizer.py</w:t>
            </w:r>
          </w:p>
        </w:tc>
        <w:tc>
          <w:tcPr>
            <w:tcW w:type="pct" w:w="12%"/>
            <w:shd w:fill="F8F0EB" w:val="clear"/>
            <w:tcMar>
              <w:top w:type="dxa" w:w="50"/>
              <w:left w:type="dxa" w:w="120"/>
              <w:bottom w:type="dxa" w:w="50"/>
              <w:right w:type="dxa" w:w="120"/>
            </w:tcMar>
          </w:tcPr>
          <w:p>
            <w:r>
              <w:rPr>
                <w:rFonts w:ascii="Times New Roman"/>
                <w:color w:val="2C2C2C"/>
                <w:sz w:val="21"/>
                <w:szCs w:val="21"/>
              </w:rPr>
              <w:t xml:space="preserve">File</w:t>
            </w:r>
          </w:p>
        </w:tc>
        <w:tc>
          <w:tcPr>
            <w:tcW w:type="pct" w:w="53%"/>
            <w:shd w:fill="F8F0EB" w:val="clear"/>
            <w:tcMar>
              <w:top w:type="dxa" w:w="50"/>
              <w:left w:type="dxa" w:w="120"/>
              <w:bottom w:type="dxa" w:w="50"/>
              <w:right w:type="dxa" w:w="120"/>
            </w:tcMar>
          </w:tcPr>
          <w:p>
            <w:r>
              <w:rPr>
                <w:rFonts w:ascii="Times New Roman"/>
                <w:color w:val="2C2C2C"/>
                <w:sz w:val="21"/>
                <w:szCs w:val="21"/>
              </w:rPr>
              <w:t xml:space="preserve">Value normalization, alias groups, parsing</w:t>
            </w:r>
          </w:p>
        </w:tc>
      </w:tr>
      <w:tr>
        <w:trPr>
          <w:cantSplit/>
        </w:trPr>
        <w:tc>
          <w:tcPr>
            <w:tcW w:type="pct" w:w="35%"/>
            <w:tcMar>
              <w:top w:type="dxa" w:w="50"/>
              <w:left w:type="dxa" w:w="120"/>
              <w:bottom w:type="dxa" w:w="50"/>
              <w:right w:type="dxa" w:w="120"/>
            </w:tcMar>
          </w:tcPr>
          <w:p>
            <w:r>
              <w:rPr>
                <w:rFonts w:ascii="Times New Roman"/>
                <w:color w:val="2C2C2C"/>
                <w:sz w:val="21"/>
                <w:szCs w:val="21"/>
              </w:rPr>
              <w:t xml:space="preserve">core/comparator.py</w:t>
            </w:r>
          </w:p>
        </w:tc>
        <w:tc>
          <w:tcPr>
            <w:tcW w:type="pct" w:w="12%"/>
            <w:tcMar>
              <w:top w:type="dxa" w:w="50"/>
              <w:left w:type="dxa" w:w="120"/>
              <w:bottom w:type="dxa" w:w="50"/>
              <w:right w:type="dxa" w:w="120"/>
            </w:tcMar>
          </w:tcPr>
          <w:p>
            <w:r>
              <w:rPr>
                <w:rFonts w:ascii="Times New Roman"/>
                <w:color w:val="2C2C2C"/>
                <w:sz w:val="21"/>
                <w:szCs w:val="21"/>
              </w:rPr>
              <w:t xml:space="preserve">File</w:t>
            </w:r>
          </w:p>
        </w:tc>
        <w:tc>
          <w:tcPr>
            <w:tcW w:type="pct" w:w="53%"/>
            <w:tcMar>
              <w:top w:type="dxa" w:w="50"/>
              <w:left w:type="dxa" w:w="120"/>
              <w:bottom w:type="dxa" w:w="50"/>
              <w:right w:type="dxa" w:w="120"/>
            </w:tcMar>
          </w:tcPr>
          <w:p>
            <w:r>
              <w:rPr>
                <w:rFonts w:ascii="Times New Roman"/>
                <w:color w:val="2C2C2C"/>
                <w:sz w:val="21"/>
                <w:szCs w:val="21"/>
              </w:rPr>
              <w:t xml:space="preserve">Key join and cell-level comparison</w:t>
            </w:r>
          </w:p>
        </w:tc>
      </w:tr>
      <w:tr>
        <w:trPr>
          <w:cantSplit/>
        </w:trPr>
        <w:tc>
          <w:tcPr>
            <w:tcW w:type="pct" w:w="35%"/>
            <w:shd w:fill="F8F0EB" w:val="clear"/>
            <w:tcMar>
              <w:top w:type="dxa" w:w="50"/>
              <w:left w:type="dxa" w:w="120"/>
              <w:bottom w:type="dxa" w:w="50"/>
              <w:right w:type="dxa" w:w="120"/>
            </w:tcMar>
          </w:tcPr>
          <w:p>
            <w:r>
              <w:rPr>
                <w:rFonts w:ascii="Times New Roman"/>
                <w:color w:val="2C2C2C"/>
                <w:sz w:val="21"/>
                <w:szCs w:val="21"/>
              </w:rPr>
              <w:t xml:space="preserve">core/stats.py</w:t>
            </w:r>
          </w:p>
        </w:tc>
        <w:tc>
          <w:tcPr>
            <w:tcW w:type="pct" w:w="12%"/>
            <w:shd w:fill="F8F0EB" w:val="clear"/>
            <w:tcMar>
              <w:top w:type="dxa" w:w="50"/>
              <w:left w:type="dxa" w:w="120"/>
              <w:bottom w:type="dxa" w:w="50"/>
              <w:right w:type="dxa" w:w="120"/>
            </w:tcMar>
          </w:tcPr>
          <w:p>
            <w:r>
              <w:rPr>
                <w:rFonts w:ascii="Times New Roman"/>
                <w:color w:val="2C2C2C"/>
                <w:sz w:val="21"/>
                <w:szCs w:val="21"/>
              </w:rPr>
              <w:t xml:space="preserve">File</w:t>
            </w:r>
          </w:p>
        </w:tc>
        <w:tc>
          <w:tcPr>
            <w:tcW w:type="pct" w:w="53%"/>
            <w:shd w:fill="F8F0EB" w:val="clear"/>
            <w:tcMar>
              <w:top w:type="dxa" w:w="50"/>
              <w:left w:type="dxa" w:w="120"/>
              <w:bottom w:type="dxa" w:w="50"/>
              <w:right w:type="dxa" w:w="120"/>
            </w:tcMar>
          </w:tcPr>
          <w:p>
            <w:r>
              <w:rPr>
                <w:rFonts w:ascii="Times New Roman"/>
                <w:color w:val="2C2C2C"/>
                <w:sz w:val="21"/>
                <w:szCs w:val="21"/>
              </w:rPr>
              <w:t xml:space="preserve">Stat computation engine (3-tier system)</w:t>
            </w:r>
          </w:p>
        </w:tc>
      </w:tr>
      <w:tr>
        <w:trPr>
          <w:cantSplit/>
        </w:trPr>
        <w:tc>
          <w:tcPr>
            <w:tcW w:type="pct" w:w="35%"/>
            <w:tcMar>
              <w:top w:type="dxa" w:w="50"/>
              <w:left w:type="dxa" w:w="120"/>
              <w:bottom w:type="dxa" w:w="50"/>
              <w:right w:type="dxa" w:w="120"/>
            </w:tcMar>
          </w:tcPr>
          <w:p>
            <w:r>
              <w:rPr>
                <w:rFonts w:ascii="Times New Roman"/>
                <w:color w:val="2C2C2C"/>
                <w:sz w:val="21"/>
                <w:szCs w:val="21"/>
              </w:rPr>
              <w:t xml:space="preserve">core/plugin_loader.py</w:t>
            </w:r>
          </w:p>
        </w:tc>
        <w:tc>
          <w:tcPr>
            <w:tcW w:type="pct" w:w="12%"/>
            <w:tcMar>
              <w:top w:type="dxa" w:w="50"/>
              <w:left w:type="dxa" w:w="120"/>
              <w:bottom w:type="dxa" w:w="50"/>
              <w:right w:type="dxa" w:w="120"/>
            </w:tcMar>
          </w:tcPr>
          <w:p>
            <w:r>
              <w:rPr>
                <w:rFonts w:ascii="Times New Roman"/>
                <w:color w:val="2C2C2C"/>
                <w:sz w:val="21"/>
                <w:szCs w:val="21"/>
              </w:rPr>
              <w:t xml:space="preserve">File</w:t>
            </w:r>
          </w:p>
        </w:tc>
        <w:tc>
          <w:tcPr>
            <w:tcW w:type="pct" w:w="53%"/>
            <w:tcMar>
              <w:top w:type="dxa" w:w="50"/>
              <w:left w:type="dxa" w:w="120"/>
              <w:bottom w:type="dxa" w:w="50"/>
              <w:right w:type="dxa" w:w="120"/>
            </w:tcMar>
          </w:tcPr>
          <w:p>
            <w:r>
              <w:rPr>
                <w:rFonts w:ascii="Times New Roman"/>
                <w:color w:val="2C2C2C"/>
                <w:sz w:val="21"/>
                <w:szCs w:val="21"/>
              </w:rPr>
              <w:t xml:space="preserve">Auto-discovery and registration of plugins</w:t>
            </w:r>
          </w:p>
        </w:tc>
      </w:tr>
      <w:tr>
        <w:trPr>
          <w:cantSplit/>
        </w:trPr>
        <w:tc>
          <w:tcPr>
            <w:tcW w:type="pct" w:w="35%"/>
            <w:shd w:fill="F8F0EB" w:val="clear"/>
            <w:tcMar>
              <w:top w:type="dxa" w:w="50"/>
              <w:left w:type="dxa" w:w="120"/>
              <w:bottom w:type="dxa" w:w="50"/>
              <w:right w:type="dxa" w:w="120"/>
            </w:tcMar>
          </w:tcPr>
          <w:p>
            <w:r>
              <w:rPr>
                <w:rFonts w:ascii="Times New Roman"/>
                <w:color w:val="2C2C2C"/>
                <w:sz w:val="21"/>
                <w:szCs w:val="21"/>
              </w:rPr>
              <w:t xml:space="preserve">core/reporter.py</w:t>
            </w:r>
          </w:p>
        </w:tc>
        <w:tc>
          <w:tcPr>
            <w:tcW w:type="pct" w:w="12%"/>
            <w:shd w:fill="F8F0EB" w:val="clear"/>
            <w:tcMar>
              <w:top w:type="dxa" w:w="50"/>
              <w:left w:type="dxa" w:w="120"/>
              <w:bottom w:type="dxa" w:w="50"/>
              <w:right w:type="dxa" w:w="120"/>
            </w:tcMar>
          </w:tcPr>
          <w:p>
            <w:r>
              <w:rPr>
                <w:rFonts w:ascii="Times New Roman"/>
                <w:color w:val="2C2C2C"/>
                <w:sz w:val="21"/>
                <w:szCs w:val="21"/>
              </w:rPr>
              <w:t xml:space="preserve">File</w:t>
            </w:r>
          </w:p>
        </w:tc>
        <w:tc>
          <w:tcPr>
            <w:tcW w:type="pct" w:w="53%"/>
            <w:shd w:fill="F8F0EB" w:val="clear"/>
            <w:tcMar>
              <w:top w:type="dxa" w:w="50"/>
              <w:left w:type="dxa" w:w="120"/>
              <w:bottom w:type="dxa" w:w="50"/>
              <w:right w:type="dxa" w:w="120"/>
            </w:tcMar>
          </w:tcPr>
          <w:p>
            <w:r>
              <w:rPr>
                <w:rFonts w:ascii="Times New Roman"/>
                <w:color w:val="2C2C2C"/>
                <w:sz w:val="21"/>
                <w:szCs w:val="21"/>
              </w:rPr>
              <w:t xml:space="preserve">Multi-format report generation</w:t>
            </w:r>
          </w:p>
        </w:tc>
      </w:tr>
      <w:tr>
        <w:trPr>
          <w:cantSplit/>
        </w:trPr>
        <w:tc>
          <w:tcPr>
            <w:tcW w:type="pct" w:w="35%"/>
            <w:tcMar>
              <w:top w:type="dxa" w:w="50"/>
              <w:left w:type="dxa" w:w="120"/>
              <w:bottom w:type="dxa" w:w="50"/>
              <w:right w:type="dxa" w:w="120"/>
            </w:tcMar>
          </w:tcPr>
          <w:p>
            <w:r>
              <w:rPr>
                <w:rFonts w:ascii="Times New Roman"/>
                <w:color w:val="2C2C2C"/>
                <w:sz w:val="21"/>
                <w:szCs w:val="21"/>
              </w:rPr>
              <w:t xml:space="preserve">tui/__init__.py</w:t>
            </w:r>
          </w:p>
        </w:tc>
        <w:tc>
          <w:tcPr>
            <w:tcW w:type="pct" w:w="12%"/>
            <w:tcMar>
              <w:top w:type="dxa" w:w="50"/>
              <w:left w:type="dxa" w:w="120"/>
              <w:bottom w:type="dxa" w:w="50"/>
              <w:right w:type="dxa" w:w="120"/>
            </w:tcMar>
          </w:tcPr>
          <w:p>
            <w:r>
              <w:rPr>
                <w:rFonts w:ascii="Times New Roman"/>
                <w:color w:val="2C2C2C"/>
                <w:sz w:val="21"/>
                <w:szCs w:val="21"/>
              </w:rPr>
              <w:t xml:space="preserve">File</w:t>
            </w:r>
          </w:p>
        </w:tc>
        <w:tc>
          <w:tcPr>
            <w:tcW w:type="pct" w:w="53%"/>
            <w:tcMar>
              <w:top w:type="dxa" w:w="50"/>
              <w:left w:type="dxa" w:w="120"/>
              <w:bottom w:type="dxa" w:w="50"/>
              <w:right w:type="dxa" w:w="120"/>
            </w:tcMar>
          </w:tcPr>
          <w:p>
            <w:r>
              <w:rPr>
                <w:rFonts w:ascii="Times New Roman"/>
                <w:color w:val="2C2C2C"/>
                <w:sz w:val="21"/>
                <w:szCs w:val="21"/>
              </w:rPr>
              <w:t xml:space="preserve">TUI package marker</w:t>
            </w:r>
          </w:p>
        </w:tc>
      </w:tr>
      <w:tr>
        <w:trPr>
          <w:cantSplit/>
        </w:trPr>
        <w:tc>
          <w:tcPr>
            <w:tcW w:type="pct" w:w="35%"/>
            <w:shd w:fill="F8F0EB" w:val="clear"/>
            <w:tcMar>
              <w:top w:type="dxa" w:w="50"/>
              <w:left w:type="dxa" w:w="120"/>
              <w:bottom w:type="dxa" w:w="50"/>
              <w:right w:type="dxa" w:w="120"/>
            </w:tcMar>
          </w:tcPr>
          <w:p>
            <w:r>
              <w:rPr>
                <w:rFonts w:ascii="Times New Roman"/>
                <w:color w:val="2C2C2C"/>
                <w:sz w:val="21"/>
                <w:szCs w:val="21"/>
              </w:rPr>
              <w:t xml:space="preserve">tui/display.py</w:t>
            </w:r>
          </w:p>
        </w:tc>
        <w:tc>
          <w:tcPr>
            <w:tcW w:type="pct" w:w="12%"/>
            <w:shd w:fill="F8F0EB" w:val="clear"/>
            <w:tcMar>
              <w:top w:type="dxa" w:w="50"/>
              <w:left w:type="dxa" w:w="120"/>
              <w:bottom w:type="dxa" w:w="50"/>
              <w:right w:type="dxa" w:w="120"/>
            </w:tcMar>
          </w:tcPr>
          <w:p>
            <w:r>
              <w:rPr>
                <w:rFonts w:ascii="Times New Roman"/>
                <w:color w:val="2C2C2C"/>
                <w:sz w:val="21"/>
                <w:szCs w:val="21"/>
              </w:rPr>
              <w:t xml:space="preserve">File</w:t>
            </w:r>
          </w:p>
        </w:tc>
        <w:tc>
          <w:tcPr>
            <w:tcW w:type="pct" w:w="53%"/>
            <w:shd w:fill="F8F0EB" w:val="clear"/>
            <w:tcMar>
              <w:top w:type="dxa" w:w="50"/>
              <w:left w:type="dxa" w:w="120"/>
              <w:bottom w:type="dxa" w:w="50"/>
              <w:right w:type="dxa" w:w="120"/>
            </w:tcMar>
          </w:tcPr>
          <w:p>
            <w:r>
              <w:rPr>
                <w:rFonts w:ascii="Times New Roman"/>
                <w:color w:val="2C2C2C"/>
                <w:sz w:val="21"/>
                <w:szCs w:val="21"/>
              </w:rPr>
              <w:t xml:space="preserve">Rich-based output formatting and progress</w:t>
            </w:r>
          </w:p>
        </w:tc>
      </w:tr>
      <w:tr>
        <w:trPr>
          <w:cantSplit/>
        </w:trPr>
        <w:tc>
          <w:tcPr>
            <w:tcW w:type="pct" w:w="35%"/>
            <w:tcMar>
              <w:top w:type="dxa" w:w="50"/>
              <w:left w:type="dxa" w:w="120"/>
              <w:bottom w:type="dxa" w:w="50"/>
              <w:right w:type="dxa" w:w="120"/>
            </w:tcMar>
          </w:tcPr>
          <w:p>
            <w:r>
              <w:rPr>
                <w:rFonts w:ascii="Times New Roman"/>
                <w:color w:val="2C2C2C"/>
                <w:sz w:val="21"/>
                <w:szCs w:val="21"/>
              </w:rPr>
              <w:t xml:space="preserve">tui/wizard.py</w:t>
            </w:r>
          </w:p>
        </w:tc>
        <w:tc>
          <w:tcPr>
            <w:tcW w:type="pct" w:w="12%"/>
            <w:tcMar>
              <w:top w:type="dxa" w:w="50"/>
              <w:left w:type="dxa" w:w="120"/>
              <w:bottom w:type="dxa" w:w="50"/>
              <w:right w:type="dxa" w:w="120"/>
            </w:tcMar>
          </w:tcPr>
          <w:p>
            <w:r>
              <w:rPr>
                <w:rFonts w:ascii="Times New Roman"/>
                <w:color w:val="2C2C2C"/>
                <w:sz w:val="21"/>
                <w:szCs w:val="21"/>
              </w:rPr>
              <w:t xml:space="preserve">File</w:t>
            </w:r>
          </w:p>
        </w:tc>
        <w:tc>
          <w:tcPr>
            <w:tcW w:type="pct" w:w="53%"/>
            <w:tcMar>
              <w:top w:type="dxa" w:w="50"/>
              <w:left w:type="dxa" w:w="120"/>
              <w:bottom w:type="dxa" w:w="50"/>
              <w:right w:type="dxa" w:w="120"/>
            </w:tcMar>
          </w:tcPr>
          <w:p>
            <w:r>
              <w:rPr>
                <w:rFonts w:ascii="Times New Roman"/>
                <w:color w:val="2C2C2C"/>
                <w:sz w:val="21"/>
                <w:szCs w:val="21"/>
              </w:rPr>
              <w:t xml:space="preserve">Interactive config creation wizard</w:t>
            </w:r>
          </w:p>
        </w:tc>
      </w:tr>
      <w:tr>
        <w:trPr>
          <w:cantSplit/>
        </w:trPr>
        <w:tc>
          <w:tcPr>
            <w:tcW w:type="pct" w:w="35%"/>
            <w:shd w:fill="F8F0EB" w:val="clear"/>
            <w:tcMar>
              <w:top w:type="dxa" w:w="50"/>
              <w:left w:type="dxa" w:w="120"/>
              <w:bottom w:type="dxa" w:w="50"/>
              <w:right w:type="dxa" w:w="120"/>
            </w:tcMar>
          </w:tcPr>
          <w:p>
            <w:r>
              <w:rPr>
                <w:rFonts w:ascii="Times New Roman"/>
                <w:color w:val="2C2C2C"/>
                <w:sz w:val="21"/>
                <w:szCs w:val="21"/>
              </w:rPr>
              <w:t xml:space="preserve">plugins/</w:t>
            </w:r>
          </w:p>
        </w:tc>
        <w:tc>
          <w:tcPr>
            <w:tcW w:type="pct" w:w="12%"/>
            <w:shd w:fill="F8F0EB" w:val="clear"/>
            <w:tcMar>
              <w:top w:type="dxa" w:w="50"/>
              <w:left w:type="dxa" w:w="120"/>
              <w:bottom w:type="dxa" w:w="50"/>
              <w:right w:type="dxa" w:w="120"/>
            </w:tcMar>
          </w:tcPr>
          <w:p>
            <w:r>
              <w:rPr>
                <w:rFonts w:ascii="Times New Roman"/>
                <w:color w:val="2C2C2C"/>
                <w:sz w:val="21"/>
                <w:szCs w:val="21"/>
              </w:rPr>
              <w:t xml:space="preserve">Directory</w:t>
            </w:r>
          </w:p>
        </w:tc>
        <w:tc>
          <w:tcPr>
            <w:tcW w:type="pct" w:w="53%"/>
            <w:shd w:fill="F8F0EB" w:val="clear"/>
            <w:tcMar>
              <w:top w:type="dxa" w:w="50"/>
              <w:left w:type="dxa" w:w="120"/>
              <w:bottom w:type="dxa" w:w="50"/>
              <w:right w:type="dxa" w:w="120"/>
            </w:tcMar>
          </w:tcPr>
          <w:p>
            <w:r>
              <w:rPr>
                <w:rFonts w:ascii="Times New Roman"/>
                <w:color w:val="2C2C2C"/>
                <w:sz w:val="21"/>
                <w:szCs w:val="21"/>
              </w:rPr>
              <w:t xml:space="preserve">User plugin drop-in directory</w:t>
            </w:r>
          </w:p>
        </w:tc>
      </w:tr>
      <w:tr>
        <w:trPr>
          <w:cantSplit/>
        </w:trPr>
        <w:tc>
          <w:tcPr>
            <w:tcW w:type="pct" w:w="35%"/>
            <w:tcMar>
              <w:top w:type="dxa" w:w="50"/>
              <w:left w:type="dxa" w:w="120"/>
              <w:bottom w:type="dxa" w:w="50"/>
              <w:right w:type="dxa" w:w="120"/>
            </w:tcMar>
          </w:tcPr>
          <w:p>
            <w:r>
              <w:rPr>
                <w:rFonts w:ascii="Times New Roman"/>
                <w:color w:val="2C2C2C"/>
                <w:sz w:val="21"/>
                <w:szCs w:val="21"/>
              </w:rPr>
              <w:t xml:space="preserve">templates/</w:t>
            </w:r>
          </w:p>
        </w:tc>
        <w:tc>
          <w:tcPr>
            <w:tcW w:type="pct" w:w="12%"/>
            <w:tcMar>
              <w:top w:type="dxa" w:w="50"/>
              <w:left w:type="dxa" w:w="120"/>
              <w:bottom w:type="dxa" w:w="50"/>
              <w:right w:type="dxa" w:w="120"/>
            </w:tcMar>
          </w:tcPr>
          <w:p>
            <w:r>
              <w:rPr>
                <w:rFonts w:ascii="Times New Roman"/>
                <w:color w:val="2C2C2C"/>
                <w:sz w:val="21"/>
                <w:szCs w:val="21"/>
              </w:rPr>
              <w:t xml:space="preserve">Directory</w:t>
            </w:r>
          </w:p>
        </w:tc>
        <w:tc>
          <w:tcPr>
            <w:tcW w:type="pct" w:w="53%"/>
            <w:tcMar>
              <w:top w:type="dxa" w:w="50"/>
              <w:left w:type="dxa" w:w="120"/>
              <w:bottom w:type="dxa" w:w="50"/>
              <w:right w:type="dxa" w:w="120"/>
            </w:tcMar>
          </w:tcPr>
          <w:p>
            <w:r>
              <w:rPr>
                <w:rFonts w:ascii="Times New Roman"/>
                <w:color w:val="2C2C2C"/>
                <w:sz w:val="21"/>
                <w:szCs w:val="21"/>
              </w:rPr>
              <w:t xml:space="preserve">HTML and Markdown report templates</w:t>
            </w:r>
          </w:p>
        </w:tc>
      </w:tr>
      <w:tr>
        <w:trPr>
          <w:cantSplit/>
        </w:trPr>
        <w:tc>
          <w:tcPr>
            <w:tcW w:type="pct" w:w="35%"/>
            <w:shd w:fill="F8F0EB" w:val="clear"/>
            <w:tcMar>
              <w:top w:type="dxa" w:w="50"/>
              <w:left w:type="dxa" w:w="120"/>
              <w:bottom w:type="dxa" w:w="50"/>
              <w:right w:type="dxa" w:w="120"/>
            </w:tcMar>
          </w:tcPr>
          <w:p>
            <w:r>
              <w:rPr>
                <w:rFonts w:ascii="Times New Roman"/>
                <w:color w:val="2C2C2C"/>
                <w:sz w:val="21"/>
                <w:szCs w:val="21"/>
              </w:rPr>
              <w:t xml:space="preserve">templates/report.html</w:t>
            </w:r>
          </w:p>
        </w:tc>
        <w:tc>
          <w:tcPr>
            <w:tcW w:type="pct" w:w="12%"/>
            <w:shd w:fill="F8F0EB" w:val="clear"/>
            <w:tcMar>
              <w:top w:type="dxa" w:w="50"/>
              <w:left w:type="dxa" w:w="120"/>
              <w:bottom w:type="dxa" w:w="50"/>
              <w:right w:type="dxa" w:w="120"/>
            </w:tcMar>
          </w:tcPr>
          <w:p>
            <w:r>
              <w:rPr>
                <w:rFonts w:ascii="Times New Roman"/>
                <w:color w:val="2C2C2C"/>
                <w:sz w:val="21"/>
                <w:szCs w:val="21"/>
              </w:rPr>
              <w:t xml:space="preserve">File</w:t>
            </w:r>
          </w:p>
        </w:tc>
        <w:tc>
          <w:tcPr>
            <w:tcW w:type="pct" w:w="53%"/>
            <w:shd w:fill="F8F0EB" w:val="clear"/>
            <w:tcMar>
              <w:top w:type="dxa" w:w="50"/>
              <w:left w:type="dxa" w:w="120"/>
              <w:bottom w:type="dxa" w:w="50"/>
              <w:right w:type="dxa" w:w="120"/>
            </w:tcMar>
          </w:tcPr>
          <w:p>
            <w:r>
              <w:rPr>
                <w:rFonts w:ascii="Times New Roman"/>
                <w:color w:val="2C2C2C"/>
                <w:sz w:val="21"/>
                <w:szCs w:val="21"/>
              </w:rPr>
              <w:t xml:space="preserve">Default HTML report template</w:t>
            </w:r>
          </w:p>
        </w:tc>
      </w:tr>
      <w:tr>
        <w:trPr>
          <w:cantSplit/>
        </w:trPr>
        <w:tc>
          <w:tcPr>
            <w:tcW w:type="pct" w:w="35%"/>
            <w:tcMar>
              <w:top w:type="dxa" w:w="50"/>
              <w:left w:type="dxa" w:w="120"/>
              <w:bottom w:type="dxa" w:w="50"/>
              <w:right w:type="dxa" w:w="120"/>
            </w:tcMar>
          </w:tcPr>
          <w:p>
            <w:r>
              <w:rPr>
                <w:rFonts w:ascii="Times New Roman"/>
                <w:color w:val="2C2C2C"/>
                <w:sz w:val="21"/>
                <w:szCs w:val="21"/>
              </w:rPr>
              <w:t xml:space="preserve">templates/report.md</w:t>
            </w:r>
          </w:p>
        </w:tc>
        <w:tc>
          <w:tcPr>
            <w:tcW w:type="pct" w:w="12%"/>
            <w:tcMar>
              <w:top w:type="dxa" w:w="50"/>
              <w:left w:type="dxa" w:w="120"/>
              <w:bottom w:type="dxa" w:w="50"/>
              <w:right w:type="dxa" w:w="120"/>
            </w:tcMar>
          </w:tcPr>
          <w:p>
            <w:r>
              <w:rPr>
                <w:rFonts w:ascii="Times New Roman"/>
                <w:color w:val="2C2C2C"/>
                <w:sz w:val="21"/>
                <w:szCs w:val="21"/>
              </w:rPr>
              <w:t xml:space="preserve">File</w:t>
            </w:r>
          </w:p>
        </w:tc>
        <w:tc>
          <w:tcPr>
            <w:tcW w:type="pct" w:w="53%"/>
            <w:tcMar>
              <w:top w:type="dxa" w:w="50"/>
              <w:left w:type="dxa" w:w="120"/>
              <w:bottom w:type="dxa" w:w="50"/>
              <w:right w:type="dxa" w:w="120"/>
            </w:tcMar>
          </w:tcPr>
          <w:p>
            <w:r>
              <w:rPr>
                <w:rFonts w:ascii="Times New Roman"/>
                <w:color w:val="2C2C2C"/>
                <w:sz w:val="21"/>
                <w:szCs w:val="21"/>
              </w:rPr>
              <w:t xml:space="preserve">Default Markdown report template</w:t>
            </w:r>
          </w:p>
        </w:tc>
      </w:tr>
      <w:tr>
        <w:trPr>
          <w:cantSplit/>
        </w:trPr>
        <w:tc>
          <w:tcPr>
            <w:tcW w:type="pct" w:w="35%"/>
            <w:shd w:fill="F8F0EB" w:val="clear"/>
            <w:tcMar>
              <w:top w:type="dxa" w:w="50"/>
              <w:left w:type="dxa" w:w="120"/>
              <w:bottom w:type="dxa" w:w="50"/>
              <w:right w:type="dxa" w:w="120"/>
            </w:tcMar>
          </w:tcPr>
          <w:p>
            <w:r>
              <w:rPr>
                <w:rFonts w:ascii="Times New Roman"/>
                <w:color w:val="2C2C2C"/>
                <w:sz w:val="21"/>
                <w:szCs w:val="21"/>
              </w:rPr>
              <w:t xml:space="preserve">css/</w:t>
            </w:r>
          </w:p>
        </w:tc>
        <w:tc>
          <w:tcPr>
            <w:tcW w:type="pct" w:w="12%"/>
            <w:shd w:fill="F8F0EB" w:val="clear"/>
            <w:tcMar>
              <w:top w:type="dxa" w:w="50"/>
              <w:left w:type="dxa" w:w="120"/>
              <w:bottom w:type="dxa" w:w="50"/>
              <w:right w:type="dxa" w:w="120"/>
            </w:tcMar>
          </w:tcPr>
          <w:p>
            <w:r>
              <w:rPr>
                <w:rFonts w:ascii="Times New Roman"/>
                <w:color w:val="2C2C2C"/>
                <w:sz w:val="21"/>
                <w:szCs w:val="21"/>
              </w:rPr>
              <w:t xml:space="preserve">Directory</w:t>
            </w:r>
          </w:p>
        </w:tc>
        <w:tc>
          <w:tcPr>
            <w:tcW w:type="pct" w:w="53%"/>
            <w:shd w:fill="F8F0EB" w:val="clear"/>
            <w:tcMar>
              <w:top w:type="dxa" w:w="50"/>
              <w:left w:type="dxa" w:w="120"/>
              <w:bottom w:type="dxa" w:w="50"/>
              <w:right w:type="dxa" w:w="120"/>
            </w:tcMar>
          </w:tcPr>
          <w:p>
            <w:r>
              <w:rPr>
                <w:rFonts w:ascii="Times New Roman"/>
                <w:color w:val="2C2C2C"/>
                <w:sz w:val="21"/>
                <w:szCs w:val="21"/>
              </w:rPr>
              <w:t xml:space="preserve">User-supplied CSS overrides</w:t>
            </w:r>
          </w:p>
        </w:tc>
      </w:tr>
      <w:tr>
        <w:trPr>
          <w:cantSplit/>
        </w:trPr>
        <w:tc>
          <w:tcPr>
            <w:tcW w:type="pct" w:w="35%"/>
            <w:tcMar>
              <w:top w:type="dxa" w:w="50"/>
              <w:left w:type="dxa" w:w="120"/>
              <w:bottom w:type="dxa" w:w="50"/>
              <w:right w:type="dxa" w:w="120"/>
            </w:tcMar>
          </w:tcPr>
          <w:p>
            <w:r>
              <w:rPr>
                <w:rFonts w:ascii="Times New Roman"/>
                <w:color w:val="2C2C2C"/>
                <w:sz w:val="21"/>
                <w:szCs w:val="21"/>
              </w:rPr>
              <w:t xml:space="preserve">output/</w:t>
            </w:r>
          </w:p>
        </w:tc>
        <w:tc>
          <w:tcPr>
            <w:tcW w:type="pct" w:w="12%"/>
            <w:tcMar>
              <w:top w:type="dxa" w:w="50"/>
              <w:left w:type="dxa" w:w="120"/>
              <w:bottom w:type="dxa" w:w="50"/>
              <w:right w:type="dxa" w:w="120"/>
            </w:tcMar>
          </w:tcPr>
          <w:p>
            <w:r>
              <w:rPr>
                <w:rFonts w:ascii="Times New Roman"/>
                <w:color w:val="2C2C2C"/>
                <w:sz w:val="21"/>
                <w:szCs w:val="21"/>
              </w:rPr>
              <w:t xml:space="preserve">Directory</w:t>
            </w:r>
          </w:p>
        </w:tc>
        <w:tc>
          <w:tcPr>
            <w:tcW w:type="pct" w:w="53%"/>
            <w:tcMar>
              <w:top w:type="dxa" w:w="50"/>
              <w:left w:type="dxa" w:w="120"/>
              <w:bottom w:type="dxa" w:w="50"/>
              <w:right w:type="dxa" w:w="120"/>
            </w:tcMar>
          </w:tcPr>
          <w:p>
            <w:r>
              <w:rPr>
                <w:rFonts w:ascii="Times New Roman"/>
                <w:color w:val="2C2C2C"/>
                <w:sz w:val="21"/>
                <w:szCs w:val="21"/>
              </w:rPr>
              <w:t xml:space="preserve">Generated reports and log files</w:t>
            </w:r>
          </w:p>
        </w:tc>
      </w:tr>
    </w:tbl>
    <w:p>
      <w:pPr>
        <w:spacing w:after="60"/>
      </w:pPr>
    </w:p>
    <w:p>
      <w:pPr>
        <w:pStyle w:val="Heading1"/>
        <w:spacing w:after="200" w:before="480" w:line="312"/>
      </w:pPr>
      <w:bookmarkStart w:id="100077" w:name="_Toc100077"/>
      <w:r>
        <w:rPr>
          <w:rFonts w:ascii="Times New Roman"/>
          <w:b/>
          <w:bCs/>
          <w:color w:val="D4875A"/>
          <w:sz w:val="32"/>
          <w:szCs w:val="32"/>
        </w:rPr>
        <w:t xml:space="preserve">15. Dependency Matrix</w:t>
      </w:r>
      <w:bookmarkEnd w:id="100077"/>
    </w:p>
    <w:p>
      <w:pPr>
        <w:spacing w:after="120" w:line="312"/>
        <w:jc w:val="both"/>
      </w:pPr>
      <w:r>
        <w:rPr>
          <w:rFonts w:ascii="Times New Roman"/>
          <w:color w:val="2C2C2C"/>
          <w:sz w:val="24"/>
          <w:szCs w:val="24"/>
        </w:rPr>
        <w:t xml:space="preserve">The following table lists all Python dependencies required by the pipeline, along with their minimum versions, primary purpose, and whether they are required or optional. All dependencies are managed through the requirements.txt file, and the pipeline validates that minimum version requirements are met at startup.</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b/>
                <w:bCs/>
                <w:color w:val="FFFFFF"/>
                <w:sz w:val="21"/>
                <w:szCs w:val="21"/>
              </w:rPr>
              <w:t xml:space="preserve">Package</w:t>
            </w:r>
          </w:p>
        </w:tc>
        <w:tc>
          <w:tcPr>
            <w:tcW w:type="pct" w:w="15%"/>
            <w:shd w:fill="D4875A" w:val="clear"/>
            <w:tcMar>
              <w:top w:type="dxa" w:w="60"/>
              <w:left w:type="dxa" w:w="120"/>
              <w:bottom w:type="dxa" w:w="60"/>
              <w:right w:type="dxa" w:w="120"/>
            </w:tcMar>
          </w:tcPr>
          <w:p>
            <w:r>
              <w:rPr>
                <w:rFonts w:ascii="Times New Roman"/>
                <w:b/>
                <w:bCs/>
                <w:color w:val="FFFFFF"/>
                <w:sz w:val="21"/>
                <w:szCs w:val="21"/>
              </w:rPr>
              <w:t xml:space="preserve">Min Version</w:t>
            </w:r>
          </w:p>
        </w:tc>
        <w:tc>
          <w:tcPr>
            <w:tcW w:type="pct" w:w="40%"/>
            <w:shd w:fill="D4875A" w:val="clear"/>
            <w:tcMar>
              <w:top w:type="dxa" w:w="60"/>
              <w:left w:type="dxa" w:w="120"/>
              <w:bottom w:type="dxa" w:w="60"/>
              <w:right w:type="dxa" w:w="120"/>
            </w:tcMar>
          </w:tcPr>
          <w:p>
            <w:r>
              <w:rPr>
                <w:rFonts w:ascii="Times New Roman"/>
                <w:b/>
                <w:bCs/>
                <w:color w:val="FFFFFF"/>
                <w:sz w:val="21"/>
                <w:szCs w:val="21"/>
              </w:rPr>
              <w:t xml:space="preserve">Purpose</w:t>
            </w:r>
          </w:p>
        </w:tc>
        <w:tc>
          <w:tcPr>
            <w:tcW w:type="pct" w:w="15%"/>
            <w:shd w:fill="D4875A" w:val="clear"/>
            <w:tcMar>
              <w:top w:type="dxa" w:w="60"/>
              <w:left w:type="dxa" w:w="120"/>
              <w:bottom w:type="dxa" w:w="60"/>
              <w:right w:type="dxa" w:w="120"/>
            </w:tcMar>
          </w:tcPr>
          <w:p>
            <w:r>
              <w:rPr>
                <w:rFonts w:ascii="Times New Roman"/>
                <w:b/>
                <w:bCs/>
                <w:color w:val="FFFFFF"/>
                <w:sz w:val="21"/>
                <w:szCs w:val="21"/>
              </w:rPr>
              <w:t xml:space="preserve">Required</w:t>
            </w:r>
          </w:p>
        </w:tc>
      </w:tr>
      <w:tr>
        <w:trPr>
          <w:cantSplit/>
        </w:trPr>
        <w:tc>
          <w:tcPr>
            <w:tcW w:type="pct" w:w="20%"/>
            <w:tcMar>
              <w:top w:type="dxa" w:w="50"/>
              <w:left w:type="dxa" w:w="120"/>
              <w:bottom w:type="dxa" w:w="50"/>
              <w:right w:type="dxa" w:w="120"/>
            </w:tcMar>
          </w:tcPr>
          <w:p>
            <w:r>
              <w:rPr>
                <w:rFonts w:ascii="Times New Roman"/>
                <w:color w:val="2C2C2C"/>
                <w:sz w:val="21"/>
                <w:szCs w:val="21"/>
              </w:rPr>
              <w:t xml:space="preserve">pandas</w:t>
            </w:r>
          </w:p>
        </w:tc>
        <w:tc>
          <w:tcPr>
            <w:tcW w:type="pct" w:w="15%"/>
            <w:tcMar>
              <w:top w:type="dxa" w:w="50"/>
              <w:left w:type="dxa" w:w="120"/>
              <w:bottom w:type="dxa" w:w="50"/>
              <w:right w:type="dxa" w:w="120"/>
            </w:tcMar>
          </w:tcPr>
          <w:p>
            <w:r>
              <w:rPr>
                <w:rFonts w:ascii="Times New Roman"/>
                <w:color w:val="2C2C2C"/>
                <w:sz w:val="21"/>
                <w:szCs w:val="21"/>
              </w:rPr>
              <w:t xml:space="preserve">2.0</w:t>
            </w:r>
          </w:p>
        </w:tc>
        <w:tc>
          <w:tcPr>
            <w:tcW w:type="pct" w:w="40%"/>
            <w:tcMar>
              <w:top w:type="dxa" w:w="50"/>
              <w:left w:type="dxa" w:w="120"/>
              <w:bottom w:type="dxa" w:w="50"/>
              <w:right w:type="dxa" w:w="120"/>
            </w:tcMar>
          </w:tcPr>
          <w:p>
            <w:r>
              <w:rPr>
                <w:rFonts w:ascii="Times New Roman"/>
                <w:color w:val="2C2C2C"/>
                <w:sz w:val="21"/>
                <w:szCs w:val="21"/>
              </w:rPr>
              <w:t xml:space="preserve">Data processing, DataFrame operations</w:t>
            </w:r>
          </w:p>
        </w:tc>
        <w:tc>
          <w:tcPr>
            <w:tcW w:type="pct" w:w="15%"/>
            <w:tcMar>
              <w:top w:type="dxa" w:w="50"/>
              <w:left w:type="dxa" w:w="120"/>
              <w:bottom w:type="dxa" w:w="50"/>
              <w:right w:type="dxa" w:w="120"/>
            </w:tcMar>
          </w:tcPr>
          <w:p>
            <w:r>
              <w:rPr>
                <w:rFonts w:ascii="Times New Roman"/>
                <w:color w:val="2C2C2C"/>
                <w:sz w:val="21"/>
                <w:szCs w:val="21"/>
              </w:rPr>
              <w:t xml:space="preserve">Yes</w:t>
            </w:r>
          </w:p>
        </w:tc>
      </w:tr>
      <w:tr>
        <w:trPr>
          <w:cantSplit/>
        </w:trPr>
        <w:tc>
          <w:tcPr>
            <w:tcW w:type="pct" w:w="20%"/>
            <w:shd w:fill="F8F0EB" w:val="clear"/>
            <w:tcMar>
              <w:top w:type="dxa" w:w="50"/>
              <w:left w:type="dxa" w:w="120"/>
              <w:bottom w:type="dxa" w:w="50"/>
              <w:right w:type="dxa" w:w="120"/>
            </w:tcMar>
          </w:tcPr>
          <w:p>
            <w:r>
              <w:rPr>
                <w:rFonts w:ascii="Times New Roman"/>
                <w:color w:val="2C2C2C"/>
                <w:sz w:val="21"/>
                <w:szCs w:val="21"/>
              </w:rPr>
              <w:t xml:space="preserve">rich</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13.0</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TUI display, tables, progress bars</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Yes</w:t>
            </w:r>
          </w:p>
        </w:tc>
      </w:tr>
      <w:tr>
        <w:trPr>
          <w:cantSplit/>
        </w:trPr>
        <w:tc>
          <w:tcPr>
            <w:tcW w:type="pct" w:w="20%"/>
            <w:tcMar>
              <w:top w:type="dxa" w:w="50"/>
              <w:left w:type="dxa" w:w="120"/>
              <w:bottom w:type="dxa" w:w="50"/>
              <w:right w:type="dxa" w:w="120"/>
            </w:tcMar>
          </w:tcPr>
          <w:p>
            <w:r>
              <w:rPr>
                <w:rFonts w:ascii="Times New Roman"/>
                <w:color w:val="2C2C2C"/>
                <w:sz w:val="21"/>
                <w:szCs w:val="21"/>
              </w:rPr>
              <w:t xml:space="preserve">click</w:t>
            </w:r>
          </w:p>
        </w:tc>
        <w:tc>
          <w:tcPr>
            <w:tcW w:type="pct" w:w="15%"/>
            <w:tcMar>
              <w:top w:type="dxa" w:w="50"/>
              <w:left w:type="dxa" w:w="120"/>
              <w:bottom w:type="dxa" w:w="50"/>
              <w:right w:type="dxa" w:w="120"/>
            </w:tcMar>
          </w:tcPr>
          <w:p>
            <w:r>
              <w:rPr>
                <w:rFonts w:ascii="Times New Roman"/>
                <w:color w:val="2C2C2C"/>
                <w:sz w:val="21"/>
                <w:szCs w:val="21"/>
              </w:rPr>
              <w:t xml:space="preserve">8.0</w:t>
            </w:r>
          </w:p>
        </w:tc>
        <w:tc>
          <w:tcPr>
            <w:tcW w:type="pct" w:w="40%"/>
            <w:tcMar>
              <w:top w:type="dxa" w:w="50"/>
              <w:left w:type="dxa" w:w="120"/>
              <w:bottom w:type="dxa" w:w="50"/>
              <w:right w:type="dxa" w:w="120"/>
            </w:tcMar>
          </w:tcPr>
          <w:p>
            <w:r>
              <w:rPr>
                <w:rFonts w:ascii="Times New Roman"/>
                <w:color w:val="2C2C2C"/>
                <w:sz w:val="21"/>
                <w:szCs w:val="21"/>
              </w:rPr>
              <w:t xml:space="preserve">CLI framework and argument parsing</w:t>
            </w:r>
          </w:p>
        </w:tc>
        <w:tc>
          <w:tcPr>
            <w:tcW w:type="pct" w:w="15%"/>
            <w:tcMar>
              <w:top w:type="dxa" w:w="50"/>
              <w:left w:type="dxa" w:w="120"/>
              <w:bottom w:type="dxa" w:w="50"/>
              <w:right w:type="dxa" w:w="120"/>
            </w:tcMar>
          </w:tcPr>
          <w:p>
            <w:r>
              <w:rPr>
                <w:rFonts w:ascii="Times New Roman"/>
                <w:color w:val="2C2C2C"/>
                <w:sz w:val="21"/>
                <w:szCs w:val="21"/>
              </w:rPr>
              <w:t xml:space="preserve">Yes</w:t>
            </w:r>
          </w:p>
        </w:tc>
      </w:tr>
      <w:tr>
        <w:trPr>
          <w:cantSplit/>
        </w:trPr>
        <w:tc>
          <w:tcPr>
            <w:tcW w:type="pct" w:w="20%"/>
            <w:shd w:fill="F8F0EB" w:val="clear"/>
            <w:tcMar>
              <w:top w:type="dxa" w:w="50"/>
              <w:left w:type="dxa" w:w="120"/>
              <w:bottom w:type="dxa" w:w="50"/>
              <w:right w:type="dxa" w:w="120"/>
            </w:tcMar>
          </w:tcPr>
          <w:p>
            <w:r>
              <w:rPr>
                <w:rFonts w:ascii="Times New Roman"/>
                <w:color w:val="2C2C2C"/>
                <w:sz w:val="21"/>
                <w:szCs w:val="21"/>
              </w:rPr>
              <w:t xml:space="preserve">prompt_toolkit</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3.0</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Interactive prompts and autocompletion</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Yes</w:t>
            </w:r>
          </w:p>
        </w:tc>
      </w:tr>
      <w:tr>
        <w:trPr>
          <w:cantSplit/>
        </w:trPr>
        <w:tc>
          <w:tcPr>
            <w:tcW w:type="pct" w:w="20%"/>
            <w:tcMar>
              <w:top w:type="dxa" w:w="50"/>
              <w:left w:type="dxa" w:w="120"/>
              <w:bottom w:type="dxa" w:w="50"/>
              <w:right w:type="dxa" w:w="120"/>
            </w:tcMar>
          </w:tcPr>
          <w:p>
            <w:r>
              <w:rPr>
                <w:rFonts w:ascii="Times New Roman"/>
                <w:color w:val="2C2C2C"/>
                <w:sz w:val="21"/>
                <w:szCs w:val="21"/>
              </w:rPr>
              <w:t xml:space="preserve">PyYAML</w:t>
            </w:r>
          </w:p>
        </w:tc>
        <w:tc>
          <w:tcPr>
            <w:tcW w:type="pct" w:w="15%"/>
            <w:tcMar>
              <w:top w:type="dxa" w:w="50"/>
              <w:left w:type="dxa" w:w="120"/>
              <w:bottom w:type="dxa" w:w="50"/>
              <w:right w:type="dxa" w:w="120"/>
            </w:tcMar>
          </w:tcPr>
          <w:p>
            <w:r>
              <w:rPr>
                <w:rFonts w:ascii="Times New Roman"/>
                <w:color w:val="2C2C2C"/>
                <w:sz w:val="21"/>
                <w:szCs w:val="21"/>
              </w:rPr>
              <w:t xml:space="preserve">6.0</w:t>
            </w:r>
          </w:p>
        </w:tc>
        <w:tc>
          <w:tcPr>
            <w:tcW w:type="pct" w:w="40%"/>
            <w:tcMar>
              <w:top w:type="dxa" w:w="50"/>
              <w:left w:type="dxa" w:w="120"/>
              <w:bottom w:type="dxa" w:w="50"/>
              <w:right w:type="dxa" w:w="120"/>
            </w:tcMar>
          </w:tcPr>
          <w:p>
            <w:r>
              <w:rPr>
                <w:rFonts w:ascii="Times New Roman"/>
                <w:color w:val="2C2C2C"/>
                <w:sz w:val="21"/>
                <w:szCs w:val="21"/>
              </w:rPr>
              <w:t xml:space="preserve">YAML configuration file parsing</w:t>
            </w:r>
          </w:p>
        </w:tc>
        <w:tc>
          <w:tcPr>
            <w:tcW w:type="pct" w:w="15%"/>
            <w:tcMar>
              <w:top w:type="dxa" w:w="50"/>
              <w:left w:type="dxa" w:w="120"/>
              <w:bottom w:type="dxa" w:w="50"/>
              <w:right w:type="dxa" w:w="120"/>
            </w:tcMar>
          </w:tcPr>
          <w:p>
            <w:r>
              <w:rPr>
                <w:rFonts w:ascii="Times New Roman"/>
                <w:color w:val="2C2C2C"/>
                <w:sz w:val="21"/>
                <w:szCs w:val="21"/>
              </w:rPr>
              <w:t xml:space="preserve">Yes</w:t>
            </w:r>
          </w:p>
        </w:tc>
      </w:tr>
      <w:tr>
        <w:trPr>
          <w:cantSplit/>
        </w:trPr>
        <w:tc>
          <w:tcPr>
            <w:tcW w:type="pct" w:w="20%"/>
            <w:shd w:fill="F8F0EB" w:val="clear"/>
            <w:tcMar>
              <w:top w:type="dxa" w:w="50"/>
              <w:left w:type="dxa" w:w="120"/>
              <w:bottom w:type="dxa" w:w="50"/>
              <w:right w:type="dxa" w:w="120"/>
            </w:tcMar>
          </w:tcPr>
          <w:p>
            <w:r>
              <w:rPr>
                <w:rFonts w:ascii="Times New Roman"/>
                <w:color w:val="2C2C2C"/>
                <w:sz w:val="21"/>
                <w:szCs w:val="21"/>
              </w:rPr>
              <w:t xml:space="preserve">openpyxl</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3.1</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Excel (.xlsx) output generation</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Yes</w:t>
            </w:r>
          </w:p>
        </w:tc>
      </w:tr>
      <w:tr>
        <w:trPr>
          <w:cantSplit/>
        </w:trPr>
        <w:tc>
          <w:tcPr>
            <w:tcW w:type="pct" w:w="20%"/>
            <w:tcMar>
              <w:top w:type="dxa" w:w="50"/>
              <w:left w:type="dxa" w:w="120"/>
              <w:bottom w:type="dxa" w:w="50"/>
              <w:right w:type="dxa" w:w="120"/>
            </w:tcMar>
          </w:tcPr>
          <w:p>
            <w:r>
              <w:rPr>
                <w:rFonts w:ascii="Times New Roman"/>
                <w:color w:val="2C2C2C"/>
                <w:sz w:val="21"/>
                <w:szCs w:val="21"/>
              </w:rPr>
              <w:t xml:space="preserve">chardet</w:t>
            </w:r>
          </w:p>
        </w:tc>
        <w:tc>
          <w:tcPr>
            <w:tcW w:type="pct" w:w="15%"/>
            <w:tcMar>
              <w:top w:type="dxa" w:w="50"/>
              <w:left w:type="dxa" w:w="120"/>
              <w:bottom w:type="dxa" w:w="50"/>
              <w:right w:type="dxa" w:w="120"/>
            </w:tcMar>
          </w:tcPr>
          <w:p>
            <w:r>
              <w:rPr>
                <w:rFonts w:ascii="Times New Roman"/>
                <w:color w:val="2C2C2C"/>
                <w:sz w:val="21"/>
                <w:szCs w:val="21"/>
              </w:rPr>
              <w:t xml:space="preserve">5.0</w:t>
            </w:r>
          </w:p>
        </w:tc>
        <w:tc>
          <w:tcPr>
            <w:tcW w:type="pct" w:w="40%"/>
            <w:tcMar>
              <w:top w:type="dxa" w:w="50"/>
              <w:left w:type="dxa" w:w="120"/>
              <w:bottom w:type="dxa" w:w="50"/>
              <w:right w:type="dxa" w:w="120"/>
            </w:tcMar>
          </w:tcPr>
          <w:p>
            <w:r>
              <w:rPr>
                <w:rFonts w:ascii="Times New Roman"/>
                <w:color w:val="2C2C2C"/>
                <w:sz w:val="21"/>
                <w:szCs w:val="21"/>
              </w:rPr>
              <w:t xml:space="preserve">File encoding auto-detection</w:t>
            </w:r>
          </w:p>
        </w:tc>
        <w:tc>
          <w:tcPr>
            <w:tcW w:type="pct" w:w="15%"/>
            <w:tcMar>
              <w:top w:type="dxa" w:w="50"/>
              <w:left w:type="dxa" w:w="120"/>
              <w:bottom w:type="dxa" w:w="50"/>
              <w:right w:type="dxa" w:w="120"/>
            </w:tcMar>
          </w:tcPr>
          <w:p>
            <w:r>
              <w:rPr>
                <w:rFonts w:ascii="Times New Roman"/>
                <w:color w:val="2C2C2C"/>
                <w:sz w:val="21"/>
                <w:szCs w:val="21"/>
              </w:rPr>
              <w:t xml:space="preserve">Yes</w:t>
            </w:r>
          </w:p>
        </w:tc>
      </w:tr>
      <w:tr>
        <w:trPr>
          <w:cantSplit/>
        </w:trPr>
        <w:tc>
          <w:tcPr>
            <w:tcW w:type="pct" w:w="20%"/>
            <w:shd w:fill="F8F0EB" w:val="clear"/>
            <w:tcMar>
              <w:top w:type="dxa" w:w="50"/>
              <w:left w:type="dxa" w:w="120"/>
              <w:bottom w:type="dxa" w:w="50"/>
              <w:right w:type="dxa" w:w="120"/>
            </w:tcMar>
          </w:tcPr>
          <w:p>
            <w:r>
              <w:rPr>
                <w:rFonts w:ascii="Times New Roman"/>
                <w:color w:val="2C2C2C"/>
                <w:sz w:val="21"/>
                <w:szCs w:val="21"/>
              </w:rPr>
              <w:t xml:space="preserve">jinja2</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3.1</w:t>
            </w:r>
          </w:p>
        </w:tc>
        <w:tc>
          <w:tcPr>
            <w:tcW w:type="pct" w:w="40%"/>
            <w:shd w:fill="F8F0EB" w:val="clear"/>
            <w:tcMar>
              <w:top w:type="dxa" w:w="50"/>
              <w:left w:type="dxa" w:w="120"/>
              <w:bottom w:type="dxa" w:w="50"/>
              <w:right w:type="dxa" w:w="120"/>
            </w:tcMar>
          </w:tcPr>
          <w:p>
            <w:r>
              <w:rPr>
                <w:rFonts w:ascii="Times New Roman"/>
                <w:color w:val="2C2C2C"/>
                <w:sz w:val="21"/>
                <w:szCs w:val="21"/>
              </w:rPr>
              <w:t xml:space="preserve">HTML template rendering</w:t>
            </w:r>
          </w:p>
        </w:tc>
        <w:tc>
          <w:tcPr>
            <w:tcW w:type="pct" w:w="15%"/>
            <w:shd w:fill="F8F0EB" w:val="clear"/>
            <w:tcMar>
              <w:top w:type="dxa" w:w="50"/>
              <w:left w:type="dxa" w:w="120"/>
              <w:bottom w:type="dxa" w:w="50"/>
              <w:right w:type="dxa" w:w="120"/>
            </w:tcMar>
          </w:tcPr>
          <w:p>
            <w:r>
              <w:rPr>
                <w:rFonts w:ascii="Times New Roman"/>
                <w:color w:val="2C2C2C"/>
                <w:sz w:val="21"/>
                <w:szCs w:val="21"/>
              </w:rPr>
              <w:t xml:space="preserve">Optional</w:t>
            </w:r>
          </w:p>
        </w:tc>
      </w:tr>
    </w:tbl>
    <w:p>
      <w:pPr>
        <w:spacing w:after="60"/>
      </w:pPr>
    </w:p>
    <w:p>
      <w:pPr>
        <w:pStyle w:val="Heading1"/>
        <w:spacing w:after="200" w:before="480" w:line="312"/>
      </w:pPr>
      <w:bookmarkStart w:id="100078" w:name="_Toc100078"/>
      <w:r>
        <w:rPr>
          <w:rFonts w:ascii="Times New Roman"/>
          <w:b/>
          <w:bCs/>
          <w:color w:val="D4875A"/>
          <w:sz w:val="32"/>
          <w:szCs w:val="32"/>
        </w:rPr>
        <w:t xml:space="preserve">16. Future Extension Points</w:t>
      </w:r>
      <w:bookmarkEnd w:id="100078"/>
    </w:p>
    <w:p>
      <w:pPr>
        <w:spacing w:after="120" w:line="312"/>
        <w:jc w:val="both"/>
      </w:pPr>
      <w:r>
        <w:rPr>
          <w:rFonts w:ascii="Times New Roman"/>
          <w:color w:val="2C2C2C"/>
          <w:sz w:val="24"/>
          <w:szCs w:val="24"/>
        </w:rPr>
        <w:t xml:space="preserve">The architecture is designed with several extension points that can be activated in future phases without requiring a major refactoring of the codebase. These extension points represent natural evolution paths based on anticipated user needs and technology trends. Each extension point is designed to layer on top of the existing architecture without disrupting the current module interfaces.</w:t>
      </w:r>
    </w:p>
    <w:p>
      <w:pPr>
        <w:pStyle w:val="Heading2"/>
        <w:spacing w:after="160" w:before="360" w:line="312"/>
      </w:pPr>
      <w:bookmarkStart w:id="100079" w:name="_Toc100079"/>
      <w:r>
        <w:rPr>
          <w:rFonts w:ascii="Times New Roman"/>
          <w:b/>
          <w:bCs/>
          <w:color w:val="2C2C2C"/>
          <w:sz w:val="28"/>
          <w:szCs w:val="28"/>
        </w:rPr>
        <w:t xml:space="preserve">16.1 GUI Layer (Phase 2)</w:t>
      </w:r>
      <w:bookmarkEnd w:id="100079"/>
    </w:p>
    <w:p>
      <w:pPr>
        <w:spacing w:after="120" w:line="312"/>
        <w:jc w:val="both"/>
      </w:pPr>
      <w:r>
        <w:rPr>
          <w:rFonts w:ascii="Times New Roman"/>
          <w:color w:val="2C2C2C"/>
          <w:sz w:val="24"/>
          <w:szCs w:val="24"/>
        </w:rPr>
        <w:t xml:space="preserve">The current TUI layer can be supplemented with a graphical user interface built using a web framework such as Flask or FastAPI, paired with a frontend built with React or Vue.js. The GUI would communicate with the core engine through the same PipelineContext API that the TUI uses, meaning no changes to the core engine are needed. The GUI would provide drag-and-drop file uploading, interactive column mapping, real-time preview of comparison results, and a visual configuration editor. The web-based approach ensures cross-platform compatibility without the packaging challenges of native GUI frameworks like Tkinter or PyQt.</w:t>
      </w:r>
    </w:p>
    <w:p>
      <w:pPr>
        <w:pStyle w:val="Heading2"/>
        <w:spacing w:after="160" w:before="360" w:line="312"/>
      </w:pPr>
      <w:bookmarkStart w:id="100080" w:name="_Toc100080"/>
      <w:r>
        <w:rPr>
          <w:rFonts w:ascii="Times New Roman"/>
          <w:b/>
          <w:bCs/>
          <w:color w:val="2C2C2C"/>
          <w:sz w:val="28"/>
          <w:szCs w:val="28"/>
        </w:rPr>
        <w:t xml:space="preserve">16.2 Textual TUI (Phase 2)</w:t>
      </w:r>
      <w:bookmarkEnd w:id="100080"/>
    </w:p>
    <w:p>
      <w:pPr>
        <w:spacing w:after="120" w:line="312"/>
        <w:jc w:val="both"/>
      </w:pPr>
      <w:r>
        <w:rPr>
          <w:rFonts w:ascii="Times New Roman"/>
          <w:color w:val="2C2C2C"/>
          <w:sz w:val="24"/>
          <w:szCs w:val="24"/>
        </w:rPr>
        <w:t xml:space="preserve">For users who prefer a richer terminal experience, the pipeline can be upgraded from rich to textual, the full TUI application framework built by the same team. textual provides interactive widgets including data tables with sorting and filtering, tabbed interfaces, form inputs, and even a built-in CSS layout engine. This upgrade would enable features like interactive browsing of mismatch results, clickable drill-down into specific rows, and a full-screen dashboard view of the comparison results, all within the terminal.</w:t>
      </w:r>
    </w:p>
    <w:p>
      <w:pPr>
        <w:pStyle w:val="Heading2"/>
        <w:spacing w:after="160" w:before="360" w:line="312"/>
      </w:pPr>
      <w:bookmarkStart w:id="100081" w:name="_Toc100081"/>
      <w:r>
        <w:rPr>
          <w:rFonts w:ascii="Times New Roman"/>
          <w:b/>
          <w:bCs/>
          <w:color w:val="2C2C2C"/>
          <w:sz w:val="28"/>
          <w:szCs w:val="28"/>
        </w:rPr>
        <w:t xml:space="preserve">16.3 Database Source Support</w:t>
      </w:r>
      <w:bookmarkEnd w:id="100081"/>
    </w:p>
    <w:p>
      <w:pPr>
        <w:spacing w:after="120" w:line="312"/>
        <w:jc w:val="both"/>
      </w:pPr>
      <w:r>
        <w:rPr>
          <w:rFonts w:ascii="Times New Roman"/>
          <w:color w:val="2C2C2C"/>
          <w:sz w:val="24"/>
          <w:szCs w:val="24"/>
        </w:rPr>
        <w:t xml:space="preserve">The Import Engine can be extended to support direct database connections as data sources, in addition to CSV files. This would allow users to compare data directly from SQL databases (PostgreSQL, MySQL, SQLite) or cloud data warehouses (Snowflake, BigQuery) without first exporting to CSV. The extension would add new source type definitions to the configuration schema (e.g., source.type: 'postgresql') and implement corresponding reader classes that use SQLAlchemy or database-specific connectors to query the data.</w:t>
      </w:r>
    </w:p>
    <w:p>
      <w:pPr>
        <w:pStyle w:val="Heading2"/>
        <w:spacing w:after="160" w:before="360" w:line="312"/>
      </w:pPr>
      <w:bookmarkStart w:id="100082" w:name="_Toc100082"/>
      <w:r>
        <w:rPr>
          <w:rFonts w:ascii="Times New Roman"/>
          <w:b/>
          <w:bCs/>
          <w:color w:val="2C2C2C"/>
          <w:sz w:val="28"/>
          <w:szCs w:val="28"/>
        </w:rPr>
        <w:t xml:space="preserve">16.4 Scheduled Execution</w:t>
      </w:r>
      <w:bookmarkEnd w:id="100082"/>
    </w:p>
    <w:p>
      <w:pPr>
        <w:spacing w:after="120" w:line="312"/>
        <w:jc w:val="both"/>
      </w:pPr>
      <w:r>
        <w:rPr>
          <w:rFonts w:ascii="Times New Roman"/>
          <w:color w:val="2C2C2C"/>
          <w:sz w:val="24"/>
          <w:szCs w:val="24"/>
        </w:rPr>
        <w:t xml:space="preserve">A scheduling system can be added to support recurring comparison jobs, such as daily data quality checks or nightly reconciliation runs. This would integrate with system schedulers (cron on Linux, Task Scheduler on Windows) through a simple configuration option that specifies the execution frequency and the config file to use. The pipeline would then run at the specified intervals and optionally send the generated reports via email or upload them to a shared location.</w:t>
      </w:r>
    </w:p>
    <w:p>
      <w:pPr>
        <w:pStyle w:val="Heading2"/>
        <w:spacing w:after="160" w:before="360" w:line="312"/>
      </w:pPr>
      <w:bookmarkStart w:id="100083" w:name="_Toc100083"/>
      <w:r>
        <w:rPr>
          <w:rFonts w:ascii="Times New Roman"/>
          <w:b/>
          <w:bCs/>
          <w:color w:val="2C2C2C"/>
          <w:sz w:val="28"/>
          <w:szCs w:val="28"/>
        </w:rPr>
        <w:t xml:space="preserve">16.5 Jinja2 Template Customization</w:t>
      </w:r>
      <w:bookmarkEnd w:id="100083"/>
    </w:p>
    <w:p>
      <w:pPr>
        <w:spacing w:after="120" w:line="312"/>
        <w:jc w:val="both"/>
      </w:pPr>
      <w:r>
        <w:rPr>
          <w:rFonts w:ascii="Times New Roman"/>
          <w:color w:val="2C2C2C"/>
          <w:sz w:val="24"/>
          <w:szCs w:val="24"/>
        </w:rPr>
        <w:t xml:space="preserve">Currently held back for future extension, full Jinja2 template support would allow users to create completely custom report layouts for HTML and Markdown output. Users could provide their own Jinja2 template files with access to all pipeline data (comparison results, statistics, configuration), enabling highly specialized report formats tailored to specific business requirements. This extension would add a templates.custom section to the configuration where users can specify their template file paths.</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B6B6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2C2C2C"/>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SimHei"/>
      <w:b/>
      <w:bCs/>
      <w:color w:val="D4875A"/>
      <w:sz w:val="32"/>
      <w:szCs w:val="32"/>
    </w:rPr>
  </w:style>
  <w:style w:type="paragraph" w:styleId="Heading2">
    <w:name w:val="Heading 2"/>
    <w:basedOn w:val="Normal"/>
    <w:next w:val="Normal"/>
    <w:qFormat/>
    <w:pPr>
      <w:spacing w:after="160" w:before="360" w:line="312"/>
      <w:outlineLvl w:val="1"/>
    </w:pPr>
    <w:rPr>
      <w:rFonts w:ascii="Times New Roman" w:eastAsia="SimHei"/>
      <w:b/>
      <w:bCs/>
      <w:color w:val="2C2C2C"/>
      <w:sz w:val="28"/>
      <w:szCs w:val="28"/>
    </w:rPr>
  </w:style>
  <w:style w:type="paragraph" w:styleId="Heading3">
    <w:name w:val="Heading 3"/>
    <w:basedOn w:val="Normal"/>
    <w:next w:val="Normal"/>
    <w:qFormat/>
    <w:pPr>
      <w:spacing w:after="120" w:before="240" w:line="312"/>
      <w:outlineLvl w:val="2"/>
    </w:pPr>
    <w:rPr>
      <w:rFonts w:ascii="Times New Roman" w:eastAsia="SimHei"/>
      <w:b/>
      <w:bCs/>
      <w:color w:val="6B6B6B"/>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2026-04-15T21:09:02.334Z</dcterms:created>
  <dcterms:modified xsi:type="dcterms:W3CDTF">2026-04-15T21:09:02.334Z</dcterms:modified>
</cp:coreProperties>
</file>

<file path=docProps/custom.xml><?xml version="1.0" encoding="utf-8"?>
<Properties xmlns="http://schemas.openxmlformats.org/officeDocument/2006/custom-properties" xmlns:vt="http://schemas.openxmlformats.org/officeDocument/2006/docPropsVTypes"/>
</file>