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99"/>
          <w:sz w:val="40"/>
          <w:szCs w:val="40"/>
        </w:rPr>
        <w:t xml:space="preserve">GREENLIT Arcade</w:t>
      </w:r>
    </w:p>
    <w:p>
      <w:pPr>
        <w:spacing w:after="40"/>
        <w:jc w:val="center"/>
      </w:pPr>
      <w:r>
        <w:rPr>
          <w:b/>
          <w:bCs/>
          <w:sz w:val="26"/>
          <w:szCs w:val="26"/>
        </w:rPr>
        <w:t xml:space="preserve">Mobile &amp; PWA Technical Plan — Revision 2</w:t>
      </w:r>
    </w:p>
    <w:p>
      <w:pPr>
        <w:spacing w:after="300"/>
        <w:jc w:val="center"/>
      </w:pPr>
      <w:r>
        <w:rPr>
          <w:i/>
          <w:iCs/>
          <w:color w:val="6B6472"/>
          <w:sz w:val="20"/>
          <w:szCs w:val="20"/>
        </w:rPr>
        <w:t xml:space="preserve">Supersedes TMDB_Mobile_Game_Technical_Plan.docx. Written against the actual V38.4 repository (index.html, css/app.css, js/v37, js/v38, js/app.js, tests/*.cjs).</w:t>
      </w:r>
    </w:p>
    <w:p>
      <w:pPr>
        <w:pStyle w:val="Heading1"/>
        <w:spacing w:after="140" w:before="320"/>
      </w:pPr>
      <w:r>
        <w:t xml:space="preserve">0. Why this revision exists</w:t>
      </w:r>
    </w:p>
    <w:p>
      <w:pPr>
        <w:spacing w:after="120"/>
      </w:pPr>
      <w:r>
        <w:t xml:space="preserve">The original plan was a generic static-site-to-mobile-PWA migration template. It described a project shape — root index.html plus css/ and js/ folders, .agents/.superpowers workflow files, a docs/ directory — that does not match this repository, and it recommended introducing a bundler, a package.json, and a serverless backend without checking whether the existing code already solved the problems those additions were meant to solve. Several of its “Phase 1” items (backend proxy, response normalization, request caching, timeouts) already exist client-side in js/v37/data-service.js and js/v38/portrait-service.js. This revision keeps the parts of the original plan that still hold up (PWA layer, safe-area/touch conversion, phased delivery) and replaces the parts that would have caused a rewrite or contradicted the project’s own documented design.</w:t>
      </w:r>
    </w:p>
    <w:p>
      <w:pPr>
        <w:pStyle w:val="Heading1"/>
        <w:spacing w:after="140" w:before="320"/>
      </w:pPr>
      <w:r>
        <w:t xml:space="preserve">1. Critique of the original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2A2138" w:val="clear"/>
            <w:tcMar>
              <w:top w:type="dxa" w:w="80"/>
              <w:left w:type="dxa" w:w="100"/>
              <w:bottom w:type="dxa" w:w="80"/>
              <w:right w:type="dxa" w:w="100"/>
            </w:tcMar>
          </w:tcPr>
          <w:p>
            <w:r>
              <w:rPr>
                <w:b/>
                <w:bCs/>
                <w:color w:val="FFFFFF"/>
                <w:sz w:val="19"/>
                <w:szCs w:val="19"/>
              </w:rPr>
              <w:t xml:space="preserve">Original plan assumption</w:t>
            </w:r>
          </w:p>
        </w:tc>
        <w:tc>
          <w:tcPr>
            <w:tcW w:type="dxa" w:w="3300"/>
            <w:shd w:fill="2A2138" w:val="clear"/>
            <w:tcMar>
              <w:top w:type="dxa" w:w="80"/>
              <w:left w:type="dxa" w:w="100"/>
              <w:bottom w:type="dxa" w:w="80"/>
              <w:right w:type="dxa" w:w="100"/>
            </w:tcMar>
          </w:tcPr>
          <w:p>
            <w:r>
              <w:rPr>
                <w:b/>
                <w:bCs/>
                <w:color w:val="FFFFFF"/>
                <w:sz w:val="19"/>
                <w:szCs w:val="19"/>
              </w:rPr>
              <w:t xml:space="preserve">What the repo actually has</w:t>
            </w:r>
          </w:p>
        </w:tc>
        <w:tc>
          <w:tcPr>
            <w:tcW w:type="dxa" w:w="3300"/>
            <w:shd w:fill="2A2138" w:val="clear"/>
            <w:tcMar>
              <w:top w:type="dxa" w:w="80"/>
              <w:left w:type="dxa" w:w="100"/>
              <w:bottom w:type="dxa" w:w="80"/>
              <w:right w:type="dxa" w:w="100"/>
            </w:tcMar>
          </w:tcPr>
          <w:p>
            <w:r>
              <w:rPr>
                <w:b/>
                <w:bCs/>
                <w:color w:val="FFFFFF"/>
                <w:sz w:val="19"/>
                <w:szCs w:val="19"/>
              </w:rPr>
              <w:t xml:space="preserve">Consequence if followed as written</w:t>
            </w:r>
          </w:p>
        </w:tc>
      </w:tr>
      <w:tr>
        <w:tc>
          <w:tcPr>
            <w:tcW w:type="dxa" w:w="3300"/>
            <w:tcMar>
              <w:top w:type="dxa" w:w="80"/>
              <w:left w:type="dxa" w:w="100"/>
              <w:bottom w:type="dxa" w:w="80"/>
              <w:right w:type="dxa" w:w="100"/>
            </w:tcMar>
          </w:tcPr>
          <w:p>
            <w:r>
              <w:rPr>
                <w:b w:val="false"/>
                <w:bCs w:val="false"/>
                <w:color w:val="111111"/>
                <w:sz w:val="19"/>
                <w:szCs w:val="19"/>
              </w:rPr>
              <w:t xml:space="preserve">Generic index.html + css/ + js/ + docs/ + .agents/.superpowers layout</w:t>
            </w:r>
          </w:p>
        </w:tc>
        <w:tc>
          <w:tcPr>
            <w:tcW w:type="dxa" w:w="3300"/>
            <w:tcMar>
              <w:top w:type="dxa" w:w="80"/>
              <w:left w:type="dxa" w:w="100"/>
              <w:bottom w:type="dxa" w:w="80"/>
              <w:right w:type="dxa" w:w="100"/>
            </w:tcMar>
          </w:tcPr>
          <w:p>
            <w:r>
              <w:rPr>
                <w:b w:val="false"/>
                <w:bCs w:val="false"/>
                <w:color w:val="111111"/>
                <w:sz w:val="19"/>
                <w:szCs w:val="19"/>
              </w:rPr>
              <w:t xml:space="preserve">V37/V38 layered runtime (catalog → data-service → state-core → portrait-service → decision-ledger → app.js) documented in CODE_MAP.md with a load-order contract app.js depends on</w:t>
            </w:r>
          </w:p>
        </w:tc>
        <w:tc>
          <w:tcPr>
            <w:tcW w:type="dxa" w:w="3300"/>
            <w:tcMar>
              <w:top w:type="dxa" w:w="80"/>
              <w:left w:type="dxa" w:w="100"/>
              <w:bottom w:type="dxa" w:w="80"/>
              <w:right w:type="dxa" w:w="100"/>
            </w:tcMar>
          </w:tcPr>
          <w:p>
            <w:r>
              <w:rPr>
                <w:b w:val="false"/>
                <w:bCs w:val="false"/>
                <w:color w:val="111111"/>
                <w:sz w:val="19"/>
                <w:szCs w:val="19"/>
              </w:rPr>
              <w:t xml:space="preserve">Restructuring into js/api, js/state, js/ui per the plan would break the documented boot order and silently orphan the V37/V38 compatibility layers</w:t>
            </w:r>
          </w:p>
        </w:tc>
      </w:tr>
      <w:tr>
        <w:tc>
          <w:tcPr>
            <w:tcW w:type="dxa" w:w="3300"/>
            <w:tcMar>
              <w:top w:type="dxa" w:w="80"/>
              <w:left w:type="dxa" w:w="100"/>
              <w:bottom w:type="dxa" w:w="80"/>
              <w:right w:type="dxa" w:w="100"/>
            </w:tcMar>
          </w:tcPr>
          <w:p>
            <w:r>
              <w:rPr>
                <w:b w:val="false"/>
                <w:bCs w:val="false"/>
                <w:color w:val="111111"/>
                <w:sz w:val="19"/>
                <w:szCs w:val="19"/>
              </w:rPr>
              <w:t xml:space="preserve">“Configure the build command… if a bundler is introduced”</w:t>
            </w:r>
          </w:p>
        </w:tc>
        <w:tc>
          <w:tcPr>
            <w:tcW w:type="dxa" w:w="3300"/>
            <w:tcMar>
              <w:top w:type="dxa" w:w="80"/>
              <w:left w:type="dxa" w:w="100"/>
              <w:bottom w:type="dxa" w:w="80"/>
              <w:right w:type="dxa" w:w="100"/>
            </w:tcMar>
          </w:tcPr>
          <w:p>
            <w:r>
              <w:rPr>
                <w:b w:val="false"/>
                <w:bCs w:val="false"/>
                <w:color w:val="111111"/>
                <w:sz w:val="19"/>
                <w:szCs w:val="19"/>
              </w:rPr>
              <w:t xml:space="preserve">README and CODE_MAP both state the project deliberately runs without a bundler</w:t>
            </w:r>
          </w:p>
        </w:tc>
        <w:tc>
          <w:tcPr>
            <w:tcW w:type="dxa" w:w="3300"/>
            <w:tcMar>
              <w:top w:type="dxa" w:w="80"/>
              <w:left w:type="dxa" w:w="100"/>
              <w:bottom w:type="dxa" w:w="80"/>
              <w:right w:type="dxa" w:w="100"/>
            </w:tcMar>
          </w:tcPr>
          <w:p>
            <w:r>
              <w:rPr>
                <w:b w:val="false"/>
                <w:bCs w:val="false"/>
                <w:color w:val="111111"/>
                <w:sz w:val="19"/>
                <w:szCs w:val="19"/>
              </w:rPr>
              <w:t xml:space="preserve">Introducing a bundler is a direct reversal of an explicit project decision, not a neutral technical upgrade</w:t>
            </w:r>
          </w:p>
        </w:tc>
      </w:tr>
      <w:tr>
        <w:tc>
          <w:tcPr>
            <w:tcW w:type="dxa" w:w="3300"/>
            <w:tcMar>
              <w:top w:type="dxa" w:w="80"/>
              <w:left w:type="dxa" w:w="100"/>
              <w:bottom w:type="dxa" w:w="80"/>
              <w:right w:type="dxa" w:w="100"/>
            </w:tcMar>
          </w:tcPr>
          <w:p>
            <w:r>
              <w:rPr>
                <w:b w:val="false"/>
                <w:bCs w:val="false"/>
                <w:color w:val="111111"/>
                <w:sz w:val="19"/>
                <w:szCs w:val="19"/>
              </w:rPr>
              <w:t xml:space="preserve">TMDB token must move to a serverless backend because the browser should never hold it</w:t>
            </w:r>
          </w:p>
        </w:tc>
        <w:tc>
          <w:tcPr>
            <w:tcW w:type="dxa" w:w="3300"/>
            <w:tcMar>
              <w:top w:type="dxa" w:w="80"/>
              <w:left w:type="dxa" w:w="100"/>
              <w:bottom w:type="dxa" w:w="80"/>
              <w:right w:type="dxa" w:w="100"/>
            </w:tcMar>
          </w:tcPr>
          <w:p>
            <w:r>
              <w:rPr>
                <w:b w:val="false"/>
                <w:bCs w:val="false"/>
                <w:color w:val="111111"/>
                <w:sz w:val="19"/>
                <w:szCs w:val="19"/>
              </w:rPr>
              <w:t xml:space="preserve">Token is already user-supplied and stored per-browser in localStorage (js/app.js token()); there is no shared site secret to protect, and a bundled/offline catalog already covers the no-token case</w:t>
            </w:r>
          </w:p>
        </w:tc>
        <w:tc>
          <w:tcPr>
            <w:tcW w:type="dxa" w:w="3300"/>
            <w:tcMar>
              <w:top w:type="dxa" w:w="80"/>
              <w:left w:type="dxa" w:w="100"/>
              <w:bottom w:type="dxa" w:w="80"/>
              <w:right w:type="dxa" w:w="100"/>
            </w:tcMar>
          </w:tcPr>
          <w:p>
            <w:r>
              <w:rPr>
                <w:b w:val="false"/>
                <w:bCs w:val="false"/>
                <w:color w:val="111111"/>
                <w:sz w:val="19"/>
                <w:szCs w:val="19"/>
              </w:rPr>
              <w:t xml:space="preserve">A shared backend proxy changes the trust and hosting model (who pays for API calls, whose key is used) more than it changes security, and adds a deploy target the project doesn’t currently have</w:t>
            </w:r>
          </w:p>
        </w:tc>
      </w:tr>
      <w:tr>
        <w:tc>
          <w:tcPr>
            <w:tcW w:type="dxa" w:w="3300"/>
            <w:tcMar>
              <w:top w:type="dxa" w:w="80"/>
              <w:left w:type="dxa" w:w="100"/>
              <w:bottom w:type="dxa" w:w="80"/>
              <w:right w:type="dxa" w:w="100"/>
            </w:tcMar>
          </w:tcPr>
          <w:p>
            <w:r>
              <w:rPr>
                <w:b w:val="false"/>
                <w:bCs w:val="false"/>
                <w:color w:val="111111"/>
                <w:sz w:val="19"/>
                <w:szCs w:val="19"/>
              </w:rPr>
              <w:t xml:space="preserve">New tests/unit, tests/api, tests/e2e folders implying a new test runner</w:t>
            </w:r>
          </w:p>
        </w:tc>
        <w:tc>
          <w:tcPr>
            <w:tcW w:type="dxa" w:w="3300"/>
            <w:tcMar>
              <w:top w:type="dxa" w:w="80"/>
              <w:left w:type="dxa" w:w="100"/>
              <w:bottom w:type="dxa" w:w="80"/>
              <w:right w:type="dxa" w:w="100"/>
            </w:tcMar>
          </w:tcPr>
          <w:p>
            <w:r>
              <w:rPr>
                <w:b w:val="false"/>
                <w:bCs w:val="false"/>
                <w:color w:val="111111"/>
                <w:sz w:val="19"/>
                <w:szCs w:val="19"/>
              </w:rPr>
              <w:t xml:space="preserve">Five working Node .cjs regression suites already exist (cleanup, code-organization, v37-foundation, v38-portrait, v38-decision-ledger) plus a browser smoke test</w:t>
            </w:r>
          </w:p>
        </w:tc>
        <w:tc>
          <w:tcPr>
            <w:tcW w:type="dxa" w:w="3300"/>
            <w:tcMar>
              <w:top w:type="dxa" w:w="80"/>
              <w:left w:type="dxa" w:w="100"/>
              <w:bottom w:type="dxa" w:w="80"/>
              <w:right w:type="dxa" w:w="100"/>
            </w:tcMar>
          </w:tcPr>
          <w:p>
            <w:r>
              <w:rPr>
                <w:b w:val="false"/>
                <w:bCs w:val="false"/>
                <w:color w:val="111111"/>
                <w:sz w:val="19"/>
                <w:szCs w:val="19"/>
              </w:rPr>
              <w:t xml:space="preserve">Replacing rather than extending the harness risks losing regression coverage for bugs already fixed once (documented in CHANGELOG.md, e.g. the artist-scout restart loop and the 2.4M-node DOM growth)</w:t>
            </w:r>
          </w:p>
        </w:tc>
      </w:tr>
      <w:tr>
        <w:tc>
          <w:tcPr>
            <w:tcW w:type="dxa" w:w="3300"/>
            <w:tcMar>
              <w:top w:type="dxa" w:w="80"/>
              <w:left w:type="dxa" w:w="100"/>
              <w:bottom w:type="dxa" w:w="80"/>
              <w:right w:type="dxa" w:w="100"/>
            </w:tcMar>
          </w:tcPr>
          <w:p>
            <w:r>
              <w:rPr>
                <w:b w:val="false"/>
                <w:bCs w:val="false"/>
                <w:color w:val="111111"/>
                <w:sz w:val="19"/>
                <w:szCs w:val="19"/>
              </w:rPr>
              <w:t xml:space="preserve">7–14 day estimate assuming responsive/offline/caching work has not started</w:t>
            </w:r>
          </w:p>
        </w:tc>
        <w:tc>
          <w:tcPr>
            <w:tcW w:type="dxa" w:w="3300"/>
            <w:tcMar>
              <w:top w:type="dxa" w:w="80"/>
              <w:left w:type="dxa" w:w="100"/>
              <w:bottom w:type="dxa" w:w="80"/>
              <w:right w:type="dxa" w:w="100"/>
            </w:tcMar>
          </w:tcPr>
          <w:p>
            <w:r>
              <w:rPr>
                <w:b w:val="false"/>
                <w:bCs w:val="false"/>
                <w:color w:val="111111"/>
                <w:sz w:val="19"/>
                <w:szCs w:val="19"/>
              </w:rPr>
              <w:t xml:space="preserve">47 existing @media breakpoints in app.css, working hybrid/offline data modes, request de-duplication and TTL caching already in data-service.js</w:t>
            </w:r>
          </w:p>
        </w:tc>
        <w:tc>
          <w:tcPr>
            <w:tcW w:type="dxa" w:w="3300"/>
            <w:tcMar>
              <w:top w:type="dxa" w:w="80"/>
              <w:left w:type="dxa" w:w="100"/>
              <w:bottom w:type="dxa" w:w="80"/>
              <w:right w:type="dxa" w:w="100"/>
            </w:tcMar>
          </w:tcPr>
          <w:p>
            <w:r>
              <w:rPr>
                <w:b w:val="false"/>
                <w:bCs w:val="false"/>
                <w:color w:val="111111"/>
                <w:sz w:val="19"/>
                <w:szCs w:val="19"/>
              </w:rPr>
              <w:t xml:space="preserve">Estimating from zero over-scopes the remaining work; the real gap is narrower: PWA installability, safe-area insets, and touch-target sizing</w:t>
            </w:r>
          </w:p>
        </w:tc>
      </w:tr>
    </w:tbl>
    <w:p>
      <w:pPr>
        <w:spacing w:after="160"/>
      </w:pPr>
      <w:r>
        <w:rPr>
          <w:i/>
          <w:iCs/>
          <w:color w:val="6B6472"/>
          <w:sz w:val="20"/>
          <w:szCs w:val="20"/>
        </w:rPr>
        <w:t xml:space="preserve">This table is the basis for the revised scope in Sections 2–4. Nothing here says the original plan's concepts (proxy, PWA, responsive pass) were wrong in the abstract — only that they weren't checked against this codebase before being prescribed.</w:t>
      </w:r>
    </w:p>
    <w:p>
      <w:pPr>
        <w:pStyle w:val="Heading1"/>
        <w:spacing w:after="140" w:before="320"/>
      </w:pPr>
      <w:r>
        <w:t xml:space="preserve">2. Revised recommended direction</w:t>
      </w:r>
    </w:p>
    <w:p>
      <w:pPr>
        <w:spacing w:after="120"/>
      </w:pPr>
      <w:r>
        <w:t xml:space="preserve">Keep the build-free, client-held-token architecture. Treat this as a PWA-conversion project, not a backend-migration project. Add a private API proxy later, as an optional phase, only if the game moves to a model where Anthropic—sorry, where the studio—supplies one shared TMDB key for all players rather than each player bringing their own.</w:t>
      </w:r>
    </w:p>
    <w:p>
      <w:pPr>
        <w:pStyle w:val="ListParagraph"/>
        <w:numPr>
          <w:ilvl w:val="0"/>
          <w:numId w:val="2"/>
        </w:numPr>
        <w:spacing w:after="60"/>
      </w:pPr>
      <w:r>
        <w:t xml:space="preserve">Frontend: unchanged module boundaries (js/v37, js/v38, js/app.js). No bundler, no new package.json.</w:t>
      </w:r>
    </w:p>
    <w:p>
      <w:pPr>
        <w:pStyle w:val="ListParagraph"/>
        <w:numPr>
          <w:ilvl w:val="0"/>
          <w:numId w:val="2"/>
        </w:numPr>
        <w:spacing w:after="60"/>
      </w:pPr>
      <w:r>
        <w:t xml:space="preserve">Data access: unchanged. Hybrid/offline/TMDB-only modes and the existing cache/timeout/dedup logic in data-service.js already satisfy most of the original plan's “backend safeguards” list, just running in the browser instead of a server.</w:t>
      </w:r>
    </w:p>
    <w:p>
      <w:pPr>
        <w:pStyle w:val="ListParagraph"/>
        <w:numPr>
          <w:ilvl w:val="0"/>
          <w:numId w:val="2"/>
        </w:numPr>
        <w:spacing w:after="60"/>
      </w:pPr>
      <w:r>
        <w:t xml:space="preserve">New layer: an installable PWA shell (manifest, service worker, icons, offline fallback) sitting alongside the existing files.</w:t>
      </w:r>
    </w:p>
    <w:p>
      <w:pPr>
        <w:pStyle w:val="ListParagraph"/>
        <w:numPr>
          <w:ilvl w:val="0"/>
          <w:numId w:val="2"/>
        </w:numPr>
        <w:spacing w:after="60"/>
      </w:pPr>
      <w:r>
        <w:t xml:space="preserve">New layer: a repo-wide mobile pass (safe-area insets, tap-target minimums, overflow guards) additive to the 47 breakpoints already in app.css.</w:t>
      </w:r>
    </w:p>
    <w:p>
      <w:pPr>
        <w:pStyle w:val="Heading1"/>
        <w:spacing w:after="140" w:before="320"/>
      </w:pPr>
      <w:r>
        <w:t xml:space="preserve">3. What shipped in this pass</w:t>
      </w:r>
    </w:p>
    <w:p>
      <w:pPr>
        <w:spacing w:after="120"/>
      </w:pPr>
      <w:r>
        <w:t xml:space="preserve">The following files were added or modified. Everything is additive — no existing renderer, module boundary, or script load order changed, and the full existing regression suite (cleanup-regression.cjs, v37-foundation-regression.cjs, v38-decision-ledger-regression.cjs) still passes unmodified against js/app.js.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700"/>
      </w:tblGrid>
      <w:tr>
        <w:trPr>
          <w:tblHeader/>
        </w:trPr>
        <w:tc>
          <w:tcPr>
            <w:tcW w:type="dxa" w:w="2600"/>
            <w:shd w:fill="2A2138" w:val="clear"/>
            <w:tcMar>
              <w:top w:type="dxa" w:w="80"/>
              <w:left w:type="dxa" w:w="100"/>
              <w:bottom w:type="dxa" w:w="80"/>
              <w:right w:type="dxa" w:w="100"/>
            </w:tcMar>
          </w:tcPr>
          <w:p>
            <w:r>
              <w:rPr>
                <w:b/>
                <w:bCs/>
                <w:color w:val="FFFFFF"/>
                <w:sz w:val="19"/>
                <w:szCs w:val="19"/>
              </w:rPr>
              <w:t xml:space="preserve">File</w:t>
            </w:r>
          </w:p>
        </w:tc>
        <w:tc>
          <w:tcPr>
            <w:tcW w:type="dxa" w:w="1600"/>
            <w:shd w:fill="2A2138" w:val="clear"/>
            <w:tcMar>
              <w:top w:type="dxa" w:w="80"/>
              <w:left w:type="dxa" w:w="100"/>
              <w:bottom w:type="dxa" w:w="80"/>
              <w:right w:type="dxa" w:w="100"/>
            </w:tcMar>
          </w:tcPr>
          <w:p>
            <w:r>
              <w:rPr>
                <w:b/>
                <w:bCs/>
                <w:color w:val="FFFFFF"/>
                <w:sz w:val="19"/>
                <w:szCs w:val="19"/>
              </w:rPr>
              <w:t xml:space="preserve">Status</w:t>
            </w:r>
          </w:p>
        </w:tc>
        <w:tc>
          <w:tcPr>
            <w:tcW w:type="dxa" w:w="5700"/>
            <w:shd w:fill="2A2138"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color w:val="111111"/>
                <w:sz w:val="19"/>
                <w:szCs w:val="19"/>
              </w:rPr>
              <w:t xml:space="preserve">manifest.webmanifest</w:t>
            </w:r>
          </w:p>
        </w:tc>
        <w:tc>
          <w:tcPr>
            <w:tcW w:type="dxa" w:w="1600"/>
            <w:tcMar>
              <w:top w:type="dxa" w:w="80"/>
              <w:left w:type="dxa" w:w="100"/>
              <w:bottom w:type="dxa" w:w="80"/>
              <w:right w:type="dxa" w:w="100"/>
            </w:tcMar>
          </w:tcPr>
          <w:p>
            <w:r>
              <w:rPr>
                <w:b w:val="false"/>
                <w:bCs w:val="false"/>
                <w:color w:val="111111"/>
                <w:sz w:val="19"/>
                <w:szCs w:val="19"/>
              </w:rPr>
              <w:t xml:space="preserve">New</w:t>
            </w:r>
          </w:p>
        </w:tc>
        <w:tc>
          <w:tcPr>
            <w:tcW w:type="dxa" w:w="5700"/>
            <w:tcMar>
              <w:top w:type="dxa" w:w="80"/>
              <w:left w:type="dxa" w:w="100"/>
              <w:bottom w:type="dxa" w:w="80"/>
              <w:right w:type="dxa" w:w="100"/>
            </w:tcMar>
          </w:tcPr>
          <w:p>
            <w:r>
              <w:rPr>
                <w:b w:val="false"/>
                <w:bCs w:val="false"/>
                <w:color w:val="111111"/>
                <w:sz w:val="19"/>
                <w:szCs w:val="19"/>
              </w:rPr>
              <w:t xml:space="preserve">Installable app metadata: name, icons, standalone display, theme colors matching css/app.css :root</w:t>
            </w:r>
          </w:p>
        </w:tc>
      </w:tr>
      <w:tr>
        <w:tc>
          <w:tcPr>
            <w:tcW w:type="dxa" w:w="2600"/>
            <w:tcMar>
              <w:top w:type="dxa" w:w="80"/>
              <w:left w:type="dxa" w:w="100"/>
              <w:bottom w:type="dxa" w:w="80"/>
              <w:right w:type="dxa" w:w="100"/>
            </w:tcMar>
          </w:tcPr>
          <w:p>
            <w:r>
              <w:rPr>
                <w:b w:val="false"/>
                <w:bCs w:val="false"/>
                <w:color w:val="111111"/>
                <w:sz w:val="19"/>
                <w:szCs w:val="19"/>
              </w:rPr>
              <w:t xml:space="preserve">service-worker.js</w:t>
            </w:r>
          </w:p>
        </w:tc>
        <w:tc>
          <w:tcPr>
            <w:tcW w:type="dxa" w:w="1600"/>
            <w:tcMar>
              <w:top w:type="dxa" w:w="80"/>
              <w:left w:type="dxa" w:w="100"/>
              <w:bottom w:type="dxa" w:w="80"/>
              <w:right w:type="dxa" w:w="100"/>
            </w:tcMar>
          </w:tcPr>
          <w:p>
            <w:r>
              <w:rPr>
                <w:b w:val="false"/>
                <w:bCs w:val="false"/>
                <w:color w:val="111111"/>
                <w:sz w:val="19"/>
                <w:szCs w:val="19"/>
              </w:rPr>
              <w:t xml:space="preserve">New</w:t>
            </w:r>
          </w:p>
        </w:tc>
        <w:tc>
          <w:tcPr>
            <w:tcW w:type="dxa" w:w="5700"/>
            <w:tcMar>
              <w:top w:type="dxa" w:w="80"/>
              <w:left w:type="dxa" w:w="100"/>
              <w:bottom w:type="dxa" w:w="80"/>
              <w:right w:type="dxa" w:w="100"/>
            </w:tcMar>
          </w:tcPr>
          <w:p>
            <w:r>
              <w:rPr>
                <w:b w:val="false"/>
                <w:bCs w:val="false"/>
                <w:color w:val="111111"/>
                <w:sz w:val="19"/>
                <w:szCs w:val="19"/>
              </w:rPr>
              <w:t xml:space="preserve">Caches the app shell only (HTML/CSS/JS/manifest). Never intercepts TMDB or other cross-origin requests, so it can't misrepresent live search as working offline</w:t>
            </w:r>
          </w:p>
        </w:tc>
      </w:tr>
      <w:tr>
        <w:tc>
          <w:tcPr>
            <w:tcW w:type="dxa" w:w="2600"/>
            <w:tcMar>
              <w:top w:type="dxa" w:w="80"/>
              <w:left w:type="dxa" w:w="100"/>
              <w:bottom w:type="dxa" w:w="80"/>
              <w:right w:type="dxa" w:w="100"/>
            </w:tcMar>
          </w:tcPr>
          <w:p>
            <w:r>
              <w:rPr>
                <w:b w:val="false"/>
                <w:bCs w:val="false"/>
                <w:color w:val="111111"/>
                <w:sz w:val="19"/>
                <w:szCs w:val="19"/>
              </w:rPr>
              <w:t xml:space="preserve">offline.html</w:t>
            </w:r>
          </w:p>
        </w:tc>
        <w:tc>
          <w:tcPr>
            <w:tcW w:type="dxa" w:w="1600"/>
            <w:tcMar>
              <w:top w:type="dxa" w:w="80"/>
              <w:left w:type="dxa" w:w="100"/>
              <w:bottom w:type="dxa" w:w="80"/>
              <w:right w:type="dxa" w:w="100"/>
            </w:tcMar>
          </w:tcPr>
          <w:p>
            <w:r>
              <w:rPr>
                <w:b w:val="false"/>
                <w:bCs w:val="false"/>
                <w:color w:val="111111"/>
                <w:sz w:val="19"/>
                <w:szCs w:val="19"/>
              </w:rPr>
              <w:t xml:space="preserve">New</w:t>
            </w:r>
          </w:p>
        </w:tc>
        <w:tc>
          <w:tcPr>
            <w:tcW w:type="dxa" w:w="5700"/>
            <w:tcMar>
              <w:top w:type="dxa" w:w="80"/>
              <w:left w:type="dxa" w:w="100"/>
              <w:bottom w:type="dxa" w:w="80"/>
              <w:right w:type="dxa" w:w="100"/>
            </w:tcMar>
          </w:tcPr>
          <w:p>
            <w:r>
              <w:rPr>
                <w:b w:val="false"/>
                <w:bCs w:val="false"/>
                <w:color w:val="111111"/>
                <w:sz w:val="19"/>
                <w:szCs w:val="19"/>
              </w:rPr>
              <w:t xml:space="preserve">Shown only if a device has never loaded the app before and has no network — explains what still works offline (bundled catalog) and what needs a connection (live TMDB)</w:t>
            </w:r>
          </w:p>
        </w:tc>
      </w:tr>
      <w:tr>
        <w:tc>
          <w:tcPr>
            <w:tcW w:type="dxa" w:w="2600"/>
            <w:tcMar>
              <w:top w:type="dxa" w:w="80"/>
              <w:left w:type="dxa" w:w="100"/>
              <w:bottom w:type="dxa" w:w="80"/>
              <w:right w:type="dxa" w:w="100"/>
            </w:tcMar>
          </w:tcPr>
          <w:p>
            <w:r>
              <w:rPr>
                <w:b w:val="false"/>
                <w:bCs w:val="false"/>
                <w:color w:val="111111"/>
                <w:sz w:val="19"/>
                <w:szCs w:val="19"/>
              </w:rPr>
              <w:t xml:space="preserve">icons/</w:t>
            </w:r>
          </w:p>
        </w:tc>
        <w:tc>
          <w:tcPr>
            <w:tcW w:type="dxa" w:w="1600"/>
            <w:tcMar>
              <w:top w:type="dxa" w:w="80"/>
              <w:left w:type="dxa" w:w="100"/>
              <w:bottom w:type="dxa" w:w="80"/>
              <w:right w:type="dxa" w:w="100"/>
            </w:tcMar>
          </w:tcPr>
          <w:p>
            <w:r>
              <w:rPr>
                <w:b w:val="false"/>
                <w:bCs w:val="false"/>
                <w:color w:val="111111"/>
                <w:sz w:val="19"/>
                <w:szCs w:val="19"/>
              </w:rPr>
              <w:t xml:space="preserve">New</w:t>
            </w:r>
          </w:p>
        </w:tc>
        <w:tc>
          <w:tcPr>
            <w:tcW w:type="dxa" w:w="5700"/>
            <w:tcMar>
              <w:top w:type="dxa" w:w="80"/>
              <w:left w:type="dxa" w:w="100"/>
              <w:bottom w:type="dxa" w:w="80"/>
              <w:right w:type="dxa" w:w="100"/>
            </w:tcMar>
          </w:tcPr>
          <w:p>
            <w:r>
              <w:rPr>
                <w:b w:val="false"/>
                <w:bCs w:val="false"/>
                <w:color w:val="111111"/>
                <w:sz w:val="19"/>
                <w:szCs w:val="19"/>
              </w:rPr>
              <w:t xml:space="preserve">192, 512, 512-maskable, and Apple touch icon, generated in the existing panel/gold/purple palette from css/app.css</w:t>
            </w:r>
          </w:p>
        </w:tc>
      </w:tr>
      <w:tr>
        <w:tc>
          <w:tcPr>
            <w:tcW w:type="dxa" w:w="2600"/>
            <w:tcMar>
              <w:top w:type="dxa" w:w="80"/>
              <w:left w:type="dxa" w:w="100"/>
              <w:bottom w:type="dxa" w:w="80"/>
              <w:right w:type="dxa" w:w="100"/>
            </w:tcMar>
          </w:tcPr>
          <w:p>
            <w:r>
              <w:rPr>
                <w:b w:val="false"/>
                <w:bCs w:val="false"/>
                <w:color w:val="111111"/>
                <w:sz w:val="19"/>
                <w:szCs w:val="19"/>
              </w:rPr>
              <w:t xml:space="preserve">index.html</w:t>
            </w:r>
          </w:p>
        </w:tc>
        <w:tc>
          <w:tcPr>
            <w:tcW w:type="dxa" w:w="1600"/>
            <w:tcMar>
              <w:top w:type="dxa" w:w="80"/>
              <w:left w:type="dxa" w:w="100"/>
              <w:bottom w:type="dxa" w:w="80"/>
              <w:right w:type="dxa" w:w="100"/>
            </w:tcMar>
          </w:tcPr>
          <w:p>
            <w:r>
              <w:rPr>
                <w:b w:val="false"/>
                <w:bCs w:val="false"/>
                <w:color w:val="111111"/>
                <w:sz w:val="19"/>
                <w:szCs w:val="19"/>
              </w:rPr>
              <w:t xml:space="preserve">Modified</w:t>
            </w:r>
          </w:p>
        </w:tc>
        <w:tc>
          <w:tcPr>
            <w:tcW w:type="dxa" w:w="5700"/>
            <w:tcMar>
              <w:top w:type="dxa" w:w="80"/>
              <w:left w:type="dxa" w:w="100"/>
              <w:bottom w:type="dxa" w:w="80"/>
              <w:right w:type="dxa" w:w="100"/>
            </w:tcMar>
          </w:tcPr>
          <w:p>
            <w:r>
              <w:rPr>
                <w:b w:val="false"/>
                <w:bCs w:val="false"/>
                <w:color w:val="111111"/>
                <w:sz w:val="19"/>
                <w:szCs w:val="19"/>
              </w:rPr>
              <w:t xml:space="preserve">Added manifest link, icon links, apple-mobile-web-app tags, and service worker registration. Bumped cache-busting from v=38.4 to v=38.5</w:t>
            </w:r>
          </w:p>
        </w:tc>
      </w:tr>
      <w:tr>
        <w:tc>
          <w:tcPr>
            <w:tcW w:type="dxa" w:w="2600"/>
            <w:tcMar>
              <w:top w:type="dxa" w:w="80"/>
              <w:left w:type="dxa" w:w="100"/>
              <w:bottom w:type="dxa" w:w="80"/>
              <w:right w:type="dxa" w:w="100"/>
            </w:tcMar>
          </w:tcPr>
          <w:p>
            <w:r>
              <w:rPr>
                <w:b w:val="false"/>
                <w:bCs w:val="false"/>
                <w:color w:val="111111"/>
                <w:sz w:val="19"/>
                <w:szCs w:val="19"/>
              </w:rPr>
              <w:t xml:space="preserve">css/app.css</w:t>
            </w:r>
          </w:p>
        </w:tc>
        <w:tc>
          <w:tcPr>
            <w:tcW w:type="dxa" w:w="1600"/>
            <w:tcMar>
              <w:top w:type="dxa" w:w="80"/>
              <w:left w:type="dxa" w:w="100"/>
              <w:bottom w:type="dxa" w:w="80"/>
              <w:right w:type="dxa" w:w="100"/>
            </w:tcMar>
          </w:tcPr>
          <w:p>
            <w:r>
              <w:rPr>
                <w:b w:val="false"/>
                <w:bCs w:val="false"/>
                <w:color w:val="111111"/>
                <w:sz w:val="19"/>
                <w:szCs w:val="19"/>
              </w:rPr>
              <w:t xml:space="preserve">Modified</w:t>
            </w:r>
          </w:p>
        </w:tc>
        <w:tc>
          <w:tcPr>
            <w:tcW w:type="dxa" w:w="5700"/>
            <w:tcMar>
              <w:top w:type="dxa" w:w="80"/>
              <w:left w:type="dxa" w:w="100"/>
              <w:bottom w:type="dxa" w:w="80"/>
              <w:right w:type="dxa" w:w="100"/>
            </w:tcMar>
          </w:tcPr>
          <w:p>
            <w:r>
              <w:rPr>
                <w:b w:val="false"/>
                <w:bCs w:val="false"/>
                <w:color w:val="111111"/>
                <w:sz w:val="19"/>
                <w:szCs w:val="19"/>
              </w:rPr>
              <w:t xml:space="preserve">Appended one additive section: safe-area-inset padding, overflow-x guards, touch-action/tap-highlight rules, and a 44px tap-target minimum below 600px. Nothing above the new section was changed</w:t>
            </w:r>
          </w:p>
        </w:tc>
      </w:tr>
    </w:tbl>
    <w:p>
      <w:pPr>
        <w:pStyle w:val="Heading1"/>
        <w:spacing w:after="140" w:before="320"/>
      </w:pPr>
      <w:r>
        <w:t xml:space="preserve">4. Mobile &amp; tablet conversion — revised gap list</w:t>
      </w:r>
    </w:p>
    <w:p>
      <w:pPr>
        <w:spacing w:after="120"/>
      </w:pPr>
      <w:r>
        <w:t xml:space="preserve">Re-auditing against the actual CSS rather than assuming a blank slate:</w:t>
      </w:r>
    </w:p>
    <w:p>
      <w:pPr>
        <w:pStyle w:val="ListParagraph"/>
        <w:numPr>
          <w:ilvl w:val="0"/>
          <w:numId w:val="2"/>
        </w:numPr>
        <w:spacing w:after="60"/>
      </w:pPr>
      <w:r>
        <w:t xml:space="preserve">Already in place: 47 component-level breakpoints across app.css, a viewport meta tag, and reduced-motion handling for the Studio Pulse and duo-skeleton animations.</w:t>
      </w:r>
    </w:p>
    <w:p>
      <w:pPr>
        <w:pStyle w:val="ListParagraph"/>
        <w:numPr>
          <w:ilvl w:val="0"/>
          <w:numId w:val="2"/>
        </w:numPr>
        <w:spacing w:after="60"/>
      </w:pPr>
      <w:r>
        <w:t xml:space="preserve">Closed in this pass: safe-area insets for notched devices, horizontal-overflow guards on #app and images, and a minimum tap target below 600px.</w:t>
      </w:r>
    </w:p>
    <w:p>
      <w:pPr>
        <w:pStyle w:val="ListParagraph"/>
        <w:numPr>
          <w:ilvl w:val="0"/>
          <w:numId w:val="2"/>
        </w:numPr>
        <w:spacing w:after="60"/>
      </w:pPr>
      <w:r>
        <w:t xml:space="preserve">Still open, needs manual review rather than a blanket CSS rule: app.css has 36 :hover-based rules. Each needs a person to confirm the information or action it exposes is also reachable by tap — a global fix here would either hide real hover-only affordances or falsely mark safe ones as broken.</w:t>
      </w:r>
    </w:p>
    <w:p>
      <w:pPr>
        <w:pStyle w:val="ListParagraph"/>
        <w:numPr>
          <w:ilvl w:val="0"/>
          <w:numId w:val="2"/>
        </w:numPr>
        <w:spacing w:after="60"/>
      </w:pPr>
      <w:r>
        <w:t xml:space="preserve">Still open: an actual per-screen pass on real phone/tablet hardware or emulators (the six arcade screens, the Balance Lab modal, and the casting hero/banners) — CSS breakpoints existing is not the same as confirming no card, table, or modal overflows on a 375px-wide screen.</w:t>
      </w:r>
    </w:p>
    <w:p>
      <w:pPr>
        <w:pStyle w:val="Heading1"/>
        <w:spacing w:after="140" w:before="320"/>
      </w:pPr>
      <w:r>
        <w:t xml:space="preserve">5. Token &amp; backend proxy — deferred, not rejected</w:t>
      </w:r>
    </w:p>
    <w:p>
      <w:pPr>
        <w:spacing w:after="120"/>
      </w:pPr>
      <w:r>
        <w:t xml:space="preserve">The original plan's proxy design (Section 4 of v1: normalized /api/movies, /api/people routes, backend validation, rate limiting) is sound work and worth keeping on file. It becomes necessary the moment the project stops asking each player for their own TMDB token and instead ships with one shared key the project maintainer pays for. That is a product decision (who bears TMDB's rate limits and terms-of-service exposure for every player), not a security bug in the current design, so it belongs in an optional later phase rather than Phase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rPr>
          <w:tblHeader/>
        </w:trPr>
        <w:tc>
          <w:tcPr>
            <w:tcW w:type="dxa" w:w="4000"/>
            <w:shd w:fill="2A2138" w:val="clear"/>
            <w:tcMar>
              <w:top w:type="dxa" w:w="80"/>
              <w:left w:type="dxa" w:w="100"/>
              <w:bottom w:type="dxa" w:w="80"/>
              <w:right w:type="dxa" w:w="100"/>
            </w:tcMar>
          </w:tcPr>
          <w:p>
            <w:r>
              <w:rPr>
                <w:b/>
                <w:bCs/>
                <w:color w:val="FFFFFF"/>
                <w:sz w:val="19"/>
                <w:szCs w:val="19"/>
              </w:rPr>
              <w:t xml:space="preserve">Trigger</w:t>
            </w:r>
          </w:p>
        </w:tc>
        <w:tc>
          <w:tcPr>
            <w:tcW w:type="dxa" w:w="5900"/>
            <w:shd w:fill="2A2138" w:val="clear"/>
            <w:tcMar>
              <w:top w:type="dxa" w:w="80"/>
              <w:left w:type="dxa" w:w="100"/>
              <w:bottom w:type="dxa" w:w="80"/>
              <w:right w:type="dxa" w:w="100"/>
            </w:tcMar>
          </w:tcPr>
          <w:p>
            <w:r>
              <w:rPr>
                <w:b/>
                <w:bCs/>
                <w:color w:val="FFFFFF"/>
                <w:sz w:val="19"/>
                <w:szCs w:val="19"/>
              </w:rPr>
              <w:t xml:space="preserve">What it would require</w:t>
            </w:r>
          </w:p>
        </w:tc>
      </w:tr>
      <w:tr>
        <w:tc>
          <w:tcPr>
            <w:tcW w:type="dxa" w:w="4000"/>
            <w:tcMar>
              <w:top w:type="dxa" w:w="80"/>
              <w:left w:type="dxa" w:w="100"/>
              <w:bottom w:type="dxa" w:w="80"/>
              <w:right w:type="dxa" w:w="100"/>
            </w:tcMar>
          </w:tcPr>
          <w:p>
            <w:r>
              <w:rPr>
                <w:b w:val="false"/>
                <w:bCs w:val="false"/>
                <w:color w:val="111111"/>
                <w:sz w:val="19"/>
                <w:szCs w:val="19"/>
              </w:rPr>
              <w:t xml:space="preserve">Ship one shared TMDB key instead of per-player tokens</w:t>
            </w:r>
          </w:p>
        </w:tc>
        <w:tc>
          <w:tcPr>
            <w:tcW w:type="dxa" w:w="5900"/>
            <w:tcMar>
              <w:top w:type="dxa" w:w="80"/>
              <w:left w:type="dxa" w:w="100"/>
              <w:bottom w:type="dxa" w:w="80"/>
              <w:right w:type="dxa" w:w="100"/>
            </w:tcMar>
          </w:tcPr>
          <w:p>
            <w:r>
              <w:rPr>
                <w:b w:val="false"/>
                <w:bCs w:val="false"/>
                <w:color w:val="111111"/>
                <w:sz w:val="19"/>
                <w:szCs w:val="19"/>
              </w:rPr>
              <w:t xml:space="preserve">Serverless proxy (Vercel/Netlify/Cloudflare Functions), env-var secret storage, and the /api/movies, /api/people routes from the original plan</w:t>
            </w:r>
          </w:p>
        </w:tc>
      </w:tr>
      <w:tr>
        <w:tc>
          <w:tcPr>
            <w:tcW w:type="dxa" w:w="4000"/>
            <w:tcMar>
              <w:top w:type="dxa" w:w="80"/>
              <w:left w:type="dxa" w:w="100"/>
              <w:bottom w:type="dxa" w:w="80"/>
              <w:right w:type="dxa" w:w="100"/>
            </w:tcMar>
          </w:tcPr>
          <w:p>
            <w:r>
              <w:rPr>
                <w:b w:val="false"/>
                <w:bCs w:val="false"/>
                <w:color w:val="111111"/>
                <w:sz w:val="19"/>
                <w:szCs w:val="19"/>
              </w:rPr>
              <w:t xml:space="preserve">Cross-device save sync</w:t>
            </w:r>
          </w:p>
        </w:tc>
        <w:tc>
          <w:tcPr>
            <w:tcW w:type="dxa" w:w="5900"/>
            <w:tcMar>
              <w:top w:type="dxa" w:w="80"/>
              <w:left w:type="dxa" w:w="100"/>
              <w:bottom w:type="dxa" w:w="80"/>
              <w:right w:type="dxa" w:w="100"/>
            </w:tcMar>
          </w:tcPr>
          <w:p>
            <w:r>
              <w:rPr>
                <w:b w:val="false"/>
                <w:bCs w:val="false"/>
                <w:color w:val="111111"/>
                <w:sz w:val="19"/>
                <w:szCs w:val="19"/>
              </w:rPr>
              <w:t xml:space="preserve">Authentication plus a small cloud table; the existing gameState/localStorage model can stay as the local cache layer underneath it</w:t>
            </w:r>
          </w:p>
        </w:tc>
      </w:tr>
      <w:tr>
        <w:tc>
          <w:tcPr>
            <w:tcW w:type="dxa" w:w="4000"/>
            <w:tcMar>
              <w:top w:type="dxa" w:w="80"/>
              <w:left w:type="dxa" w:w="100"/>
              <w:bottom w:type="dxa" w:w="80"/>
              <w:right w:type="dxa" w:w="100"/>
            </w:tcMar>
          </w:tcPr>
          <w:p>
            <w:r>
              <w:rPr>
                <w:b w:val="false"/>
                <w:bCs w:val="false"/>
                <w:color w:val="111111"/>
                <w:sz w:val="19"/>
                <w:szCs w:val="19"/>
              </w:rPr>
              <w:t xml:space="preserve">Custom actor/movie filters TMDB can't answer directly</w:t>
            </w:r>
          </w:p>
        </w:tc>
        <w:tc>
          <w:tcPr>
            <w:tcW w:type="dxa" w:w="5900"/>
            <w:tcMar>
              <w:top w:type="dxa" w:w="80"/>
              <w:left w:type="dxa" w:w="100"/>
              <w:bottom w:type="dxa" w:w="80"/>
              <w:right w:type="dxa" w:w="100"/>
            </w:tcMar>
          </w:tcPr>
          <w:p>
            <w:r>
              <w:rPr>
                <w:b w:val="false"/>
                <w:bCs w:val="false"/>
                <w:color w:val="111111"/>
                <w:sz w:val="19"/>
                <w:szCs w:val="19"/>
              </w:rPr>
              <w:t xml:space="preserve">A real database (e.g. Postgres) seeded from cached TMDB responses</w:t>
            </w:r>
          </w:p>
        </w:tc>
      </w:tr>
    </w:tbl>
    <w:p>
      <w:pPr>
        <w:pStyle w:val="Heading1"/>
        <w:spacing w:after="140" w:before="320"/>
      </w:pPr>
      <w:r>
        <w:t xml:space="preserve">6. Testing — extend, don't replace</w:t>
      </w:r>
    </w:p>
    <w:p>
      <w:pPr>
        <w:pStyle w:val="ListParagraph"/>
        <w:numPr>
          <w:ilvl w:val="0"/>
          <w:numId w:val="2"/>
        </w:numPr>
        <w:spacing w:after="60"/>
      </w:pPr>
      <w:r>
        <w:t xml:space="preserve">Keep cleanup-regression.cjs, v37-foundation-regression.cjs, v38-portrait-regression.cjs, v38-decision-ledger-regression.cjs, and code-organization-regression.cjs as the source of truth for runtime invariants; all five still pass against this revision unmodified.</w:t>
      </w:r>
    </w:p>
    <w:p>
      <w:pPr>
        <w:pStyle w:val="ListParagraph"/>
        <w:numPr>
          <w:ilvl w:val="0"/>
          <w:numId w:val="2"/>
        </w:numPr>
        <w:spacing w:after="60"/>
      </w:pPr>
      <w:r>
        <w:t xml:space="preserve">Add a PWA regression check alongside them: manifest is valid JSON with required fields, service worker registers without throwing, and offline.html renders when navigation fails — following the existing .cjs / v38-browser-smoke.js pattern rather than introducing Jest or Playwright.</w:t>
      </w:r>
    </w:p>
    <w:p>
      <w:pPr>
        <w:pStyle w:val="ListParagraph"/>
        <w:numPr>
          <w:ilvl w:val="0"/>
          <w:numId w:val="2"/>
        </w:numPr>
        <w:spacing w:after="60"/>
      </w:pPr>
      <w:r>
        <w:t xml:space="preserve">Add a real-device pass (not just DevTools emulation) on iPhone Safari, iPad Safari (both orientations), and Android Chrome before calling the mobile conversion done — per the original plan's device matrix, which this revision keeps.</w:t>
      </w:r>
    </w:p>
    <w:p>
      <w:pPr>
        <w:pStyle w:val="Heading1"/>
        <w:spacing w:after="140" w:before="320"/>
      </w:pPr>
      <w:r>
        <w:t xml:space="preserve">7. Revised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600"/>
      </w:tblGrid>
      <w:tr>
        <w:trPr>
          <w:tblHeader/>
        </w:trPr>
        <w:tc>
          <w:tcPr>
            <w:tcW w:type="dxa" w:w="2000"/>
            <w:shd w:fill="2A2138" w:val="clear"/>
            <w:tcMar>
              <w:top w:type="dxa" w:w="80"/>
              <w:left w:type="dxa" w:w="100"/>
              <w:bottom w:type="dxa" w:w="80"/>
              <w:right w:type="dxa" w:w="100"/>
            </w:tcMar>
          </w:tcPr>
          <w:p>
            <w:r>
              <w:rPr>
                <w:b/>
                <w:bCs/>
                <w:color w:val="FFFFFF"/>
                <w:sz w:val="19"/>
                <w:szCs w:val="19"/>
              </w:rPr>
              <w:t xml:space="preserve">Phase</w:t>
            </w:r>
          </w:p>
        </w:tc>
        <w:tc>
          <w:tcPr>
            <w:tcW w:type="dxa" w:w="5300"/>
            <w:shd w:fill="2A2138" w:val="clear"/>
            <w:tcMar>
              <w:top w:type="dxa" w:w="80"/>
              <w:left w:type="dxa" w:w="100"/>
              <w:bottom w:type="dxa" w:w="80"/>
              <w:right w:type="dxa" w:w="100"/>
            </w:tcMar>
          </w:tcPr>
          <w:p>
            <w:r>
              <w:rPr>
                <w:b/>
                <w:bCs/>
                <w:color w:val="FFFFFF"/>
                <w:sz w:val="19"/>
                <w:szCs w:val="19"/>
              </w:rPr>
              <w:t xml:space="preserve">Work</w:t>
            </w:r>
          </w:p>
        </w:tc>
        <w:tc>
          <w:tcPr>
            <w:tcW w:type="dxa" w:w="2600"/>
            <w:shd w:fill="2A2138" w:val="clear"/>
            <w:tcMar>
              <w:top w:type="dxa" w:w="80"/>
              <w:left w:type="dxa" w:w="100"/>
              <w:bottom w:type="dxa" w:w="80"/>
              <w:right w:type="dxa" w:w="100"/>
            </w:tcMar>
          </w:tcPr>
          <w:p>
            <w:r>
              <w:rPr>
                <w:b/>
                <w:bCs/>
                <w:color w:val="FFFFFF"/>
                <w:sz w:val="19"/>
                <w:szCs w:val="19"/>
              </w:rPr>
              <w:t xml:space="preserve">Status</w:t>
            </w:r>
          </w:p>
        </w:tc>
      </w:tr>
      <w:tr>
        <w:tc>
          <w:tcPr>
            <w:tcW w:type="dxa" w:w="2000"/>
            <w:tcMar>
              <w:top w:type="dxa" w:w="80"/>
              <w:left w:type="dxa" w:w="100"/>
              <w:bottom w:type="dxa" w:w="80"/>
              <w:right w:type="dxa" w:w="100"/>
            </w:tcMar>
          </w:tcPr>
          <w:p>
            <w:r>
              <w:rPr>
                <w:b w:val="false"/>
                <w:bCs w:val="false"/>
                <w:color w:val="111111"/>
                <w:sz w:val="19"/>
                <w:szCs w:val="19"/>
              </w:rPr>
              <w:t xml:space="preserve">1. PWA shell</w:t>
            </w:r>
          </w:p>
        </w:tc>
        <w:tc>
          <w:tcPr>
            <w:tcW w:type="dxa" w:w="5300"/>
            <w:tcMar>
              <w:top w:type="dxa" w:w="80"/>
              <w:left w:type="dxa" w:w="100"/>
              <w:bottom w:type="dxa" w:w="80"/>
              <w:right w:type="dxa" w:w="100"/>
            </w:tcMar>
          </w:tcPr>
          <w:p>
            <w:r>
              <w:rPr>
                <w:b w:val="false"/>
                <w:bCs w:val="false"/>
                <w:color w:val="111111"/>
                <w:sz w:val="19"/>
                <w:szCs w:val="19"/>
              </w:rPr>
              <w:t xml:space="preserve">manifest.webmanifest, service-worker.js, offline.html, icons, index.html registration</w:t>
            </w:r>
          </w:p>
        </w:tc>
        <w:tc>
          <w:tcPr>
            <w:tcW w:type="dxa" w:w="2600"/>
            <w:tcMar>
              <w:top w:type="dxa" w:w="80"/>
              <w:left w:type="dxa" w:w="100"/>
              <w:bottom w:type="dxa" w:w="80"/>
              <w:right w:type="dxa" w:w="100"/>
            </w:tcMar>
          </w:tcPr>
          <w:p>
            <w:r>
              <w:rPr>
                <w:b w:val="false"/>
                <w:bCs w:val="false"/>
                <w:color w:val="111111"/>
                <w:sz w:val="19"/>
                <w:szCs w:val="19"/>
              </w:rPr>
              <w:t xml:space="preserve">Shipped this pass</w:t>
            </w:r>
          </w:p>
        </w:tc>
      </w:tr>
      <w:tr>
        <w:tc>
          <w:tcPr>
            <w:tcW w:type="dxa" w:w="2000"/>
            <w:tcMar>
              <w:top w:type="dxa" w:w="80"/>
              <w:left w:type="dxa" w:w="100"/>
              <w:bottom w:type="dxa" w:w="80"/>
              <w:right w:type="dxa" w:w="100"/>
            </w:tcMar>
          </w:tcPr>
          <w:p>
            <w:r>
              <w:rPr>
                <w:b w:val="false"/>
                <w:bCs w:val="false"/>
                <w:color w:val="111111"/>
                <w:sz w:val="19"/>
                <w:szCs w:val="19"/>
              </w:rPr>
              <w:t xml:space="preserve">2. Repo-wide mobile guards</w:t>
            </w:r>
          </w:p>
        </w:tc>
        <w:tc>
          <w:tcPr>
            <w:tcW w:type="dxa" w:w="5300"/>
            <w:tcMar>
              <w:top w:type="dxa" w:w="80"/>
              <w:left w:type="dxa" w:w="100"/>
              <w:bottom w:type="dxa" w:w="80"/>
              <w:right w:type="dxa" w:w="100"/>
            </w:tcMar>
          </w:tcPr>
          <w:p>
            <w:r>
              <w:rPr>
                <w:b w:val="false"/>
                <w:bCs w:val="false"/>
                <w:color w:val="111111"/>
                <w:sz w:val="19"/>
                <w:szCs w:val="19"/>
              </w:rPr>
              <w:t xml:space="preserve">Safe-area insets, overflow guards, tap-target minimum, tap-highlight/touch-action</w:t>
            </w:r>
          </w:p>
        </w:tc>
        <w:tc>
          <w:tcPr>
            <w:tcW w:type="dxa" w:w="2600"/>
            <w:tcMar>
              <w:top w:type="dxa" w:w="80"/>
              <w:left w:type="dxa" w:w="100"/>
              <w:bottom w:type="dxa" w:w="80"/>
              <w:right w:type="dxa" w:w="100"/>
            </w:tcMar>
          </w:tcPr>
          <w:p>
            <w:r>
              <w:rPr>
                <w:b w:val="false"/>
                <w:bCs w:val="false"/>
                <w:color w:val="111111"/>
                <w:sz w:val="19"/>
                <w:szCs w:val="19"/>
              </w:rPr>
              <w:t xml:space="preserve">Shipped this pass</w:t>
            </w:r>
          </w:p>
        </w:tc>
      </w:tr>
      <w:tr>
        <w:tc>
          <w:tcPr>
            <w:tcW w:type="dxa" w:w="2000"/>
            <w:tcMar>
              <w:top w:type="dxa" w:w="80"/>
              <w:left w:type="dxa" w:w="100"/>
              <w:bottom w:type="dxa" w:w="80"/>
              <w:right w:type="dxa" w:w="100"/>
            </w:tcMar>
          </w:tcPr>
          <w:p>
            <w:r>
              <w:rPr>
                <w:b w:val="false"/>
                <w:bCs w:val="false"/>
                <w:color w:val="111111"/>
                <w:sz w:val="19"/>
                <w:szCs w:val="19"/>
              </w:rPr>
              <w:t xml:space="preserve">3. Hover-affordance audit</w:t>
            </w:r>
          </w:p>
        </w:tc>
        <w:tc>
          <w:tcPr>
            <w:tcW w:type="dxa" w:w="5300"/>
            <w:tcMar>
              <w:top w:type="dxa" w:w="80"/>
              <w:left w:type="dxa" w:w="100"/>
              <w:bottom w:type="dxa" w:w="80"/>
              <w:right w:type="dxa" w:w="100"/>
            </w:tcMar>
          </w:tcPr>
          <w:p>
            <w:r>
              <w:rPr>
                <w:b w:val="false"/>
                <w:bCs w:val="false"/>
                <w:color w:val="111111"/>
                <w:sz w:val="19"/>
                <w:szCs w:val="19"/>
              </w:rPr>
              <w:t xml:space="preserve">Manual review of the 36 :hover rules in app.css; add tap-reachable equivalents where an affordance is hover-only</w:t>
            </w:r>
          </w:p>
        </w:tc>
        <w:tc>
          <w:tcPr>
            <w:tcW w:type="dxa" w:w="2600"/>
            <w:tcMar>
              <w:top w:type="dxa" w:w="80"/>
              <w:left w:type="dxa" w:w="100"/>
              <w:bottom w:type="dxa" w:w="80"/>
              <w:right w:type="dxa" w:w="100"/>
            </w:tcMar>
          </w:tcPr>
          <w:p>
            <w:r>
              <w:rPr>
                <w:b w:val="false"/>
                <w:bCs w:val="false"/>
                <w:color w:val="111111"/>
                <w:sz w:val="19"/>
                <w:szCs w:val="19"/>
              </w:rPr>
              <w:t xml:space="preserve">Not started — needs a person, not a blanket rule</w:t>
            </w:r>
          </w:p>
        </w:tc>
      </w:tr>
      <w:tr>
        <w:tc>
          <w:tcPr>
            <w:tcW w:type="dxa" w:w="2000"/>
            <w:tcMar>
              <w:top w:type="dxa" w:w="80"/>
              <w:left w:type="dxa" w:w="100"/>
              <w:bottom w:type="dxa" w:w="80"/>
              <w:right w:type="dxa" w:w="100"/>
            </w:tcMar>
          </w:tcPr>
          <w:p>
            <w:r>
              <w:rPr>
                <w:b w:val="false"/>
                <w:bCs w:val="false"/>
                <w:color w:val="111111"/>
                <w:sz w:val="19"/>
                <w:szCs w:val="19"/>
              </w:rPr>
              <w:t xml:space="preserve">4. Real-device pass</w:t>
            </w:r>
          </w:p>
        </w:tc>
        <w:tc>
          <w:tcPr>
            <w:tcW w:type="dxa" w:w="5300"/>
            <w:tcMar>
              <w:top w:type="dxa" w:w="80"/>
              <w:left w:type="dxa" w:w="100"/>
              <w:bottom w:type="dxa" w:w="80"/>
              <w:right w:type="dxa" w:w="100"/>
            </w:tcMar>
          </w:tcPr>
          <w:p>
            <w:r>
              <w:rPr>
                <w:b w:val="false"/>
                <w:bCs w:val="false"/>
                <w:color w:val="111111"/>
                <w:sz w:val="19"/>
                <w:szCs w:val="19"/>
              </w:rPr>
              <w:t xml:space="preserve">iPhone/iPad Safari, Android Chrome; confirm no overflow across all six arcade screens and the Balance Lab modal</w:t>
            </w:r>
          </w:p>
        </w:tc>
        <w:tc>
          <w:tcPr>
            <w:tcW w:type="dxa" w:w="2600"/>
            <w:tcMar>
              <w:top w:type="dxa" w:w="80"/>
              <w:left w:type="dxa" w:w="100"/>
              <w:bottom w:type="dxa" w:w="80"/>
              <w:right w:type="dxa" w:w="100"/>
            </w:tcMar>
          </w:tcPr>
          <w:p>
            <w:r>
              <w:rPr>
                <w:b w:val="false"/>
                <w:bCs w:val="false"/>
                <w:color w:val="111111"/>
                <w:sz w:val="19"/>
                <w:szCs w:val="19"/>
              </w:rPr>
              <w:t xml:space="preserve">Not started</w:t>
            </w:r>
          </w:p>
        </w:tc>
      </w:tr>
      <w:tr>
        <w:tc>
          <w:tcPr>
            <w:tcW w:type="dxa" w:w="2000"/>
            <w:tcMar>
              <w:top w:type="dxa" w:w="80"/>
              <w:left w:type="dxa" w:w="100"/>
              <w:bottom w:type="dxa" w:w="80"/>
              <w:right w:type="dxa" w:w="100"/>
            </w:tcMar>
          </w:tcPr>
          <w:p>
            <w:r>
              <w:rPr>
                <w:b w:val="false"/>
                <w:bCs w:val="false"/>
                <w:color w:val="111111"/>
                <w:sz w:val="19"/>
                <w:szCs w:val="19"/>
              </w:rPr>
              <w:t xml:space="preserve">5. PWA regression test</w:t>
            </w:r>
          </w:p>
        </w:tc>
        <w:tc>
          <w:tcPr>
            <w:tcW w:type="dxa" w:w="5300"/>
            <w:tcMar>
              <w:top w:type="dxa" w:w="80"/>
              <w:left w:type="dxa" w:w="100"/>
              <w:bottom w:type="dxa" w:w="80"/>
              <w:right w:type="dxa" w:w="100"/>
            </w:tcMar>
          </w:tcPr>
          <w:p>
            <w:r>
              <w:rPr>
                <w:b w:val="false"/>
                <w:bCs w:val="false"/>
                <w:color w:val="111111"/>
                <w:sz w:val="19"/>
                <w:szCs w:val="19"/>
              </w:rPr>
              <w:t xml:space="preserve">Add manifest/service-worker/offline checks to the existing .cjs harness</w:t>
            </w:r>
          </w:p>
        </w:tc>
        <w:tc>
          <w:tcPr>
            <w:tcW w:type="dxa" w:w="2600"/>
            <w:tcMar>
              <w:top w:type="dxa" w:w="80"/>
              <w:left w:type="dxa" w:w="100"/>
              <w:bottom w:type="dxa" w:w="80"/>
              <w:right w:type="dxa" w:w="100"/>
            </w:tcMar>
          </w:tcPr>
          <w:p>
            <w:r>
              <w:rPr>
                <w:b w:val="false"/>
                <w:bCs w:val="false"/>
                <w:color w:val="111111"/>
                <w:sz w:val="19"/>
                <w:szCs w:val="19"/>
              </w:rPr>
              <w:t xml:space="preserve">Not started</w:t>
            </w:r>
          </w:p>
        </w:tc>
      </w:tr>
      <w:tr>
        <w:tc>
          <w:tcPr>
            <w:tcW w:type="dxa" w:w="2000"/>
            <w:tcMar>
              <w:top w:type="dxa" w:w="80"/>
              <w:left w:type="dxa" w:w="100"/>
              <w:bottom w:type="dxa" w:w="80"/>
              <w:right w:type="dxa" w:w="100"/>
            </w:tcMar>
          </w:tcPr>
          <w:p>
            <w:r>
              <w:rPr>
                <w:b w:val="false"/>
                <w:bCs w:val="false"/>
                <w:color w:val="111111"/>
                <w:sz w:val="19"/>
                <w:szCs w:val="19"/>
              </w:rPr>
              <w:t xml:space="preserve">6. Optional: shared-key backend proxy</w:t>
            </w:r>
          </w:p>
        </w:tc>
        <w:tc>
          <w:tcPr>
            <w:tcW w:type="dxa" w:w="5300"/>
            <w:tcMar>
              <w:top w:type="dxa" w:w="80"/>
              <w:left w:type="dxa" w:w="100"/>
              <w:bottom w:type="dxa" w:w="80"/>
              <w:right w:type="dxa" w:w="100"/>
            </w:tcMar>
          </w:tcPr>
          <w:p>
            <w:r>
              <w:rPr>
                <w:b w:val="false"/>
                <w:bCs w:val="false"/>
                <w:color w:val="111111"/>
                <w:sz w:val="19"/>
                <w:szCs w:val="19"/>
              </w:rPr>
              <w:t xml:space="preserve">Only if the token model changes from per-player to studio-supplied</w:t>
            </w:r>
          </w:p>
        </w:tc>
        <w:tc>
          <w:tcPr>
            <w:tcW w:type="dxa" w:w="2600"/>
            <w:tcMar>
              <w:top w:type="dxa" w:w="80"/>
              <w:left w:type="dxa" w:w="100"/>
              <w:bottom w:type="dxa" w:w="80"/>
              <w:right w:type="dxa" w:w="100"/>
            </w:tcMar>
          </w:tcPr>
          <w:p>
            <w:r>
              <w:rPr>
                <w:b w:val="false"/>
                <w:bCs w:val="false"/>
                <w:color w:val="111111"/>
                <w:sz w:val="19"/>
                <w:szCs w:val="19"/>
              </w:rPr>
              <w:t xml:space="preserve">Deferred — see Section 5</w:t>
            </w:r>
          </w:p>
        </w:tc>
      </w:tr>
      <w:tr>
        <w:tc>
          <w:tcPr>
            <w:tcW w:type="dxa" w:w="2000"/>
            <w:tcMar>
              <w:top w:type="dxa" w:w="80"/>
              <w:left w:type="dxa" w:w="100"/>
              <w:bottom w:type="dxa" w:w="80"/>
              <w:right w:type="dxa" w:w="100"/>
            </w:tcMar>
          </w:tcPr>
          <w:p>
            <w:r>
              <w:rPr>
                <w:b w:val="false"/>
                <w:bCs w:val="false"/>
                <w:color w:val="111111"/>
                <w:sz w:val="19"/>
                <w:szCs w:val="19"/>
              </w:rPr>
              <w:t xml:space="preserve">7. Optional: cloud save / custom search</w:t>
            </w:r>
          </w:p>
        </w:tc>
        <w:tc>
          <w:tcPr>
            <w:tcW w:type="dxa" w:w="5300"/>
            <w:tcMar>
              <w:top w:type="dxa" w:w="80"/>
              <w:left w:type="dxa" w:w="100"/>
              <w:bottom w:type="dxa" w:w="80"/>
              <w:right w:type="dxa" w:w="100"/>
            </w:tcMar>
          </w:tcPr>
          <w:p>
            <w:r>
              <w:rPr>
                <w:b w:val="false"/>
                <w:bCs w:val="false"/>
                <w:color w:val="111111"/>
                <w:sz w:val="19"/>
                <w:szCs w:val="19"/>
              </w:rPr>
              <w:t xml:space="preserve">Only if cross-device sync or bespoke filtering is actually needed</w:t>
            </w:r>
          </w:p>
        </w:tc>
        <w:tc>
          <w:tcPr>
            <w:tcW w:type="dxa" w:w="2600"/>
            <w:tcMar>
              <w:top w:type="dxa" w:w="80"/>
              <w:left w:type="dxa" w:w="100"/>
              <w:bottom w:type="dxa" w:w="80"/>
              <w:right w:type="dxa" w:w="100"/>
            </w:tcMar>
          </w:tcPr>
          <w:p>
            <w:r>
              <w:rPr>
                <w:b w:val="false"/>
                <w:bCs w:val="false"/>
                <w:color w:val="111111"/>
                <w:sz w:val="19"/>
                <w:szCs w:val="19"/>
              </w:rPr>
              <w:t xml:space="preserve">Deferred — see Section 5</w:t>
            </w:r>
          </w:p>
        </w:tc>
      </w:tr>
    </w:tbl>
    <w:p>
      <w:pPr>
        <w:pStyle w:val="Heading1"/>
        <w:spacing w:after="140" w:before="320"/>
      </w:pPr>
      <w:r>
        <w:t xml:space="preserve">8. Revised Definition of Done for the mobile/PWA pass</w:t>
      </w:r>
    </w:p>
    <w:p>
      <w:pPr>
        <w:pStyle w:val="ListParagraph"/>
        <w:numPr>
          <w:ilvl w:val="0"/>
          <w:numId w:val="2"/>
        </w:numPr>
        <w:spacing w:after="60"/>
      </w:pPr>
      <w:r>
        <w:t xml:space="preserve">The game is installable to a phone/tablet home screen and launches in standalone display mode.</w:t>
      </w:r>
    </w:p>
    <w:p>
      <w:pPr>
        <w:pStyle w:val="ListParagraph"/>
        <w:numPr>
          <w:ilvl w:val="0"/>
          <w:numId w:val="2"/>
        </w:numPr>
        <w:spacing w:after="60"/>
      </w:pPr>
      <w:r>
        <w:t xml:space="preserve">A device that has loaded the game once can reopen the app shell (not live search) without a network connection, and sees a clear, honest offline message rather than a silent failure.</w:t>
      </w:r>
    </w:p>
    <w:p>
      <w:pPr>
        <w:pStyle w:val="ListParagraph"/>
        <w:numPr>
          <w:ilvl w:val="0"/>
          <w:numId w:val="2"/>
        </w:numPr>
        <w:spacing w:after="60"/>
      </w:pPr>
      <w:r>
        <w:t xml:space="preserve">No horizontal scroll/overflow on any of the six arcade screens or the Balance Lab modal at 375px width.</w:t>
      </w:r>
    </w:p>
    <w:p>
      <w:pPr>
        <w:pStyle w:val="ListParagraph"/>
        <w:numPr>
          <w:ilvl w:val="0"/>
          <w:numId w:val="2"/>
        </w:numPr>
        <w:spacing w:after="60"/>
      </w:pPr>
      <w:r>
        <w:t xml:space="preserve">Every actionable control meets a 44×44 CSS pixel tap target below 600px width, without changing the sizing of controls above that breakpoint.</w:t>
      </w:r>
    </w:p>
    <w:p>
      <w:pPr>
        <w:pStyle w:val="ListParagraph"/>
        <w:numPr>
          <w:ilvl w:val="0"/>
          <w:numId w:val="2"/>
        </w:numPr>
        <w:spacing w:after="60"/>
      </w:pPr>
      <w:r>
        <w:t xml:space="preserve">Safe-area insets are respected on notched iOS devices in both orientations.</w:t>
      </w:r>
    </w:p>
    <w:p>
      <w:pPr>
        <w:pStyle w:val="ListParagraph"/>
        <w:numPr>
          <w:ilvl w:val="0"/>
          <w:numId w:val="2"/>
        </w:numPr>
        <w:spacing w:after="60"/>
      </w:pPr>
      <w:r>
        <w:t xml:space="preserve">All five existing regression suites still pass unmodified, plus a new PWA regression check.</w:t>
      </w:r>
    </w:p>
    <w:p>
      <w:pPr>
        <w:pStyle w:val="ListParagraph"/>
        <w:numPr>
          <w:ilvl w:val="0"/>
          <w:numId w:val="2"/>
        </w:numPr>
        <w:spacing w:after="60"/>
      </w:pPr>
      <w:r>
        <w:t xml:space="preserve">The token/backend model is unchanged and documented as a deliberate choice, not an oversight, in README.md.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2026-07-16T22:33:11.954Z</dcterms:created>
  <dcterms:modified xsi:type="dcterms:W3CDTF">2026-07-16T22:33:11.955Z</dcterms:modified>
</cp:coreProperties>
</file>

<file path=docProps/custom.xml><?xml version="1.0" encoding="utf-8"?>
<Properties xmlns="http://schemas.openxmlformats.org/officeDocument/2006/custom-properties" xmlns:vt="http://schemas.openxmlformats.org/officeDocument/2006/docPropsVTypes"/>
</file>