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F3A5F"/>
          <w:sz w:val="92"/>
        </w:rPr>
        <w:t>ATLAS</w:t>
      </w:r>
    </w:p>
    <w:p>
      <w:pPr>
        <w:jc w:val="center"/>
      </w:pPr>
      <w:r>
        <w:rPr>
          <w:rFonts w:ascii="Calibri Light" w:hAnsi="Calibri Light"/>
          <w:color w:val="2E5E8C"/>
          <w:sz w:val="40"/>
        </w:rPr>
        <w:t>Unified Knowledge Platform</w:t>
      </w:r>
    </w:p>
    <w:p>
      <w:pPr>
        <w:jc w:val="center"/>
      </w:pPr>
      <w:r>
        <w:rPr>
          <w:i/>
          <w:color w:val="5B6470"/>
          <w:sz w:val="24"/>
        </w:rPr>
        <w:t>Ask once. Receive one clear, consolidated, cited answer —</w:t>
      </w:r>
    </w:p>
    <w:p>
      <w:pPr>
        <w:jc w:val="center"/>
      </w:pPr>
      <w:r>
        <w:rPr>
          <w:i/>
          <w:color w:val="5B6470"/>
          <w:sz w:val="24"/>
        </w:rPr>
        <w:t>from every relevant page, across every domain and project.</w:t>
      </w:r>
    </w:p>
    <w:p/>
    <w:p>
      <w:pPr>
        <w:pBdr>
          <w:bottom w:val="single" w:sz="8" w:space="1" w:color="1F3A5F"/>
        </w:pBdr>
      </w:pPr>
    </w:p>
    <w:p>
      <w:pPr>
        <w:jc w:val="center"/>
      </w:pPr>
      <w:r>
        <w:rPr>
          <w:rFonts w:ascii="Calibri Light" w:hAnsi="Calibri Light"/>
          <w:b/>
          <w:color w:val="222222"/>
          <w:sz w:val="32"/>
        </w:rPr>
        <w:t>Technical &amp; Architectural Proof of Concept</w:t>
      </w:r>
    </w:p>
    <w:p>
      <w:pPr>
        <w:pBdr>
          <w:bottom w:val="single" w:sz="8" w:space="1" w:color="1F3A5F"/>
        </w:pBdr>
      </w:pPr>
    </w:p>
    <w:p/>
    <w:p/>
    <w:tbl>
      <w:tblPr>
        <w:tblW w:type="auto" w:w="0"/>
        <w:jc w:val="center"/>
        <w:tblLook w:firstColumn="1" w:firstRow="1" w:lastColumn="0" w:lastRow="0" w:noHBand="0" w:noVBand="1" w:val="04A0"/>
      </w:tblPr>
      <w:tblGrid>
        <w:gridCol w:w="4680"/>
        <w:gridCol w:w="4680"/>
      </w:tblGrid>
      <w:tr>
        <w:tc>
          <w:tcPr>
            <w:tcW w:type="dxa" w:w="3312"/>
          </w:tcPr>
          <w:p>
            <w:pPr>
              <w:spacing w:after="40" w:before="40"/>
              <w:jc w:val="right"/>
            </w:pPr>
            <w:r/>
            <w:r>
              <w:rPr>
                <w:rFonts w:ascii="Calibri" w:hAnsi="Calibri"/>
                <w:b/>
                <w:color w:val="1F3A5F"/>
                <w:sz w:val="22"/>
              </w:rPr>
              <w:t>Prepared for</w:t>
            </w:r>
          </w:p>
        </w:tc>
        <w:tc>
          <w:tcPr>
            <w:tcW w:type="dxa" w:w="4752"/>
          </w:tcPr>
          <w:p>
            <w:pPr>
              <w:spacing w:after="40" w:before="40"/>
            </w:pPr>
            <w:r/>
            <w:r>
              <w:rPr>
                <w:rFonts w:ascii="Calibri" w:hAnsi="Calibri"/>
                <w:b w:val="0"/>
                <w:color w:val="222222"/>
                <w:sz w:val="22"/>
              </w:rPr>
              <w:t>Client Executive &amp; Architecture Review</w:t>
            </w:r>
          </w:p>
        </w:tc>
      </w:tr>
      <w:tr>
        <w:tc>
          <w:tcPr>
            <w:tcW w:type="dxa" w:w="3312"/>
          </w:tcPr>
          <w:p>
            <w:pPr>
              <w:spacing w:after="40" w:before="40"/>
              <w:jc w:val="right"/>
            </w:pPr>
            <w:r/>
            <w:r>
              <w:rPr>
                <w:rFonts w:ascii="Calibri" w:hAnsi="Calibri"/>
                <w:b/>
                <w:color w:val="1F3A5F"/>
                <w:sz w:val="22"/>
              </w:rPr>
              <w:t>Prepared by</w:t>
            </w:r>
          </w:p>
        </w:tc>
        <w:tc>
          <w:tcPr>
            <w:tcW w:type="dxa" w:w="4752"/>
          </w:tcPr>
          <w:p>
            <w:pPr>
              <w:spacing w:after="40" w:before="40"/>
            </w:pPr>
            <w:r/>
            <w:r>
              <w:rPr>
                <w:rFonts w:ascii="Calibri" w:hAnsi="Calibri"/>
                <w:b w:val="0"/>
                <w:color w:val="222222"/>
                <w:sz w:val="22"/>
              </w:rPr>
              <w:t>CJ-Covance</w:t>
            </w:r>
          </w:p>
        </w:tc>
      </w:tr>
      <w:tr>
        <w:tc>
          <w:tcPr>
            <w:tcW w:type="dxa" w:w="3312"/>
          </w:tcPr>
          <w:p>
            <w:pPr>
              <w:spacing w:after="40" w:before="40"/>
              <w:jc w:val="right"/>
            </w:pPr>
            <w:r/>
            <w:r>
              <w:rPr>
                <w:rFonts w:ascii="Calibri" w:hAnsi="Calibri"/>
                <w:b/>
                <w:color w:val="1F3A5F"/>
                <w:sz w:val="22"/>
              </w:rPr>
              <w:t>Document type</w:t>
            </w:r>
          </w:p>
        </w:tc>
        <w:tc>
          <w:tcPr>
            <w:tcW w:type="dxa" w:w="4752"/>
          </w:tcPr>
          <w:p>
            <w:pPr>
              <w:spacing w:after="40" w:before="40"/>
            </w:pPr>
            <w:r/>
            <w:r>
              <w:rPr>
                <w:rFonts w:ascii="Calibri" w:hAnsi="Calibri"/>
                <w:b w:val="0"/>
                <w:color w:val="222222"/>
                <w:sz w:val="22"/>
              </w:rPr>
              <w:t>Proof of Concept — Proposal</w:t>
            </w:r>
          </w:p>
        </w:tc>
      </w:tr>
      <w:tr>
        <w:tc>
          <w:tcPr>
            <w:tcW w:type="dxa" w:w="3312"/>
          </w:tcPr>
          <w:p>
            <w:pPr>
              <w:spacing w:after="40" w:before="40"/>
              <w:jc w:val="right"/>
            </w:pPr>
            <w:r/>
            <w:r>
              <w:rPr>
                <w:rFonts w:ascii="Calibri" w:hAnsi="Calibri"/>
                <w:b/>
                <w:color w:val="1F3A5F"/>
                <w:sz w:val="22"/>
              </w:rPr>
              <w:t>Version</w:t>
            </w:r>
          </w:p>
        </w:tc>
        <w:tc>
          <w:tcPr>
            <w:tcW w:type="dxa" w:w="4752"/>
          </w:tcPr>
          <w:p>
            <w:pPr>
              <w:spacing w:after="40" w:before="40"/>
            </w:pPr>
            <w:r/>
            <w:r>
              <w:rPr>
                <w:rFonts w:ascii="Calibri" w:hAnsi="Calibri"/>
                <w:b w:val="0"/>
                <w:color w:val="222222"/>
                <w:sz w:val="22"/>
              </w:rPr>
              <w:t>1.0</w:t>
            </w:r>
          </w:p>
        </w:tc>
      </w:tr>
      <w:tr>
        <w:tc>
          <w:tcPr>
            <w:tcW w:type="dxa" w:w="3312"/>
          </w:tcPr>
          <w:p>
            <w:pPr>
              <w:spacing w:after="40" w:before="40"/>
              <w:jc w:val="right"/>
            </w:pPr>
            <w:r/>
            <w:r>
              <w:rPr>
                <w:rFonts w:ascii="Calibri" w:hAnsi="Calibri"/>
                <w:b/>
                <w:color w:val="1F3A5F"/>
                <w:sz w:val="22"/>
              </w:rPr>
              <w:t>Date</w:t>
            </w:r>
          </w:p>
        </w:tc>
        <w:tc>
          <w:tcPr>
            <w:tcW w:type="dxa" w:w="4752"/>
          </w:tcPr>
          <w:p>
            <w:pPr>
              <w:spacing w:after="40" w:before="40"/>
            </w:pPr>
            <w:r/>
            <w:r>
              <w:rPr>
                <w:rFonts w:ascii="Calibri" w:hAnsi="Calibri"/>
                <w:b w:val="0"/>
                <w:color w:val="222222"/>
                <w:sz w:val="22"/>
              </w:rPr>
              <w:t>June 2026</w:t>
            </w:r>
          </w:p>
        </w:tc>
      </w:tr>
      <w:tr>
        <w:tc>
          <w:tcPr>
            <w:tcW w:type="dxa" w:w="3312"/>
          </w:tcPr>
          <w:p>
            <w:pPr>
              <w:spacing w:after="40" w:before="40"/>
              <w:jc w:val="right"/>
            </w:pPr>
            <w:r/>
            <w:r>
              <w:rPr>
                <w:rFonts w:ascii="Calibri" w:hAnsi="Calibri"/>
                <w:b/>
                <w:color w:val="1F3A5F"/>
                <w:sz w:val="22"/>
              </w:rPr>
              <w:t>Classification</w:t>
            </w:r>
          </w:p>
        </w:tc>
        <w:tc>
          <w:tcPr>
            <w:tcW w:type="dxa" w:w="4752"/>
          </w:tcPr>
          <w:p>
            <w:pPr>
              <w:spacing w:after="40" w:before="40"/>
            </w:pPr>
            <w:r/>
            <w:r>
              <w:rPr>
                <w:rFonts w:ascii="Calibri" w:hAnsi="Calibri"/>
                <w:b w:val="0"/>
                <w:color w:val="222222"/>
                <w:sz w:val="22"/>
              </w:rPr>
              <w:t>Confidential</w:t>
            </w:r>
          </w:p>
        </w:tc>
      </w:tr>
    </w:tbl>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296"/>
            <w:shd w:val="clear" w:color="auto" w:fill="1F3A5F"/>
          </w:tcPr>
          <w:p>
            <w:pPr>
              <w:spacing w:after="40" w:before="40"/>
            </w:pPr>
            <w:r/>
            <w:r>
              <w:rPr>
                <w:rFonts w:ascii="Calibri" w:hAnsi="Calibri"/>
                <w:b/>
                <w:color w:val="FFFFFF"/>
                <w:sz w:val="20"/>
              </w:rPr>
              <w:t>Version</w:t>
            </w:r>
          </w:p>
        </w:tc>
        <w:tc>
          <w:tcPr>
            <w:tcW w:type="dxa" w:w="1584"/>
            <w:shd w:val="clear" w:color="auto" w:fill="1F3A5F"/>
          </w:tcPr>
          <w:p>
            <w:pPr>
              <w:spacing w:after="40" w:before="40"/>
            </w:pPr>
            <w:r/>
            <w:r>
              <w:rPr>
                <w:rFonts w:ascii="Calibri" w:hAnsi="Calibri"/>
                <w:b/>
                <w:color w:val="FFFFFF"/>
                <w:sz w:val="20"/>
              </w:rPr>
              <w:t>Date</w:t>
            </w:r>
          </w:p>
        </w:tc>
        <w:tc>
          <w:tcPr>
            <w:tcW w:type="dxa" w:w="2304"/>
            <w:shd w:val="clear" w:color="auto" w:fill="1F3A5F"/>
          </w:tcPr>
          <w:p>
            <w:pPr>
              <w:spacing w:after="40" w:before="40"/>
            </w:pPr>
            <w:r/>
            <w:r>
              <w:rPr>
                <w:rFonts w:ascii="Calibri" w:hAnsi="Calibri"/>
                <w:b/>
                <w:color w:val="FFFFFF"/>
                <w:sz w:val="20"/>
              </w:rPr>
              <w:t>Author</w:t>
            </w:r>
          </w:p>
        </w:tc>
        <w:tc>
          <w:tcPr>
            <w:tcW w:type="dxa" w:w="2448"/>
            <w:shd w:val="clear" w:color="auto" w:fill="1F3A5F"/>
          </w:tcPr>
          <w:p>
            <w:pPr>
              <w:spacing w:after="40" w:before="40"/>
            </w:pPr>
            <w:r/>
            <w:r>
              <w:rPr>
                <w:rFonts w:ascii="Calibri" w:hAnsi="Calibri"/>
                <w:b/>
                <w:color w:val="FFFFFF"/>
                <w:sz w:val="20"/>
              </w:rPr>
              <w:t>Status</w:t>
            </w:r>
          </w:p>
        </w:tc>
        <w:tc>
          <w:tcPr>
            <w:tcW w:type="dxa" w:w="2880"/>
            <w:shd w:val="clear" w:color="auto" w:fill="1F3A5F"/>
          </w:tcPr>
          <w:p>
            <w:pPr>
              <w:spacing w:after="40" w:before="40"/>
            </w:pPr>
            <w:r/>
            <w:r>
              <w:rPr>
                <w:rFonts w:ascii="Calibri" w:hAnsi="Calibri"/>
                <w:b/>
                <w:color w:val="FFFFFF"/>
                <w:sz w:val="20"/>
              </w:rPr>
              <w:t>Notes</w:t>
            </w:r>
          </w:p>
        </w:tc>
      </w:tr>
      <w:tr>
        <w:tc>
          <w:tcPr>
            <w:tcW w:type="dxa" w:w="1296"/>
          </w:tcPr>
          <w:p>
            <w:pPr>
              <w:spacing w:after="40" w:before="40"/>
            </w:pPr>
            <w:r/>
            <w:r>
              <w:rPr>
                <w:rFonts w:ascii="Calibri" w:hAnsi="Calibri"/>
                <w:b w:val="0"/>
                <w:color w:val="222222"/>
                <w:sz w:val="20"/>
              </w:rPr>
              <w:t>1.0</w:t>
            </w:r>
          </w:p>
        </w:tc>
        <w:tc>
          <w:tcPr>
            <w:tcW w:type="dxa" w:w="1584"/>
          </w:tcPr>
          <w:p>
            <w:pPr>
              <w:spacing w:after="40" w:before="40"/>
            </w:pPr>
            <w:r/>
            <w:r>
              <w:rPr>
                <w:rFonts w:ascii="Calibri" w:hAnsi="Calibri"/>
                <w:b w:val="0"/>
                <w:color w:val="222222"/>
                <w:sz w:val="20"/>
              </w:rPr>
              <w:t>June 2026</w:t>
            </w:r>
          </w:p>
        </w:tc>
        <w:tc>
          <w:tcPr>
            <w:tcW w:type="dxa" w:w="2304"/>
          </w:tcPr>
          <w:p>
            <w:pPr>
              <w:spacing w:after="40" w:before="40"/>
            </w:pPr>
            <w:r/>
            <w:r>
              <w:rPr>
                <w:rFonts w:ascii="Calibri" w:hAnsi="Calibri"/>
                <w:b w:val="0"/>
                <w:color w:val="222222"/>
                <w:sz w:val="20"/>
              </w:rPr>
              <w:t>CJ-Covance</w:t>
            </w:r>
          </w:p>
        </w:tc>
        <w:tc>
          <w:tcPr>
            <w:tcW w:type="dxa" w:w="2448"/>
          </w:tcPr>
          <w:p>
            <w:pPr>
              <w:spacing w:after="40" w:before="40"/>
            </w:pPr>
            <w:r/>
            <w:r>
              <w:rPr>
                <w:rFonts w:ascii="Calibri" w:hAnsi="Calibri"/>
                <w:b w:val="0"/>
                <w:color w:val="222222"/>
                <w:sz w:val="20"/>
              </w:rPr>
              <w:t>Draft for client review</w:t>
            </w:r>
          </w:p>
        </w:tc>
        <w:tc>
          <w:tcPr>
            <w:tcW w:type="dxa" w:w="2880"/>
          </w:tcPr>
          <w:p>
            <w:pPr>
              <w:spacing w:after="40" w:before="40"/>
            </w:pPr>
            <w:r/>
            <w:r>
              <w:rPr>
                <w:rFonts w:ascii="Calibri" w:hAnsi="Calibri"/>
                <w:b w:val="0"/>
                <w:color w:val="222222"/>
                <w:sz w:val="20"/>
              </w:rPr>
              <w:t>Initial technical &amp; architectural POC proposal.</w:t>
            </w:r>
          </w:p>
        </w:tc>
      </w:tr>
    </w:tbl>
    <w:p>
      <w:pPr>
        <w:spacing w:after="80"/>
      </w:pPr>
    </w:p>
    <w:p>
      <w:pPr>
        <w:spacing w:after="160"/>
      </w:pPr>
      <w:r>
        <w:rPr>
          <w:b w:val="0"/>
          <w:i/>
          <w:color w:val="5B6470"/>
          <w:sz w:val="19"/>
        </w:rPr>
        <w:t>This document is confidential and intended solely for the named client's evaluation of the proposed proof of concept.</w:t>
      </w:r>
    </w:p>
    <w:p/>
    <w:p>
      <w:pPr>
        <w:pStyle w:val="Heading1"/>
      </w:pPr>
      <w:r>
        <w:t>Contents</w:t>
      </w:r>
    </w:p>
    <w:p>
      <w:r>
        <w:fldChar w:fldCharType="begin"/>
        <w:instrText xml:space="preserve">TOC \o "1-2" \h \z \u</w:instrText>
        <w:fldChar w:fldCharType="separate"/>
        <w:t>1</w:t>
        <w:fldChar w:fldCharType="end"/>
      </w:r>
    </w:p>
    <w:p>
      <w:pPr>
        <w:spacing w:after="160"/>
      </w:pPr>
      <w:r>
        <w:rPr>
          <w:b w:val="0"/>
          <w:i/>
          <w:color w:val="5B6470"/>
          <w:sz w:val="18"/>
        </w:rPr>
        <w:t>If the contents above appear empty, right-click and choose “Update Field” (or press Ctrl+A then F9) to populate page numbers.</w:t>
      </w:r>
    </w:p>
    <w:p>
      <w:r>
        <w:br w:type="page"/>
      </w:r>
    </w:p>
    <w:p>
      <w:pPr>
        <w:pStyle w:val="Heading1"/>
      </w:pPr>
      <w:r>
        <w:t>1.  Executive Summary</w:t>
      </w:r>
    </w:p>
    <w:p>
      <w:pPr>
        <w:pStyle w:val="Heading2"/>
      </w:pPr>
      <w:r>
        <w:t>1.1  The problem</w:t>
      </w:r>
    </w:p>
    <w:p>
      <w:pPr>
        <w:spacing w:after="160"/>
      </w:pPr>
      <w:r>
        <w:rPr>
          <w:b w:val="0"/>
          <w:i w:val="0"/>
          <w:color w:val="222222"/>
          <w:sz w:val="22"/>
        </w:rPr>
        <w:t>Across the organization, knowledge is real but fragmented. The answer a person needs is typically spread across a wiki space, a SharePoint site, several PDFs on a shared drive, a closed ticket, and an email thread — each owned by a different team, each using different vocabulary, and each requiring the right access. The cost is not storing documents; it is the human effort to find, read, reconcile, and summarize them.</w:t>
      </w:r>
    </w:p>
    <w:p>
      <w:pPr>
        <w:spacing w:after="160"/>
      </w:pPr>
      <w:r>
        <w:rPr>
          <w:b w:val="0"/>
          <w:i w:val="0"/>
          <w:color w:val="222222"/>
          <w:sz w:val="22"/>
        </w:rPr>
        <w:t>A single cross-team question — for example, “What is our current data-retention policy for clinical documents, and which projects already implement it?” — can take an expert hours to answer, and the result is only as good as the documents that person happened to find. The recurring symptoms are familiar:</w:t>
      </w:r>
    </w:p>
    <w:p>
      <w:pPr>
        <w:pStyle w:val="ListBullet"/>
        <w:spacing w:after="60"/>
      </w:pPr>
      <w:r>
        <w:t>“I know the answer exists somewhere — I just can’t find it.”</w:t>
      </w:r>
    </w:p>
    <w:p>
      <w:pPr>
        <w:pStyle w:val="ListBullet"/>
        <w:spacing w:after="60"/>
      </w:pPr>
      <w:r>
        <w:t>“Every team documents the same thing differently.”</w:t>
      </w:r>
    </w:p>
    <w:p>
      <w:pPr>
        <w:pStyle w:val="ListBullet"/>
        <w:spacing w:after="60"/>
      </w:pPr>
      <w:r>
        <w:t>“By the time I’ve read everything, I’m unsure which version is current.”</w:t>
      </w:r>
    </w:p>
    <w:p>
      <w:pPr>
        <w:pStyle w:val="ListBullet"/>
        <w:spacing w:after="60"/>
      </w:pPr>
      <w:r>
        <w:t>“New joiners take months to learn where knowledge lives.”</w:t>
      </w:r>
    </w:p>
    <w:p>
      <w:pPr>
        <w:pStyle w:val="Heading2"/>
      </w:pPr>
      <w:r>
        <w:t>1.2  The proposed solution</w:t>
      </w:r>
    </w:p>
    <w:p>
      <w:pPr>
        <w:spacing w:after="160"/>
      </w:pPr>
      <w:r>
        <w:rPr>
          <w:b w:val="0"/>
          <w:i w:val="0"/>
          <w:color w:val="222222"/>
          <w:sz w:val="22"/>
        </w:rPr>
        <w:t>Atlas is a scalable, extensible enterprise platform that centralizes knowledge across domains and projects and lets people ask a question once and receive a single, clear, consolidated answer — summarized from every relevant page, with inline citations to the original sources. Atlas does three things well:</w:t>
      </w:r>
    </w:p>
    <w:p>
      <w:pPr>
        <w:spacing w:after="60"/>
        <w:ind w:left="432" w:hanging="432"/>
      </w:pPr>
      <w:r>
        <w:rPr>
          <w:b/>
        </w:rPr>
        <w:t>1.</w:t>
        <w:tab/>
      </w:r>
      <w:r>
        <w:rPr>
          <w:b/>
        </w:rPr>
        <w:t xml:space="preserve">Unify.  </w:t>
      </w:r>
      <w:r>
        <w:t>Connectors continuously ingest content from many systems into one normalized, searchable knowledge layer.</w:t>
      </w:r>
    </w:p>
    <w:p>
      <w:pPr>
        <w:spacing w:after="60"/>
        <w:ind w:left="432" w:hanging="432"/>
      </w:pPr>
      <w:r>
        <w:rPr>
          <w:b/>
        </w:rPr>
        <w:t>2.</w:t>
        <w:tab/>
      </w:r>
      <w:r>
        <w:rPr>
          <w:b/>
        </w:rPr>
        <w:t xml:space="preserve">Understand.  </w:t>
      </w:r>
      <w:r>
        <w:t>Content is parsed, chunked, embedded, and indexed for both semantic and keyword retrieval, enriched with metadata (domain, project, owner, freshness, access).</w:t>
      </w:r>
    </w:p>
    <w:p>
      <w:pPr>
        <w:spacing w:after="60"/>
        <w:ind w:left="432" w:hanging="432"/>
      </w:pPr>
      <w:r>
        <w:rPr>
          <w:b/>
        </w:rPr>
        <w:t>3.</w:t>
        <w:tab/>
      </w:r>
      <w:r>
        <w:rPr>
          <w:b/>
        </w:rPr>
        <w:t xml:space="preserve">Answer.  </w:t>
      </w:r>
      <w:r>
        <w:t>A retrieval-augmented generation (RAG) pipeline finds the most relevant passages across all sources and synthesizes a concise, grounded answer with citations — never a bare list of links.</w:t>
      </w:r>
    </w:p>
    <w:p>
      <w:pPr>
        <w:spacing w:after="160"/>
      </w:pPr>
      <w:r>
        <w:rPr>
          <w:b w:val="0"/>
          <w:i w:val="0"/>
          <w:color w:val="222222"/>
          <w:sz w:val="22"/>
        </w:rPr>
        <w:t>Crucially, Atlas respects existing permissions: a user only ever sees answers built from content they are already entitled to read.</w:t>
      </w:r>
    </w:p>
    <w:p>
      <w:pPr>
        <w:pStyle w:val="Heading2"/>
      </w:pPr>
      <w:r>
        <w:t>1.3  What changes for the user</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color w:val="FFFFFF"/>
                <w:sz w:val="20"/>
              </w:rPr>
              <w:t>Today</w:t>
            </w:r>
          </w:p>
        </w:tc>
        <w:tc>
          <w:tcPr>
            <w:tcW w:type="dxa" w:w="4680"/>
            <w:shd w:val="clear" w:color="auto" w:fill="1F3A5F"/>
          </w:tcPr>
          <w:p>
            <w:pPr>
              <w:spacing w:after="40" w:before="40"/>
            </w:pPr>
            <w:r/>
            <w:r>
              <w:rPr>
                <w:rFonts w:ascii="Calibri" w:hAnsi="Calibri"/>
                <w:b/>
                <w:color w:val="FFFFFF"/>
                <w:sz w:val="20"/>
              </w:rPr>
              <w:t>With Atlas</w:t>
            </w:r>
          </w:p>
        </w:tc>
      </w:tr>
      <w:tr>
        <w:tc>
          <w:tcPr>
            <w:tcW w:type="dxa" w:w="4680"/>
          </w:tcPr>
          <w:p>
            <w:pPr>
              <w:spacing w:after="40" w:before="40"/>
            </w:pPr>
            <w:r/>
            <w:r>
              <w:rPr>
                <w:rFonts w:ascii="Calibri" w:hAnsi="Calibri"/>
                <w:b w:val="0"/>
                <w:color w:val="222222"/>
                <w:sz w:val="20"/>
              </w:rPr>
              <w:t>Search returns dozens of links; you open and read each one.</w:t>
            </w:r>
          </w:p>
        </w:tc>
        <w:tc>
          <w:tcPr>
            <w:tcW w:type="dxa" w:w="4680"/>
          </w:tcPr>
          <w:p>
            <w:pPr>
              <w:spacing w:after="40" w:before="40"/>
            </w:pPr>
            <w:r/>
            <w:r>
              <w:rPr>
                <w:rFonts w:ascii="Calibri" w:hAnsi="Calibri"/>
                <w:b w:val="0"/>
                <w:color w:val="222222"/>
                <w:sz w:val="20"/>
              </w:rPr>
              <w:t>You receive one consolidated answer, with citations to expand.</w:t>
            </w:r>
          </w:p>
        </w:tc>
      </w:tr>
      <w:tr>
        <w:tc>
          <w:tcPr>
            <w:tcW w:type="dxa" w:w="4680"/>
            <w:shd w:val="clear" w:color="auto" w:fill="EAF1F8"/>
          </w:tcPr>
          <w:p>
            <w:pPr>
              <w:spacing w:after="40" w:before="40"/>
            </w:pPr>
            <w:r/>
            <w:r>
              <w:rPr>
                <w:rFonts w:ascii="Calibri" w:hAnsi="Calibri"/>
                <w:b w:val="0"/>
                <w:color w:val="222222"/>
                <w:sz w:val="20"/>
              </w:rPr>
              <w:t>You manually reconcile conflicting documents.</w:t>
            </w:r>
          </w:p>
        </w:tc>
        <w:tc>
          <w:tcPr>
            <w:tcW w:type="dxa" w:w="4680"/>
            <w:shd w:val="clear" w:color="auto" w:fill="EAF1F8"/>
          </w:tcPr>
          <w:p>
            <w:pPr>
              <w:spacing w:after="40" w:before="40"/>
            </w:pPr>
            <w:r/>
            <w:r>
              <w:rPr>
                <w:rFonts w:ascii="Calibri" w:hAnsi="Calibri"/>
                <w:b w:val="0"/>
                <w:color w:val="222222"/>
                <w:sz w:val="20"/>
              </w:rPr>
              <w:t>Atlas surfaces and flags conflicting or duplicate sources.</w:t>
            </w:r>
          </w:p>
        </w:tc>
      </w:tr>
      <w:tr>
        <w:tc>
          <w:tcPr>
            <w:tcW w:type="dxa" w:w="4680"/>
          </w:tcPr>
          <w:p>
            <w:pPr>
              <w:spacing w:after="40" w:before="40"/>
            </w:pPr>
            <w:r/>
            <w:r>
              <w:rPr>
                <w:rFonts w:ascii="Calibri" w:hAnsi="Calibri"/>
                <w:b w:val="0"/>
                <w:color w:val="222222"/>
                <w:sz w:val="20"/>
              </w:rPr>
              <w:t>Knowledge lives in silos per team and per tool.</w:t>
            </w:r>
          </w:p>
        </w:tc>
        <w:tc>
          <w:tcPr>
            <w:tcW w:type="dxa" w:w="4680"/>
          </w:tcPr>
          <w:p>
            <w:pPr>
              <w:spacing w:after="40" w:before="40"/>
            </w:pPr>
            <w:r/>
            <w:r>
              <w:rPr>
                <w:rFonts w:ascii="Calibri" w:hAnsi="Calibri"/>
                <w:b w:val="0"/>
                <w:color w:val="222222"/>
                <w:sz w:val="20"/>
              </w:rPr>
              <w:t>One question spans every domain and project you can access.</w:t>
            </w:r>
          </w:p>
        </w:tc>
      </w:tr>
      <w:tr>
        <w:tc>
          <w:tcPr>
            <w:tcW w:type="dxa" w:w="4680"/>
            <w:shd w:val="clear" w:color="auto" w:fill="EAF1F8"/>
          </w:tcPr>
          <w:p>
            <w:pPr>
              <w:spacing w:after="40" w:before="40"/>
            </w:pPr>
            <w:r/>
            <w:r>
              <w:rPr>
                <w:rFonts w:ascii="Calibri" w:hAnsi="Calibri"/>
                <w:b w:val="0"/>
                <w:color w:val="222222"/>
                <w:sz w:val="20"/>
              </w:rPr>
              <w:t>Answers depend on who you ask.</w:t>
            </w:r>
          </w:p>
        </w:tc>
        <w:tc>
          <w:tcPr>
            <w:tcW w:type="dxa" w:w="4680"/>
            <w:shd w:val="clear" w:color="auto" w:fill="EAF1F8"/>
          </w:tcPr>
          <w:p>
            <w:pPr>
              <w:spacing w:after="40" w:before="40"/>
            </w:pPr>
            <w:r/>
            <w:r>
              <w:rPr>
                <w:rFonts w:ascii="Calibri" w:hAnsi="Calibri"/>
                <w:b w:val="0"/>
                <w:color w:val="222222"/>
                <w:sz w:val="20"/>
              </w:rPr>
              <w:t>Answers are consistent, grounded, and fully traceable.</w:t>
            </w:r>
          </w:p>
        </w:tc>
      </w:tr>
    </w:tbl>
    <w:p>
      <w:pPr>
        <w:spacing w:after="80"/>
      </w:pPr>
    </w:p>
    <w:p>
      <w:pPr>
        <w:pStyle w:val="Heading2"/>
      </w:pPr>
      <w:r>
        <w:t>1.4  Why this is feasible now</w:t>
      </w:r>
    </w:p>
    <w:p>
      <w:pPr>
        <w:pStyle w:val="ListBullet"/>
        <w:spacing w:after="60"/>
      </w:pPr>
      <w:r>
        <w:rPr>
          <w:b/>
        </w:rPr>
        <w:t xml:space="preserve">RAG is enterprise-ready.  </w:t>
      </w:r>
      <w:r>
        <w:t>Grounding answers in retrieved source text makes them auditable and citable, directly addressing enterprise trust and compliance concerns.</w:t>
      </w:r>
    </w:p>
    <w:p>
      <w:pPr>
        <w:pStyle w:val="ListBullet"/>
        <w:spacing w:after="60"/>
      </w:pPr>
      <w:r>
        <w:rPr>
          <w:b/>
        </w:rPr>
        <w:t xml:space="preserve">Connector-first design.  </w:t>
      </w:r>
      <w:r>
        <w:t>New sources and domains are added as configuration plus a small connector — not a re-architecture.</w:t>
      </w:r>
    </w:p>
    <w:p>
      <w:pPr>
        <w:pStyle w:val="ListBullet"/>
        <w:spacing w:after="60"/>
      </w:pPr>
      <w:r>
        <w:rPr>
          <w:b/>
        </w:rPr>
        <w:t xml:space="preserve">Model-agnostic.  </w:t>
      </w:r>
      <w:r>
        <w:t>The LLM and embedding model are swappable components, so the platform is never locked to one vendor and can run in a private cloud or on-premises.</w:t>
      </w:r>
    </w:p>
    <w:p>
      <w:pPr>
        <w:pStyle w:val="Heading2"/>
      </w:pPr>
      <w:r>
        <w:t>1.5  Value and outcomes</w:t>
      </w:r>
    </w:p>
    <w:p>
      <w:pPr>
        <w:pStyle w:val="ListBullet"/>
        <w:spacing w:after="60"/>
      </w:pPr>
      <w:r>
        <w:t>Time-to-answer drops from hours of manual reading to seconds.</w:t>
      </w:r>
    </w:p>
    <w:p>
      <w:pPr>
        <w:pStyle w:val="ListBullet"/>
        <w:spacing w:after="60"/>
      </w:pPr>
      <w:r>
        <w:t>Every answer is grounded and cited, reducing reliance on tribal knowledge.</w:t>
      </w:r>
    </w:p>
    <w:p>
      <w:pPr>
        <w:pStyle w:val="ListBullet"/>
        <w:spacing w:after="60"/>
      </w:pPr>
      <w:r>
        <w:t>Faster onboarding and reduced expert interrupt-load.</w:t>
      </w:r>
    </w:p>
    <w:p>
      <w:pPr>
        <w:pStyle w:val="ListBullet"/>
        <w:spacing w:after="60"/>
      </w:pPr>
      <w:r>
        <w:t>A reusable knowledge asset that powers search, Q&amp;A, and future automation.</w:t>
      </w:r>
    </w:p>
    <w:p>
      <w:pPr>
        <w:pStyle w:val="Heading2"/>
      </w:pPr>
      <w:r>
        <w:t>1.6  The ask</w:t>
      </w:r>
    </w:p>
    <w:p>
      <w:pPr>
        <w:spacing w:after="160"/>
      </w:pPr>
      <w:r>
        <w:rPr>
          <w:b w:val="0"/>
          <w:i w:val="0"/>
          <w:color w:val="222222"/>
          <w:sz w:val="22"/>
        </w:rPr>
        <w:t>Approval to run a time-boxed proof of concept with access to representative source systems and a small client working group (a product owner, a knowledge/subject-matter contact per domain, and an IT/security contact). Deliverables: a working demonstration, a measured quality report, and a production reference architecture with a phased rollout plan.</w:t>
      </w:r>
    </w:p>
    <w:p>
      <w:r>
        <w:br w:type="page"/>
      </w:r>
    </w:p>
    <w:p>
      <w:pPr>
        <w:pStyle w:val="Heading1"/>
      </w:pPr>
      <w:r>
        <w:t>2.  Solution Overview</w:t>
      </w:r>
    </w:p>
    <w:p>
      <w:pPr>
        <w:spacing w:after="160"/>
      </w:pPr>
      <w:r>
        <w:rPr>
          <w:b w:val="0"/>
          <w:i w:val="0"/>
          <w:color w:val="222222"/>
          <w:sz w:val="22"/>
        </w:rPr>
        <w:t>Atlas turns a natural-language question into a single, grounded, cited answer in four steps. The user asks once; the platform does the finding, reading, and reconciling that people perform manually today.</w:t>
      </w:r>
    </w:p>
    <w:p>
      <w:pPr>
        <w:spacing w:before="120" w:after="40"/>
        <w:jc w:val="center"/>
      </w:pPr>
      <w:r>
        <w:drawing>
          <wp:inline xmlns:a="http://schemas.openxmlformats.org/drawingml/2006/main" xmlns:pic="http://schemas.openxmlformats.org/drawingml/2006/picture">
            <wp:extent cx="5760720" cy="3201748"/>
            <wp:docPr id="1" name="Picture 1"/>
            <wp:cNvGraphicFramePr>
              <a:graphicFrameLocks noChangeAspect="1"/>
            </wp:cNvGraphicFramePr>
            <a:graphic>
              <a:graphicData uri="http://schemas.openxmlformats.org/drawingml/2006/picture">
                <pic:pic>
                  <pic:nvPicPr>
                    <pic:cNvPr id="0" name="fig3_query_flow.png"/>
                    <pic:cNvPicPr/>
                  </pic:nvPicPr>
                  <pic:blipFill>
                    <a:blip r:embed="rId9"/>
                    <a:stretch>
                      <a:fillRect/>
                    </a:stretch>
                  </pic:blipFill>
                  <pic:spPr>
                    <a:xfrm>
                      <a:off x="0" y="0"/>
                      <a:ext cx="5760720" cy="3201748"/>
                    </a:xfrm>
                    <a:prstGeom prst="rect"/>
                  </pic:spPr>
                </pic:pic>
              </a:graphicData>
            </a:graphic>
          </wp:inline>
        </w:drawing>
      </w:r>
    </w:p>
    <w:p>
      <w:pPr>
        <w:spacing w:after="200"/>
        <w:jc w:val="center"/>
      </w:pPr>
      <w:r>
        <w:rPr>
          <w:i/>
          <w:color w:val="5B6470"/>
          <w:sz w:val="18"/>
        </w:rPr>
        <w:t>Figure 1.  The “ask once” journey: a single question becomes one consolidated, cited answer, with permissions enforced before any content reaches the model.</w:t>
      </w:r>
    </w:p>
    <w:p>
      <w:pPr>
        <w:spacing w:after="60"/>
        <w:ind w:left="432" w:hanging="432"/>
      </w:pPr>
      <w:r>
        <w:rPr>
          <w:b/>
        </w:rPr>
        <w:t>1.</w:t>
        <w:tab/>
      </w:r>
      <w:r>
        <w:rPr>
          <w:b/>
        </w:rPr>
        <w:t xml:space="preserve">Unify.  </w:t>
      </w:r>
      <w:r>
        <w:t>Connectors continuously ingest content from many systems into one normalized, searchable knowledge layer.</w:t>
      </w:r>
    </w:p>
    <w:p>
      <w:pPr>
        <w:spacing w:after="60"/>
        <w:ind w:left="432" w:hanging="432"/>
      </w:pPr>
      <w:r>
        <w:rPr>
          <w:b/>
        </w:rPr>
        <w:t>2.</w:t>
        <w:tab/>
      </w:r>
      <w:r>
        <w:rPr>
          <w:b/>
        </w:rPr>
        <w:t xml:space="preserve">Understand.  </w:t>
      </w:r>
      <w:r>
        <w:t>Content is parsed, chunked, embedded, and indexed for semantic and keyword retrieval, enriched with domain, project, owner, freshness, and access metadata.</w:t>
      </w:r>
    </w:p>
    <w:p>
      <w:pPr>
        <w:spacing w:after="60"/>
        <w:ind w:left="432" w:hanging="432"/>
      </w:pPr>
      <w:r>
        <w:rPr>
          <w:b/>
        </w:rPr>
        <w:t>3.</w:t>
        <w:tab/>
      </w:r>
      <w:r>
        <w:rPr>
          <w:b/>
        </w:rPr>
        <w:t xml:space="preserve">Retrieve.  </w:t>
      </w:r>
      <w:r>
        <w:t>A hybrid retriever and reranker find the most relevant passages across all sources, filtered to what the user may access.</w:t>
      </w:r>
    </w:p>
    <w:p>
      <w:pPr>
        <w:spacing w:after="60"/>
        <w:ind w:left="432" w:hanging="432"/>
      </w:pPr>
      <w:r>
        <w:rPr>
          <w:b/>
        </w:rPr>
        <w:t>4.</w:t>
        <w:tab/>
      </w:r>
      <w:r>
        <w:rPr>
          <w:b/>
        </w:rPr>
        <w:t xml:space="preserve">Answer.  </w:t>
      </w:r>
      <w:r>
        <w:t>A language model consolidates those passages into one grounded answer with inline citations, flagging conflicts and staleness, and declining when the evidence is insufficient.</w:t>
      </w:r>
    </w:p>
    <w:tbl>
      <w:tblPr>
        <w:tblW w:type="auto" w:w="0"/>
        <w:jc w:val="center"/>
        <w:tblLook w:firstColumn="1" w:firstRow="1" w:lastColumn="0" w:lastRow="0" w:noHBand="0" w:noVBand="1" w:val="04A0"/>
      </w:tblPr>
      <w:tblGrid>
        <w:gridCol w:w="9360"/>
      </w:tblGrid>
      <w:tr>
        <w:tc>
          <w:tcPr>
            <w:tcW w:type="dxa" w:w="9360"/>
            <w:shd w:val="clear" w:color="auto" w:fill="EAF1F8"/>
            <w:tcBorders>
              <w:left w:val="single" w:sz="24" w:space="0" w:color="C8A24B"/>
            </w:tcBorders>
          </w:tcPr>
          <w:p>
            <w:pPr>
              <w:spacing w:after="40" w:before="40"/>
            </w:pPr>
            <w:r>
              <w:rPr>
                <w:i/>
              </w:rPr>
            </w:r>
            <w:r>
              <w:rPr>
                <w:rFonts w:ascii="Calibri" w:hAnsi="Calibri"/>
                <w:b w:val="0"/>
                <w:color w:val="1F3A5F"/>
                <w:sz w:val="21"/>
              </w:rPr>
              <w:t>Trust is a first-class feature: every answer is grounded in retrieved source text and cited, so it can be verified and audited — and Atlas says “not enough information” rather than guessing.</w:t>
            </w:r>
          </w:p>
        </w:tc>
      </w:tr>
    </w:tbl>
    <w:p>
      <w:pPr>
        <w:spacing w:after="80"/>
      </w:pPr>
    </w:p>
    <w:p>
      <w:r>
        <w:br w:type="page"/>
      </w:r>
    </w:p>
    <w:p>
      <w:pPr>
        <w:pStyle w:val="Heading1"/>
      </w:pPr>
      <w:r>
        <w:t>3.  Technical &amp; Architectural Design</w:t>
      </w:r>
    </w:p>
    <w:p>
      <w:pPr>
        <w:spacing w:after="160"/>
      </w:pPr>
      <w:r>
        <w:rPr>
          <w:b w:val="0"/>
          <w:i w:val="0"/>
          <w:color w:val="222222"/>
          <w:sz w:val="22"/>
        </w:rPr>
        <w:t>This section describes the architecture that lets users ask a question once and receive a consolidated, source-cited answer synthesized across every relevant page, while remaining scalable, extensible, and secure.</w:t>
      </w:r>
    </w:p>
    <w:p>
      <w:pPr>
        <w:pStyle w:val="Heading2"/>
      </w:pPr>
      <w:r>
        <w:t>3.1  Architecture goals and principles</w:t>
      </w:r>
    </w:p>
    <w:tbl>
      <w:tblPr>
        <w:tblStyle w:val="TableGrid"/>
        <w:tblW w:type="auto" w:w="0"/>
        <w:jc w:val="center"/>
        <w:tblLayout w:type="autofit"/>
        <w:tblLook w:firstColumn="1" w:firstRow="1" w:lastColumn="0" w:lastRow="0" w:noHBand="0" w:noVBand="1" w:val="04A0"/>
      </w:tblPr>
      <w:tblGrid>
        <w:gridCol w:w="4680"/>
        <w:gridCol w:w="4680"/>
      </w:tblGrid>
      <w:tr>
        <w:tc>
          <w:tcPr>
            <w:tcW w:type="dxa" w:w="3456"/>
            <w:shd w:val="clear" w:color="auto" w:fill="1F3A5F"/>
          </w:tcPr>
          <w:p>
            <w:pPr>
              <w:spacing w:after="40" w:before="40"/>
            </w:pPr>
            <w:r/>
            <w:r>
              <w:rPr>
                <w:rFonts w:ascii="Calibri" w:hAnsi="Calibri"/>
                <w:b/>
                <w:color w:val="FFFFFF"/>
                <w:sz w:val="20"/>
              </w:rPr>
              <w:t>Goal</w:t>
            </w:r>
          </w:p>
        </w:tc>
        <w:tc>
          <w:tcPr>
            <w:tcW w:type="dxa" w:w="5904"/>
            <w:shd w:val="clear" w:color="auto" w:fill="1F3A5F"/>
          </w:tcPr>
          <w:p>
            <w:pPr>
              <w:spacing w:after="40" w:before="40"/>
            </w:pPr>
            <w:r/>
            <w:r>
              <w:rPr>
                <w:rFonts w:ascii="Calibri" w:hAnsi="Calibri"/>
                <w:b/>
                <w:color w:val="FFFFFF"/>
                <w:sz w:val="20"/>
              </w:rPr>
              <w:t>Guiding principle</w:t>
            </w:r>
          </w:p>
        </w:tc>
      </w:tr>
      <w:tr>
        <w:tc>
          <w:tcPr>
            <w:tcW w:type="dxa" w:w="3456"/>
          </w:tcPr>
          <w:p>
            <w:pPr>
              <w:spacing w:after="40" w:before="40"/>
            </w:pPr>
            <w:r/>
            <w:r>
              <w:rPr>
                <w:rFonts w:ascii="Calibri" w:hAnsi="Calibri"/>
                <w:b w:val="0"/>
                <w:color w:val="222222"/>
                <w:sz w:val="20"/>
              </w:rPr>
              <w:t>Centralize knowledge across domains and projects</w:t>
            </w:r>
          </w:p>
        </w:tc>
        <w:tc>
          <w:tcPr>
            <w:tcW w:type="dxa" w:w="5904"/>
          </w:tcPr>
          <w:p>
            <w:pPr>
              <w:spacing w:after="40" w:before="40"/>
            </w:pPr>
            <w:r/>
            <w:r>
              <w:rPr>
                <w:rFonts w:ascii="Calibri" w:hAnsi="Calibri"/>
                <w:b w:val="0"/>
                <w:color w:val="222222"/>
                <w:sz w:val="20"/>
              </w:rPr>
              <w:t>One normalized knowledge layer behind pluggable connectors.</w:t>
            </w:r>
          </w:p>
        </w:tc>
      </w:tr>
      <w:tr>
        <w:tc>
          <w:tcPr>
            <w:tcW w:type="dxa" w:w="3456"/>
            <w:shd w:val="clear" w:color="auto" w:fill="EAF1F8"/>
          </w:tcPr>
          <w:p>
            <w:pPr>
              <w:spacing w:after="40" w:before="40"/>
            </w:pPr>
            <w:r/>
            <w:r>
              <w:rPr>
                <w:rFonts w:ascii="Calibri" w:hAnsi="Calibri"/>
                <w:b w:val="0"/>
                <w:color w:val="222222"/>
                <w:sz w:val="20"/>
              </w:rPr>
              <w:t>Ask once, answer once</w:t>
            </w:r>
          </w:p>
        </w:tc>
        <w:tc>
          <w:tcPr>
            <w:tcW w:type="dxa" w:w="5904"/>
            <w:shd w:val="clear" w:color="auto" w:fill="EAF1F8"/>
          </w:tcPr>
          <w:p>
            <w:pPr>
              <w:spacing w:after="40" w:before="40"/>
            </w:pPr>
            <w:r/>
            <w:r>
              <w:rPr>
                <w:rFonts w:ascii="Calibri" w:hAnsi="Calibri"/>
                <w:b w:val="0"/>
                <w:color w:val="222222"/>
                <w:sz w:val="20"/>
              </w:rPr>
              <w:t>A RAG pipeline that retrieves across all sources and synthesizes a single grounded answer with citations.</w:t>
            </w:r>
          </w:p>
        </w:tc>
      </w:tr>
      <w:tr>
        <w:tc>
          <w:tcPr>
            <w:tcW w:type="dxa" w:w="3456"/>
          </w:tcPr>
          <w:p>
            <w:pPr>
              <w:spacing w:after="40" w:before="40"/>
            </w:pPr>
            <w:r/>
            <w:r>
              <w:rPr>
                <w:rFonts w:ascii="Calibri" w:hAnsi="Calibri"/>
                <w:b w:val="0"/>
                <w:color w:val="222222"/>
                <w:sz w:val="20"/>
              </w:rPr>
              <w:t>Scalable</w:t>
            </w:r>
          </w:p>
        </w:tc>
        <w:tc>
          <w:tcPr>
            <w:tcW w:type="dxa" w:w="5904"/>
          </w:tcPr>
          <w:p>
            <w:pPr>
              <w:spacing w:after="40" w:before="40"/>
            </w:pPr>
            <w:r/>
            <w:r>
              <w:rPr>
                <w:rFonts w:ascii="Calibri" w:hAnsi="Calibri"/>
                <w:b w:val="0"/>
                <w:color w:val="222222"/>
                <w:sz w:val="20"/>
              </w:rPr>
              <w:t>Stateless services, horizontally scalable workers, decoupled async pipelines, and a vector store built for billions of chunks.</w:t>
            </w:r>
          </w:p>
        </w:tc>
      </w:tr>
      <w:tr>
        <w:tc>
          <w:tcPr>
            <w:tcW w:type="dxa" w:w="3456"/>
            <w:shd w:val="clear" w:color="auto" w:fill="EAF1F8"/>
          </w:tcPr>
          <w:p>
            <w:pPr>
              <w:spacing w:after="40" w:before="40"/>
            </w:pPr>
            <w:r/>
            <w:r>
              <w:rPr>
                <w:rFonts w:ascii="Calibri" w:hAnsi="Calibri"/>
                <w:b w:val="0"/>
                <w:color w:val="222222"/>
                <w:sz w:val="20"/>
              </w:rPr>
              <w:t>Extensible</w:t>
            </w:r>
          </w:p>
        </w:tc>
        <w:tc>
          <w:tcPr>
            <w:tcW w:type="dxa" w:w="5904"/>
            <w:shd w:val="clear" w:color="auto" w:fill="EAF1F8"/>
          </w:tcPr>
          <w:p>
            <w:pPr>
              <w:spacing w:after="40" w:before="40"/>
            </w:pPr>
            <w:r/>
            <w:r>
              <w:rPr>
                <w:rFonts w:ascii="Calibri" w:hAnsi="Calibri"/>
                <w:b w:val="0"/>
                <w:color w:val="222222"/>
                <w:sz w:val="20"/>
              </w:rPr>
              <w:t>A connector SDK, schema-driven metadata, swappable embedding/LLM models, and plug-in points for retrieval and answer formatting.</w:t>
            </w:r>
          </w:p>
        </w:tc>
      </w:tr>
      <w:tr>
        <w:tc>
          <w:tcPr>
            <w:tcW w:type="dxa" w:w="3456"/>
          </w:tcPr>
          <w:p>
            <w:pPr>
              <w:spacing w:after="40" w:before="40"/>
            </w:pPr>
            <w:r/>
            <w:r>
              <w:rPr>
                <w:rFonts w:ascii="Calibri" w:hAnsi="Calibri"/>
                <w:b w:val="0"/>
                <w:color w:val="222222"/>
                <w:sz w:val="20"/>
              </w:rPr>
              <w:t>Trustworthy</w:t>
            </w:r>
          </w:p>
        </w:tc>
        <w:tc>
          <w:tcPr>
            <w:tcW w:type="dxa" w:w="5904"/>
          </w:tcPr>
          <w:p>
            <w:pPr>
              <w:spacing w:after="40" w:before="40"/>
            </w:pPr>
            <w:r/>
            <w:r>
              <w:rPr>
                <w:rFonts w:ascii="Calibri" w:hAnsi="Calibri"/>
                <w:b w:val="0"/>
                <w:color w:val="222222"/>
                <w:sz w:val="20"/>
              </w:rPr>
              <w:t>Every answer is grounded in retrieved text and cited; conflicts and staleness are surfaced.</w:t>
            </w:r>
          </w:p>
        </w:tc>
      </w:tr>
      <w:tr>
        <w:tc>
          <w:tcPr>
            <w:tcW w:type="dxa" w:w="3456"/>
            <w:shd w:val="clear" w:color="auto" w:fill="EAF1F8"/>
          </w:tcPr>
          <w:p>
            <w:pPr>
              <w:spacing w:after="40" w:before="40"/>
            </w:pPr>
            <w:r/>
            <w:r>
              <w:rPr>
                <w:rFonts w:ascii="Calibri" w:hAnsi="Calibri"/>
                <w:b w:val="0"/>
                <w:color w:val="222222"/>
                <w:sz w:val="20"/>
              </w:rPr>
              <w:t>Secure</w:t>
            </w:r>
          </w:p>
        </w:tc>
        <w:tc>
          <w:tcPr>
            <w:tcW w:type="dxa" w:w="5904"/>
            <w:shd w:val="clear" w:color="auto" w:fill="EAF1F8"/>
          </w:tcPr>
          <w:p>
            <w:pPr>
              <w:spacing w:after="40" w:before="40"/>
            </w:pPr>
            <w:r/>
            <w:r>
              <w:rPr>
                <w:rFonts w:ascii="Calibri" w:hAnsi="Calibri"/>
                <w:b w:val="0"/>
                <w:color w:val="222222"/>
                <w:sz w:val="20"/>
              </w:rPr>
              <w:t>Permission-aware retrieval, data isolation, full auditability, and VPC/on-premises deployment.</w:t>
            </w:r>
          </w:p>
        </w:tc>
      </w:tr>
      <w:tr>
        <w:tc>
          <w:tcPr>
            <w:tcW w:type="dxa" w:w="3456"/>
          </w:tcPr>
          <w:p>
            <w:pPr>
              <w:spacing w:after="40" w:before="40"/>
            </w:pPr>
            <w:r/>
            <w:r>
              <w:rPr>
                <w:rFonts w:ascii="Calibri" w:hAnsi="Calibri"/>
                <w:b w:val="0"/>
                <w:color w:val="222222"/>
                <w:sz w:val="20"/>
              </w:rPr>
              <w:t>Model-agnostic</w:t>
            </w:r>
          </w:p>
        </w:tc>
        <w:tc>
          <w:tcPr>
            <w:tcW w:type="dxa" w:w="5904"/>
          </w:tcPr>
          <w:p>
            <w:pPr>
              <w:spacing w:after="40" w:before="40"/>
            </w:pPr>
            <w:r/>
            <w:r>
              <w:rPr>
                <w:rFonts w:ascii="Calibri" w:hAnsi="Calibri"/>
                <w:b w:val="0"/>
                <w:color w:val="222222"/>
                <w:sz w:val="20"/>
              </w:rPr>
              <w:t>The LLM and embedding models are interfaces, not hard dependencies.</w:t>
            </w:r>
          </w:p>
        </w:tc>
      </w:tr>
    </w:tbl>
    <w:p>
      <w:pPr>
        <w:spacing w:after="80"/>
      </w:pPr>
    </w:p>
    <w:p>
      <w:pPr>
        <w:spacing w:after="160"/>
      </w:pPr>
      <w:r>
        <w:rPr>
          <w:b/>
          <w:sz w:val="22"/>
        </w:rPr>
        <w:t xml:space="preserve">Non-goals (for the POC): </w:t>
      </w:r>
      <w:r>
        <w:rPr>
          <w:b w:val="0"/>
          <w:sz w:val="22"/>
        </w:rPr>
        <w:t>replacing systems of record, editing source content, and fully automated write-back. Atlas is read-and-synthesize.</w:t>
      </w:r>
    </w:p>
    <w:p>
      <w:pPr>
        <w:pStyle w:val="Heading2"/>
      </w:pPr>
      <w:r>
        <w:t>3.2  High-level architecture</w:t>
      </w:r>
    </w:p>
    <w:p>
      <w:pPr>
        <w:spacing w:after="160"/>
      </w:pPr>
      <w:r>
        <w:rPr>
          <w:b w:val="0"/>
          <w:i w:val="0"/>
          <w:color w:val="222222"/>
          <w:sz w:val="22"/>
        </w:rPr>
        <w:t>Atlas is composed of four planes: an ingestion plane that turns source content into indexed knowledge; a knowledge plane of purpose-fit stores; a query plane that performs retrieval and answer synthesis (the RAG core); and an experience &amp; platform plane providing APIs, UI, identity, security, and observability.</w:t>
      </w:r>
    </w:p>
    <w:p>
      <w:pPr>
        <w:spacing w:before="120" w:after="40"/>
        <w:jc w:val="center"/>
      </w:pPr>
      <w:r>
        <w:drawing>
          <wp:inline xmlns:a="http://schemas.openxmlformats.org/drawingml/2006/main" xmlns:pic="http://schemas.openxmlformats.org/drawingml/2006/picture">
            <wp:extent cx="5760720" cy="3691586"/>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60720" cy="3691586"/>
                    </a:xfrm>
                    <a:prstGeom prst="rect"/>
                  </pic:spPr>
                </pic:pic>
              </a:graphicData>
            </a:graphic>
          </wp:inline>
        </w:drawing>
      </w:r>
    </w:p>
    <w:p>
      <w:pPr>
        <w:spacing w:after="200"/>
        <w:jc w:val="center"/>
      </w:pPr>
      <w:r>
        <w:rPr>
          <w:i/>
          <w:color w:val="5B6470"/>
          <w:sz w:val="18"/>
        </w:rPr>
        <w:t>Figure 2.  High-level architecture across the four planes. The query plane retrieves across all stores and synthesizes a single cited answer; identity and security wrap every interaction.</w:t>
      </w:r>
    </w:p>
    <w:p>
      <w:pPr>
        <w:pStyle w:val="Heading2"/>
      </w:pPr>
      <w:r>
        <w:t>3.3  Ingestion plane</w:t>
      </w:r>
    </w:p>
    <w:p>
      <w:pPr>
        <w:pStyle w:val="Heading3"/>
      </w:pPr>
      <w:r>
        <w:t>3.3.1  Connector framework</w:t>
      </w:r>
    </w:p>
    <w:p>
      <w:pPr>
        <w:spacing w:after="160"/>
      </w:pPr>
      <w:r>
        <w:rPr>
          <w:b w:val="0"/>
          <w:i w:val="0"/>
          <w:color w:val="222222"/>
          <w:sz w:val="22"/>
        </w:rPr>
        <w:t>Each source system is integrated through a connector that implements a small, well-defined contract. Connectors are the primary extensibility point — a new source is a new connector plus configuration, not a core change. A connector implements:</w:t>
      </w:r>
    </w:p>
    <w:p>
      <w:pPr>
        <w:pStyle w:val="ListBullet"/>
        <w:spacing w:after="60"/>
      </w:pPr>
      <w:r>
        <w:rPr>
          <w:b/>
        </w:rPr>
        <w:t xml:space="preserve">discover() — </w:t>
      </w:r>
      <w:r>
        <w:t>enumerate the spaces, sites, projects, or folders it can see.</w:t>
      </w:r>
    </w:p>
    <w:p>
      <w:pPr>
        <w:pStyle w:val="ListBullet"/>
        <w:spacing w:after="60"/>
      </w:pPr>
      <w:r>
        <w:rPr>
          <w:b/>
        </w:rPr>
        <w:t xml:space="preserve">list(since) — </w:t>
      </w:r>
      <w:r>
        <w:t>list documents and change markers since a checkpoint (incremental sync).</w:t>
      </w:r>
    </w:p>
    <w:p>
      <w:pPr>
        <w:pStyle w:val="ListBullet"/>
        <w:spacing w:after="60"/>
      </w:pPr>
      <w:r>
        <w:rPr>
          <w:b/>
        </w:rPr>
        <w:t xml:space="preserve">fetch(id) — </w:t>
      </w:r>
      <w:r>
        <w:t>return raw content and native metadata for one document.</w:t>
      </w:r>
    </w:p>
    <w:p>
      <w:pPr>
        <w:pStyle w:val="ListBullet"/>
        <w:spacing w:after="60"/>
      </w:pPr>
      <w:r>
        <w:rPr>
          <w:b/>
        </w:rPr>
        <w:t xml:space="preserve">acl(id) — </w:t>
      </w:r>
      <w:r>
        <w:t>return the access-control descriptors used for permission-aware retrieval.</w:t>
      </w:r>
    </w:p>
    <w:p>
      <w:pPr>
        <w:spacing w:after="160"/>
      </w:pPr>
      <w:r>
        <w:rPr>
          <w:b w:val="0"/>
          <w:i w:val="0"/>
          <w:color w:val="222222"/>
          <w:sz w:val="22"/>
        </w:rPr>
        <w:t>Connectors support scheduled incremental crawls, event-driven webhook updates, and one-time backfills. They are rate-limit aware, resumable via checkpoints, and run as independent, horizontally scalable workers.</w:t>
      </w:r>
    </w:p>
    <w:p>
      <w:pPr>
        <w:pStyle w:val="Heading3"/>
      </w:pPr>
      <w:r>
        <w:t>3.3.2  Processing pipeline</w:t>
      </w:r>
    </w:p>
    <w:p>
      <w:pPr>
        <w:spacing w:after="160"/>
      </w:pPr>
      <w:r>
        <w:rPr>
          <w:b w:val="0"/>
          <w:i w:val="0"/>
          <w:color w:val="222222"/>
          <w:sz w:val="22"/>
        </w:rPr>
        <w:t>Each fetched document flows through an idempotent, queue-driven pipeline. Stages are independent workers, so they scale and fail independently.</w:t>
      </w:r>
    </w:p>
    <w:p>
      <w:pPr>
        <w:spacing w:before="120" w:after="40"/>
        <w:jc w:val="center"/>
      </w:pPr>
      <w:r>
        <w:drawing>
          <wp:inline xmlns:a="http://schemas.openxmlformats.org/drawingml/2006/main" xmlns:pic="http://schemas.openxmlformats.org/drawingml/2006/picture">
            <wp:extent cx="5760720" cy="2267905"/>
            <wp:docPr id="3" name="Picture 3"/>
            <wp:cNvGraphicFramePr>
              <a:graphicFrameLocks noChangeAspect="1"/>
            </wp:cNvGraphicFramePr>
            <a:graphic>
              <a:graphicData uri="http://schemas.openxmlformats.org/drawingml/2006/picture">
                <pic:pic>
                  <pic:nvPicPr>
                    <pic:cNvPr id="0" name="fig2_pipeline.png"/>
                    <pic:cNvPicPr/>
                  </pic:nvPicPr>
                  <pic:blipFill>
                    <a:blip r:embed="rId11"/>
                    <a:stretch>
                      <a:fillRect/>
                    </a:stretch>
                  </pic:blipFill>
                  <pic:spPr>
                    <a:xfrm>
                      <a:off x="0" y="0"/>
                      <a:ext cx="5760720" cy="2267905"/>
                    </a:xfrm>
                    <a:prstGeom prst="rect"/>
                  </pic:spPr>
                </pic:pic>
              </a:graphicData>
            </a:graphic>
          </wp:inline>
        </w:drawing>
      </w:r>
    </w:p>
    <w:p>
      <w:pPr>
        <w:spacing w:after="200"/>
        <w:jc w:val="center"/>
      </w:pPr>
      <w:r>
        <w:rPr>
          <w:i/>
          <w:color w:val="5B6470"/>
          <w:sz w:val="18"/>
        </w:rPr>
        <w:t>Figure 3.  The ingestion and processing pipeline: each stage is an independent, idempotent worker.</w:t>
      </w:r>
    </w:p>
    <w:p>
      <w:pPr>
        <w:pStyle w:val="ListBullet"/>
        <w:spacing w:after="60"/>
      </w:pPr>
      <w:r>
        <w:t>Text and structure extraction for HTML, PDF, Office formats, tables, and images (OCR); document structure is preserved to improve chunking and citation precision.</w:t>
      </w:r>
    </w:p>
    <w:p>
      <w:pPr>
        <w:pStyle w:val="ListBullet"/>
        <w:spacing w:after="60"/>
      </w:pPr>
      <w:r>
        <w:t>Structure-aware chunking on semantic boundaries with controlled size and overlap, keeping a chunk → section → document hierarchy so citations point precisely.</w:t>
      </w:r>
    </w:p>
    <w:p>
      <w:pPr>
        <w:pStyle w:val="ListBullet"/>
        <w:spacing w:after="60"/>
      </w:pPr>
      <w:r>
        <w:t>Deduplication and near-duplicate detection (content hashing plus embedding similarity) to collapse copies and flag conflicting versions.</w:t>
      </w:r>
    </w:p>
    <w:p>
      <w:pPr>
        <w:pStyle w:val="ListBullet"/>
        <w:spacing w:after="60"/>
      </w:pPr>
      <w:r>
        <w:t>Metadata enrichment (domain, project, owner, freshness, language) and capture of the access-control descriptor at ingest time.</w:t>
      </w:r>
    </w:p>
    <w:p>
      <w:pPr>
        <w:pStyle w:val="ListBullet"/>
        <w:spacing w:after="60"/>
      </w:pPr>
      <w:r>
        <w:t>Idempotent change detection: stable chunk IDs let re-processing update in place and remove orphaned chunks, handling edits and deletions at source.</w:t>
      </w:r>
    </w:p>
    <w:p>
      <w:pPr>
        <w:pStyle w:val="Heading2"/>
      </w:pPr>
      <w:r>
        <w:t>3.4  Knowledge plane</w:t>
      </w:r>
    </w:p>
    <w:p>
      <w:pPr>
        <w:spacing w:after="160"/>
      </w:pPr>
      <w:r>
        <w:rPr>
          <w:b w:val="0"/>
          <w:i w:val="0"/>
          <w:color w:val="222222"/>
          <w:sz w:val="22"/>
        </w:rPr>
        <w:t>Atlas uses purpose-fit stores behind a single logical knowledge layer.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592"/>
            <w:shd w:val="clear" w:color="auto" w:fill="1F3A5F"/>
          </w:tcPr>
          <w:p>
            <w:pPr>
              <w:spacing w:after="40" w:before="40"/>
            </w:pPr>
            <w:r/>
            <w:r>
              <w:rPr>
                <w:rFonts w:ascii="Calibri" w:hAnsi="Calibri"/>
                <w:b/>
                <w:color w:val="FFFFFF"/>
                <w:sz w:val="20"/>
              </w:rPr>
              <w:t>Store</w:t>
            </w:r>
          </w:p>
        </w:tc>
        <w:tc>
          <w:tcPr>
            <w:tcW w:type="dxa" w:w="3456"/>
            <w:shd w:val="clear" w:color="auto" w:fill="1F3A5F"/>
          </w:tcPr>
          <w:p>
            <w:pPr>
              <w:spacing w:after="40" w:before="40"/>
            </w:pPr>
            <w:r/>
            <w:r>
              <w:rPr>
                <w:rFonts w:ascii="Calibri" w:hAnsi="Calibri"/>
                <w:b/>
                <w:color w:val="FFFFFF"/>
                <w:sz w:val="20"/>
              </w:rPr>
              <w:t>Purpose</w:t>
            </w:r>
          </w:p>
        </w:tc>
        <w:tc>
          <w:tcPr>
            <w:tcW w:type="dxa" w:w="3312"/>
            <w:shd w:val="clear" w:color="auto" w:fill="1F3A5F"/>
          </w:tcPr>
          <w:p>
            <w:pPr>
              <w:spacing w:after="40" w:before="40"/>
            </w:pPr>
            <w:r/>
            <w:r>
              <w:rPr>
                <w:rFonts w:ascii="Calibri" w:hAnsi="Calibri"/>
                <w:b/>
                <w:color w:val="FFFFFF"/>
                <w:sz w:val="20"/>
              </w:rPr>
              <w:t>Notes</w:t>
            </w:r>
          </w:p>
        </w:tc>
      </w:tr>
      <w:tr>
        <w:tc>
          <w:tcPr>
            <w:tcW w:type="dxa" w:w="2592"/>
          </w:tcPr>
          <w:p>
            <w:pPr>
              <w:spacing w:after="40" w:before="40"/>
            </w:pPr>
            <w:r/>
            <w:r>
              <w:rPr>
                <w:rFonts w:ascii="Calibri" w:hAnsi="Calibri"/>
                <w:b w:val="0"/>
                <w:color w:val="222222"/>
                <w:sz w:val="20"/>
              </w:rPr>
              <w:t>Raw / object store</w:t>
            </w:r>
          </w:p>
        </w:tc>
        <w:tc>
          <w:tcPr>
            <w:tcW w:type="dxa" w:w="3456"/>
          </w:tcPr>
          <w:p>
            <w:pPr>
              <w:spacing w:after="40" w:before="40"/>
            </w:pPr>
            <w:r/>
            <w:r>
              <w:rPr>
                <w:rFonts w:ascii="Calibri" w:hAnsi="Calibri"/>
                <w:b w:val="0"/>
                <w:color w:val="222222"/>
                <w:sz w:val="20"/>
              </w:rPr>
              <w:t>Original bytes plus extracted text</w:t>
            </w:r>
          </w:p>
        </w:tc>
        <w:tc>
          <w:tcPr>
            <w:tcW w:type="dxa" w:w="3312"/>
          </w:tcPr>
          <w:p>
            <w:pPr>
              <w:spacing w:after="40" w:before="40"/>
            </w:pPr>
            <w:r/>
            <w:r>
              <w:rPr>
                <w:rFonts w:ascii="Calibri" w:hAnsi="Calibri"/>
                <w:b w:val="0"/>
                <w:color w:val="222222"/>
                <w:sz w:val="20"/>
              </w:rPr>
              <w:t>S3-compatible; cheap, durable, supports reprocessing.</w:t>
            </w:r>
          </w:p>
        </w:tc>
      </w:tr>
      <w:tr>
        <w:tc>
          <w:tcPr>
            <w:tcW w:type="dxa" w:w="2592"/>
            <w:shd w:val="clear" w:color="auto" w:fill="EAF1F8"/>
          </w:tcPr>
          <w:p>
            <w:pPr>
              <w:spacing w:after="40" w:before="40"/>
            </w:pPr>
            <w:r/>
            <w:r>
              <w:rPr>
                <w:rFonts w:ascii="Calibri" w:hAnsi="Calibri"/>
                <w:b w:val="0"/>
                <w:color w:val="222222"/>
                <w:sz w:val="20"/>
              </w:rPr>
              <w:t>Document &amp; metadata store</w:t>
            </w:r>
          </w:p>
        </w:tc>
        <w:tc>
          <w:tcPr>
            <w:tcW w:type="dxa" w:w="3456"/>
            <w:shd w:val="clear" w:color="auto" w:fill="EAF1F8"/>
          </w:tcPr>
          <w:p>
            <w:pPr>
              <w:spacing w:after="40" w:before="40"/>
            </w:pPr>
            <w:r/>
            <w:r>
              <w:rPr>
                <w:rFonts w:ascii="Calibri" w:hAnsi="Calibri"/>
                <w:b w:val="0"/>
                <w:color w:val="222222"/>
                <w:sz w:val="20"/>
              </w:rPr>
              <w:t>Canonical docs, chunks, metadata, ACLs, lineage</w:t>
            </w:r>
          </w:p>
        </w:tc>
        <w:tc>
          <w:tcPr>
            <w:tcW w:type="dxa" w:w="3312"/>
            <w:shd w:val="clear" w:color="auto" w:fill="EAF1F8"/>
          </w:tcPr>
          <w:p>
            <w:pPr>
              <w:spacing w:after="40" w:before="40"/>
            </w:pPr>
            <w:r/>
            <w:r>
              <w:rPr>
                <w:rFonts w:ascii="Calibri" w:hAnsi="Calibri"/>
                <w:b w:val="0"/>
                <w:color w:val="222222"/>
                <w:sz w:val="20"/>
              </w:rPr>
              <w:t>PostgreSQL or document DB; source of truth for non-vector data.</w:t>
            </w:r>
          </w:p>
        </w:tc>
      </w:tr>
      <w:tr>
        <w:tc>
          <w:tcPr>
            <w:tcW w:type="dxa" w:w="2592"/>
          </w:tcPr>
          <w:p>
            <w:pPr>
              <w:spacing w:after="40" w:before="40"/>
            </w:pPr>
            <w:r/>
            <w:r>
              <w:rPr>
                <w:rFonts w:ascii="Calibri" w:hAnsi="Calibri"/>
                <w:b w:val="0"/>
                <w:color w:val="222222"/>
                <w:sz w:val="20"/>
              </w:rPr>
              <w:t>Vector index</w:t>
            </w:r>
          </w:p>
        </w:tc>
        <w:tc>
          <w:tcPr>
            <w:tcW w:type="dxa" w:w="3456"/>
          </w:tcPr>
          <w:p>
            <w:pPr>
              <w:spacing w:after="40" w:before="40"/>
            </w:pPr>
            <w:r/>
            <w:r>
              <w:rPr>
                <w:rFonts w:ascii="Calibri" w:hAnsi="Calibri"/>
                <w:b w:val="0"/>
                <w:color w:val="222222"/>
                <w:sz w:val="20"/>
              </w:rPr>
              <w:t>Dense embeddings for semantic retrieval</w:t>
            </w:r>
          </w:p>
        </w:tc>
        <w:tc>
          <w:tcPr>
            <w:tcW w:type="dxa" w:w="3312"/>
          </w:tcPr>
          <w:p>
            <w:pPr>
              <w:spacing w:after="40" w:before="40"/>
            </w:pPr>
            <w:r/>
            <w:r>
              <w:rPr>
                <w:rFonts w:ascii="Calibri" w:hAnsi="Calibri"/>
                <w:b w:val="0"/>
                <w:color w:val="222222"/>
                <w:sz w:val="20"/>
              </w:rPr>
              <w:t>pgvector / OpenSearch / Milvus / Pinecone — pluggable.</w:t>
            </w:r>
          </w:p>
        </w:tc>
      </w:tr>
      <w:tr>
        <w:tc>
          <w:tcPr>
            <w:tcW w:type="dxa" w:w="2592"/>
            <w:shd w:val="clear" w:color="auto" w:fill="EAF1F8"/>
          </w:tcPr>
          <w:p>
            <w:pPr>
              <w:spacing w:after="40" w:before="40"/>
            </w:pPr>
            <w:r/>
            <w:r>
              <w:rPr>
                <w:rFonts w:ascii="Calibri" w:hAnsi="Calibri"/>
                <w:b w:val="0"/>
                <w:color w:val="222222"/>
                <w:sz w:val="20"/>
              </w:rPr>
              <w:t>Keyword index</w:t>
            </w:r>
          </w:p>
        </w:tc>
        <w:tc>
          <w:tcPr>
            <w:tcW w:type="dxa" w:w="3456"/>
            <w:shd w:val="clear" w:color="auto" w:fill="EAF1F8"/>
          </w:tcPr>
          <w:p>
            <w:pPr>
              <w:spacing w:after="40" w:before="40"/>
            </w:pPr>
            <w:r/>
            <w:r>
              <w:rPr>
                <w:rFonts w:ascii="Calibri" w:hAnsi="Calibri"/>
                <w:b w:val="0"/>
                <w:color w:val="222222"/>
                <w:sz w:val="20"/>
              </w:rPr>
              <w:t>BM25 / lexical retrieval</w:t>
            </w:r>
          </w:p>
        </w:tc>
        <w:tc>
          <w:tcPr>
            <w:tcW w:type="dxa" w:w="3312"/>
            <w:shd w:val="clear" w:color="auto" w:fill="EAF1F8"/>
          </w:tcPr>
          <w:p>
            <w:pPr>
              <w:spacing w:after="40" w:before="40"/>
            </w:pPr>
            <w:r/>
            <w:r>
              <w:rPr>
                <w:rFonts w:ascii="Calibri" w:hAnsi="Calibri"/>
                <w:b w:val="0"/>
                <w:color w:val="222222"/>
                <w:sz w:val="20"/>
              </w:rPr>
              <w:t>OpenSearch / Elasticsearch — for exact terms, codes, acronyms.</w:t>
            </w:r>
          </w:p>
        </w:tc>
      </w:tr>
      <w:tr>
        <w:tc>
          <w:tcPr>
            <w:tcW w:type="dxa" w:w="2592"/>
          </w:tcPr>
          <w:p>
            <w:pPr>
              <w:spacing w:after="40" w:before="40"/>
            </w:pPr>
            <w:r/>
            <w:r>
              <w:rPr>
                <w:rFonts w:ascii="Calibri" w:hAnsi="Calibri"/>
                <w:b w:val="0"/>
                <w:color w:val="222222"/>
                <w:sz w:val="20"/>
              </w:rPr>
              <w:t>Knowledge graph (optional)</w:t>
            </w:r>
          </w:p>
        </w:tc>
        <w:tc>
          <w:tcPr>
            <w:tcW w:type="dxa" w:w="3456"/>
          </w:tcPr>
          <w:p>
            <w:pPr>
              <w:spacing w:after="40" w:before="40"/>
            </w:pPr>
            <w:r/>
            <w:r>
              <w:rPr>
                <w:rFonts w:ascii="Calibri" w:hAnsi="Calibri"/>
                <w:b w:val="0"/>
                <w:color w:val="222222"/>
                <w:sz w:val="20"/>
              </w:rPr>
              <w:t>Entities and relationships across documents</w:t>
            </w:r>
          </w:p>
        </w:tc>
        <w:tc>
          <w:tcPr>
            <w:tcW w:type="dxa" w:w="3312"/>
          </w:tcPr>
          <w:p>
            <w:pPr>
              <w:spacing w:after="40" w:before="40"/>
            </w:pPr>
            <w:r/>
            <w:r>
              <w:rPr>
                <w:rFonts w:ascii="Calibri" w:hAnsi="Calibri"/>
                <w:b w:val="0"/>
                <w:color w:val="222222"/>
                <w:sz w:val="20"/>
              </w:rPr>
              <w:t>Enables relationship questions and better disambiguation.</w:t>
            </w:r>
          </w:p>
        </w:tc>
      </w:tr>
      <w:tr>
        <w:tc>
          <w:tcPr>
            <w:tcW w:type="dxa" w:w="2592"/>
            <w:shd w:val="clear" w:color="auto" w:fill="EAF1F8"/>
          </w:tcPr>
          <w:p>
            <w:pPr>
              <w:spacing w:after="40" w:before="40"/>
            </w:pPr>
            <w:r/>
            <w:r>
              <w:rPr>
                <w:rFonts w:ascii="Calibri" w:hAnsi="Calibri"/>
                <w:b w:val="0"/>
                <w:color w:val="222222"/>
                <w:sz w:val="20"/>
              </w:rPr>
              <w:t>Cache</w:t>
            </w:r>
          </w:p>
        </w:tc>
        <w:tc>
          <w:tcPr>
            <w:tcW w:type="dxa" w:w="3456"/>
            <w:shd w:val="clear" w:color="auto" w:fill="EAF1F8"/>
          </w:tcPr>
          <w:p>
            <w:pPr>
              <w:spacing w:after="40" w:before="40"/>
            </w:pPr>
            <w:r/>
            <w:r>
              <w:rPr>
                <w:rFonts w:ascii="Calibri" w:hAnsi="Calibri"/>
                <w:b w:val="0"/>
                <w:color w:val="222222"/>
                <w:sz w:val="20"/>
              </w:rPr>
              <w:t>Embeddings, hot queries, sessions</w:t>
            </w:r>
          </w:p>
        </w:tc>
        <w:tc>
          <w:tcPr>
            <w:tcW w:type="dxa" w:w="3312"/>
            <w:shd w:val="clear" w:color="auto" w:fill="EAF1F8"/>
          </w:tcPr>
          <w:p>
            <w:pPr>
              <w:spacing w:after="40" w:before="40"/>
            </w:pPr>
            <w:r/>
            <w:r>
              <w:rPr>
                <w:rFonts w:ascii="Calibri" w:hAnsi="Calibri"/>
                <w:b w:val="0"/>
                <w:color w:val="222222"/>
                <w:sz w:val="20"/>
              </w:rPr>
              <w:t>Redis.</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AF1F8"/>
            <w:tcBorders>
              <w:left w:val="single" w:sz="24" w:space="0" w:color="C8A24B"/>
            </w:tcBorders>
          </w:tcPr>
          <w:p>
            <w:pPr>
              <w:spacing w:after="40" w:before="40"/>
            </w:pPr>
            <w:r>
              <w:rPr>
                <w:i/>
              </w:rPr>
            </w:r>
            <w:r>
              <w:rPr>
                <w:rFonts w:ascii="Calibri" w:hAnsi="Calibri"/>
                <w:b w:val="0"/>
                <w:color w:val="1F3A5F"/>
                <w:sz w:val="21"/>
              </w:rPr>
              <w:t>POC simplification: PostgreSQL with the pgvector extension can serve both metadata and vector roles, keeping the footprint small while preserving a clean path to dedicated stores at scale.</w:t>
            </w:r>
          </w:p>
        </w:tc>
      </w:tr>
    </w:tbl>
    <w:p>
      <w:pPr>
        <w:spacing w:after="80"/>
      </w:pPr>
    </w:p>
    <w:p>
      <w:pPr>
        <w:pStyle w:val="Heading2"/>
      </w:pPr>
      <w:r>
        <w:t>3.5  Query plane — the RAG core</w:t>
      </w:r>
    </w:p>
    <w:p>
      <w:pPr>
        <w:spacing w:after="160"/>
      </w:pPr>
      <w:r>
        <w:rPr>
          <w:b w:val="0"/>
          <w:i w:val="0"/>
          <w:color w:val="222222"/>
          <w:sz w:val="22"/>
        </w:rPr>
        <w:t>This is where “ask once, get a consolidated answer” happens. The orchestrator interprets the question, retrieves across all sources using hybrid search, filters to the user’s entitlements, reranks and diversifies the passages, and asks the language model to synthesize one grounded, cited answer.</w:t>
      </w:r>
    </w:p>
    <w:p>
      <w:pPr>
        <w:pStyle w:val="Heading3"/>
      </w:pPr>
      <w:r>
        <w:t>3.5.1  Query understanding</w:t>
      </w:r>
    </w:p>
    <w:p>
      <w:pPr>
        <w:spacing w:after="160"/>
      </w:pPr>
      <w:r>
        <w:rPr>
          <w:b w:val="0"/>
          <w:i w:val="0"/>
          <w:color w:val="222222"/>
          <w:sz w:val="22"/>
        </w:rPr>
        <w:t>The orchestrator detects intent and scope (factual lookup, cross-project summary, comparison, or how-to), resolves filters such as domain, project, and time, and expands acronyms and synonyms — rewriting conversational follow-ups into standalone queries.</w:t>
      </w:r>
    </w:p>
    <w:p>
      <w:pPr>
        <w:pStyle w:val="Heading3"/>
      </w:pPr>
      <w:r>
        <w:t>3.5.2  Hybrid retrieval</w:t>
      </w:r>
    </w:p>
    <w:p>
      <w:pPr>
        <w:spacing w:after="160"/>
      </w:pPr>
      <w:r>
        <w:rPr>
          <w:b w:val="0"/>
          <w:i w:val="0"/>
          <w:color w:val="222222"/>
          <w:sz w:val="22"/>
        </w:rPr>
        <w:t>Atlas combines dense (semantic) and sparse (keyword/BM25) retrieval and fuses the results. Semantic search captures meaning and paraphrase; keyword search nails exact terms — product codes, acronyms, IDs, policy numbers — that embeddings can miss. Retrieval is permission-filtered before anything reaches the model.</w:t>
      </w:r>
    </w:p>
    <w:p>
      <w:pPr>
        <w:pStyle w:val="Heading3"/>
      </w:pPr>
      <w:r>
        <w:t>3.5.3  Reranking, deduplication, and diversification</w:t>
      </w:r>
    </w:p>
    <w:p>
      <w:pPr>
        <w:spacing w:after="160"/>
      </w:pPr>
      <w:r>
        <w:rPr>
          <w:b w:val="0"/>
          <w:i w:val="0"/>
          <w:color w:val="222222"/>
          <w:sz w:val="22"/>
        </w:rPr>
        <w:t>A cross-encoder reranker reorders candidates by true relevance; near-identical passages are deduplicated and results are diversified across documents and sources, so the consolidated answer reflects all relevant pages rather than several copies of the same one. A token budget bounds the context.</w:t>
      </w:r>
    </w:p>
    <w:p>
      <w:pPr>
        <w:pStyle w:val="Heading3"/>
      </w:pPr>
      <w:r>
        <w:t>3.5.4  Answer synthesis with citations</w:t>
      </w:r>
    </w:p>
    <w:p>
      <w:pPr>
        <w:spacing w:after="160"/>
      </w:pPr>
      <w:r>
        <w:rPr>
          <w:b w:val="0"/>
          <w:i w:val="0"/>
          <w:color w:val="222222"/>
          <w:sz w:val="22"/>
        </w:rPr>
        <w:t>The model receives the question and the curated passages (each tagged with a citation ID) under a strict instruction to answer only from the provided passages, cite each claim, consolidate across sources, note conflicts and staleness, and respond “not enough information” when the context does not support an answer. Output is structured: the answer (with inline citation markers), a list of citations (title, URL, snippet, freshness, score), and a confidence/coverage signal. Streaming keeps the experience responsive.</w:t>
      </w:r>
    </w:p>
    <w:tbl>
      <w:tblPr>
        <w:tblW w:type="auto" w:w="0"/>
        <w:jc w:val="center"/>
        <w:tblLook w:firstColumn="1" w:firstRow="1" w:lastColumn="0" w:lastRow="0" w:noHBand="0" w:noVBand="1" w:val="04A0"/>
      </w:tblPr>
      <w:tblGrid>
        <w:gridCol w:w="9360"/>
      </w:tblGrid>
      <w:tr>
        <w:tc>
          <w:tcPr>
            <w:tcW w:type="dxa" w:w="9360"/>
            <w:shd w:val="clear" w:color="auto" w:fill="EAF1F8"/>
            <w:tcBorders>
              <w:left w:val="single" w:sz="24" w:space="0" w:color="C8A24B"/>
            </w:tcBorders>
          </w:tcPr>
          <w:p>
            <w:pPr>
              <w:spacing w:after="40" w:before="40"/>
            </w:pPr>
            <w:r>
              <w:rPr>
                <w:i/>
              </w:rPr>
            </w:r>
            <w:r>
              <w:rPr>
                <w:rFonts w:ascii="Calibri" w:hAnsi="Calibri"/>
                <w:b w:val="0"/>
                <w:color w:val="1F3A5F"/>
                <w:sz w:val="21"/>
              </w:rPr>
              <w:t>Anti-hallucination posture: grounding + citations + “insufficient evidence” handling + post-hoc citation verification + a continuous evaluation harness. Trust is engineered, not assumed.</w:t>
            </w:r>
          </w:p>
        </w:tc>
      </w:tr>
    </w:tbl>
    <w:p>
      <w:pPr>
        <w:spacing w:after="80"/>
      </w:pPr>
    </w:p>
    <w:p>
      <w:pPr>
        <w:pStyle w:val="Heading2"/>
      </w:pPr>
      <w:r>
        <w:t>3.6  Scalability</w:t>
      </w:r>
    </w:p>
    <w:p>
      <w:pPr>
        <w:spacing w:after="160"/>
      </w:pPr>
      <w:r>
        <w:rPr>
          <w:b w:val="0"/>
          <w:i w:val="0"/>
          <w:color w:val="222222"/>
          <w:sz w:val="22"/>
        </w:rPr>
        <w:t>Ingestion (throughput-bound) and query (latency-bound) scale independently and never block one another.</w:t>
      </w:r>
    </w:p>
    <w:p>
      <w:pPr>
        <w:spacing w:before="120" w:after="40"/>
        <w:jc w:val="center"/>
      </w:pPr>
      <w:r>
        <w:drawing>
          <wp:inline xmlns:a="http://schemas.openxmlformats.org/drawingml/2006/main" xmlns:pic="http://schemas.openxmlformats.org/drawingml/2006/picture">
            <wp:extent cx="5760720" cy="2455886"/>
            <wp:docPr id="4" name="Picture 4"/>
            <wp:cNvGraphicFramePr>
              <a:graphicFrameLocks noChangeAspect="1"/>
            </wp:cNvGraphicFramePr>
            <a:graphic>
              <a:graphicData uri="http://schemas.openxmlformats.org/drawingml/2006/picture">
                <pic:pic>
                  <pic:nvPicPr>
                    <pic:cNvPr id="0" name="fig5_scalability.png"/>
                    <pic:cNvPicPr/>
                  </pic:nvPicPr>
                  <pic:blipFill>
                    <a:blip r:embed="rId12"/>
                    <a:stretch>
                      <a:fillRect/>
                    </a:stretch>
                  </pic:blipFill>
                  <pic:spPr>
                    <a:xfrm>
                      <a:off x="0" y="0"/>
                      <a:ext cx="5760720" cy="2455886"/>
                    </a:xfrm>
                    <a:prstGeom prst="rect"/>
                  </pic:spPr>
                </pic:pic>
              </a:graphicData>
            </a:graphic>
          </wp:inline>
        </w:drawing>
      </w:r>
    </w:p>
    <w:p>
      <w:pPr>
        <w:spacing w:after="200"/>
        <w:jc w:val="center"/>
      </w:pPr>
      <w:r>
        <w:rPr>
          <w:i/>
          <w:color w:val="5B6470"/>
          <w:sz w:val="18"/>
        </w:rPr>
        <w:t>Figure 4.  Decoupled planes scale independently: add workers for ingestion throughput; add stateless query instances for concurrency.</w:t>
      </w:r>
    </w:p>
    <w:p>
      <w:pPr>
        <w:pStyle w:val="ListBullet"/>
        <w:spacing w:after="60"/>
      </w:pPr>
      <w:r>
        <w:t>Async, queue-driven ingestion: each stage is an idempotent worker; back-pressure and retries are handled by the queue. Scale by adding workers.</w:t>
      </w:r>
    </w:p>
    <w:p>
      <w:pPr>
        <w:pStyle w:val="ListBullet"/>
        <w:spacing w:after="60"/>
      </w:pPr>
      <w:r>
        <w:t>Stateless query services scale horizontally behind a load balancer; session state lives in Redis or the database.</w:t>
      </w:r>
    </w:p>
    <w:p>
      <w:pPr>
        <w:pStyle w:val="ListBullet"/>
        <w:spacing w:after="60"/>
      </w:pPr>
      <w:r>
        <w:t>Vector store scaling via approximate-nearest-neighbour indexes (HNSW/IVF) with sharding and replication; the store is an interface, so moving from pgvector (POC) to Milvus/OpenSearch (scale) requires no application change.</w:t>
      </w:r>
    </w:p>
    <w:p>
      <w:pPr>
        <w:pStyle w:val="ListBullet"/>
        <w:spacing w:after="60"/>
      </w:pPr>
      <w:r>
        <w:t>Caching of embeddings, query results, and reranks; tiered models and token budgeting control cost and latency.</w:t>
      </w:r>
    </w:p>
    <w:p>
      <w:pPr>
        <w:spacing w:after="160"/>
      </w:pPr>
      <w:r>
        <w:rPr>
          <w:b w:val="0"/>
          <w:i w:val="0"/>
          <w:color w:val="222222"/>
          <w:sz w:val="22"/>
        </w:rPr>
        <w:t>Target POC scale is hundreds of thousands to low millions of chunks; the same design extends to hundreds of millions and beyond by swapping in dedicated stores and adding workers — with no architectural change.</w:t>
      </w:r>
    </w:p>
    <w:p>
      <w:pPr>
        <w:pStyle w:val="Heading2"/>
      </w:pPr>
      <w:r>
        <w:t>3.7  Security, permissions, and governance</w:t>
      </w:r>
    </w:p>
    <w:p>
      <w:pPr>
        <w:spacing w:after="160"/>
      </w:pPr>
      <w:r>
        <w:rPr>
          <w:b w:val="0"/>
          <w:i w:val="0"/>
          <w:color w:val="222222"/>
          <w:sz w:val="22"/>
        </w:rPr>
        <w:t>Security is central because Atlas reads sensitive enterprise knowledge.</w:t>
      </w:r>
    </w:p>
    <w:p>
      <w:pPr>
        <w:spacing w:before="120" w:after="40"/>
        <w:jc w:val="center"/>
      </w:pPr>
      <w:r>
        <w:drawing>
          <wp:inline xmlns:a="http://schemas.openxmlformats.org/drawingml/2006/main" xmlns:pic="http://schemas.openxmlformats.org/drawingml/2006/picture">
            <wp:extent cx="5120640" cy="2015384"/>
            <wp:docPr id="5" name="Picture 5"/>
            <wp:cNvGraphicFramePr>
              <a:graphicFrameLocks noChangeAspect="1"/>
            </wp:cNvGraphicFramePr>
            <a:graphic>
              <a:graphicData uri="http://schemas.openxmlformats.org/drawingml/2006/picture">
                <pic:pic>
                  <pic:nvPicPr>
                    <pic:cNvPr id="0" name="fig4_permissions.png"/>
                    <pic:cNvPicPr/>
                  </pic:nvPicPr>
                  <pic:blipFill>
                    <a:blip r:embed="rId13"/>
                    <a:stretch>
                      <a:fillRect/>
                    </a:stretch>
                  </pic:blipFill>
                  <pic:spPr>
                    <a:xfrm>
                      <a:off x="0" y="0"/>
                      <a:ext cx="5120640" cy="2015384"/>
                    </a:xfrm>
                    <a:prstGeom prst="rect"/>
                  </pic:spPr>
                </pic:pic>
              </a:graphicData>
            </a:graphic>
          </wp:inline>
        </w:drawing>
      </w:r>
    </w:p>
    <w:p>
      <w:pPr>
        <w:spacing w:after="200"/>
        <w:jc w:val="center"/>
      </w:pPr>
      <w:r>
        <w:rPr>
          <w:i/>
          <w:color w:val="5B6470"/>
          <w:sz w:val="18"/>
        </w:rPr>
        <w:t>Figure 5.  Permission-aware retrieval: candidate documents are intersected with the user’s entitlements before any content reaches the model.</w:t>
      </w:r>
    </w:p>
    <w:p>
      <w:pPr>
        <w:pStyle w:val="ListBullet"/>
        <w:spacing w:after="60"/>
      </w:pPr>
      <w:r>
        <w:rPr>
          <w:b/>
        </w:rPr>
        <w:t xml:space="preserve">Authentication.  </w:t>
      </w:r>
      <w:r>
        <w:t>Authentication via SSO (OIDC/SAML); the platform never holds primary credentials.</w:t>
      </w:r>
    </w:p>
    <w:p>
      <w:pPr>
        <w:pStyle w:val="ListBullet"/>
        <w:spacing w:after="60"/>
      </w:pPr>
      <w:r>
        <w:rPr>
          <w:b/>
        </w:rPr>
        <w:t xml:space="preserve">Permission-aware retrieval.  </w:t>
      </w:r>
      <w:r>
        <w:t>Each document’s ACL is captured at ingest, and at query time results are filtered to the intersection of the user’s roles and the document ACLs, so the model only ever receives content the user may read.</w:t>
      </w:r>
    </w:p>
    <w:p>
      <w:pPr>
        <w:pStyle w:val="ListBullet"/>
        <w:spacing w:after="60"/>
      </w:pPr>
      <w:r>
        <w:rPr>
          <w:b/>
        </w:rPr>
        <w:t xml:space="preserve">Permission freshness.  </w:t>
      </w:r>
      <w:r>
        <w:t>ACLs refresh on schedule and on change events; sensitive sources can be re-validated at query time to avoid stale-grant leaks.</w:t>
      </w:r>
    </w:p>
    <w:p>
      <w:pPr>
        <w:pStyle w:val="ListBullet"/>
        <w:spacing w:after="60"/>
      </w:pPr>
      <w:r>
        <w:rPr>
          <w:b/>
        </w:rPr>
        <w:t xml:space="preserve">Data protection.  </w:t>
      </w:r>
      <w:r>
        <w:t>Encryption in transit and at rest, secrets in a vault/KMS, and optional PII detection and redaction in the pipeline.</w:t>
      </w:r>
    </w:p>
    <w:p>
      <w:pPr>
        <w:pStyle w:val="ListBullet"/>
        <w:spacing w:after="60"/>
      </w:pPr>
      <w:r>
        <w:rPr>
          <w:b/>
        </w:rPr>
        <w:t xml:space="preserve">Deployment flexibility.  </w:t>
      </w:r>
      <w:r>
        <w:t>Runs in the client’s VPC, private cloud, or on-premises; models can be self-hosted so no content leaves the boundary.</w:t>
      </w:r>
    </w:p>
    <w:p>
      <w:pPr>
        <w:pStyle w:val="ListBullet"/>
        <w:spacing w:after="60"/>
      </w:pPr>
      <w:r>
        <w:rPr>
          <w:b/>
        </w:rPr>
        <w:t xml:space="preserve">Auditability.  </w:t>
      </w:r>
      <w:r>
        <w:t>Every query, retrieval set, and answer is logged for compliance and debugging, with access controls on the logs themselves.</w:t>
      </w:r>
    </w:p>
    <w:p>
      <w:pPr>
        <w:pStyle w:val="Heading2"/>
      </w:pPr>
      <w:r>
        <w:t>3.8  Extensibility</w:t>
      </w:r>
    </w:p>
    <w:p>
      <w:pPr>
        <w:spacing w:after="160"/>
      </w:pPr>
      <w:r>
        <w:rPr>
          <w:b w:val="0"/>
          <w:i w:val="0"/>
          <w:color w:val="222222"/>
          <w:sz w:val="22"/>
        </w:rPr>
        <w:t>Growth is configuration, not re-architecture. Everything the query plane consumes is an interface — vector store, keyword store, embedding model, reranker, and LLM are all swappable.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304"/>
            <w:shd w:val="clear" w:color="auto" w:fill="1F3A5F"/>
          </w:tcPr>
          <w:p>
            <w:pPr>
              <w:spacing w:after="40" w:before="40"/>
            </w:pPr>
            <w:r/>
            <w:r>
              <w:rPr>
                <w:rFonts w:ascii="Calibri" w:hAnsi="Calibri"/>
                <w:b/>
                <w:color w:val="FFFFFF"/>
                <w:sz w:val="20"/>
              </w:rPr>
              <w:t>Extension point</w:t>
            </w:r>
          </w:p>
        </w:tc>
        <w:tc>
          <w:tcPr>
            <w:tcW w:type="dxa" w:w="3312"/>
            <w:shd w:val="clear" w:color="auto" w:fill="1F3A5F"/>
          </w:tcPr>
          <w:p>
            <w:pPr>
              <w:spacing w:after="40" w:before="40"/>
            </w:pPr>
            <w:r/>
            <w:r>
              <w:rPr>
                <w:rFonts w:ascii="Calibri" w:hAnsi="Calibri"/>
                <w:b/>
                <w:color w:val="FFFFFF"/>
                <w:sz w:val="20"/>
              </w:rPr>
              <w:t>How it extends</w:t>
            </w:r>
          </w:p>
        </w:tc>
        <w:tc>
          <w:tcPr>
            <w:tcW w:type="dxa" w:w="3744"/>
            <w:shd w:val="clear" w:color="auto" w:fill="1F3A5F"/>
          </w:tcPr>
          <w:p>
            <w:pPr>
              <w:spacing w:after="40" w:before="40"/>
            </w:pPr>
            <w:r/>
            <w:r>
              <w:rPr>
                <w:rFonts w:ascii="Calibri" w:hAnsi="Calibri"/>
                <w:b/>
                <w:color w:val="FFFFFF"/>
                <w:sz w:val="20"/>
              </w:rPr>
              <w:t>Example</w:t>
            </w:r>
          </w:p>
        </w:tc>
      </w:tr>
      <w:tr>
        <w:tc>
          <w:tcPr>
            <w:tcW w:type="dxa" w:w="2304"/>
          </w:tcPr>
          <w:p>
            <w:pPr>
              <w:spacing w:after="40" w:before="40"/>
            </w:pPr>
            <w:r/>
            <w:r>
              <w:rPr>
                <w:rFonts w:ascii="Calibri" w:hAnsi="Calibri"/>
                <w:b w:val="0"/>
                <w:color w:val="222222"/>
                <w:sz w:val="20"/>
              </w:rPr>
              <w:t>Connectors</w:t>
            </w:r>
          </w:p>
        </w:tc>
        <w:tc>
          <w:tcPr>
            <w:tcW w:type="dxa" w:w="3312"/>
          </w:tcPr>
          <w:p>
            <w:pPr>
              <w:spacing w:after="40" w:before="40"/>
            </w:pPr>
            <w:r/>
            <w:r>
              <w:rPr>
                <w:rFonts w:ascii="Calibri" w:hAnsi="Calibri"/>
                <w:b w:val="0"/>
                <w:color w:val="222222"/>
                <w:sz w:val="20"/>
              </w:rPr>
              <w:t>Implement the connector contract</w:t>
            </w:r>
          </w:p>
        </w:tc>
        <w:tc>
          <w:tcPr>
            <w:tcW w:type="dxa" w:w="3744"/>
          </w:tcPr>
          <w:p>
            <w:pPr>
              <w:spacing w:after="40" w:before="40"/>
            </w:pPr>
            <w:r/>
            <w:r>
              <w:rPr>
                <w:rFonts w:ascii="Calibri" w:hAnsi="Calibri"/>
                <w:b w:val="0"/>
                <w:color w:val="222222"/>
                <w:sz w:val="20"/>
              </w:rPr>
              <w:t>Add ServiceNow, GitHub, or a custom REST API.</w:t>
            </w:r>
          </w:p>
        </w:tc>
      </w:tr>
      <w:tr>
        <w:tc>
          <w:tcPr>
            <w:tcW w:type="dxa" w:w="2304"/>
            <w:shd w:val="clear" w:color="auto" w:fill="EAF1F8"/>
          </w:tcPr>
          <w:p>
            <w:pPr>
              <w:spacing w:after="40" w:before="40"/>
            </w:pPr>
            <w:r/>
            <w:r>
              <w:rPr>
                <w:rFonts w:ascii="Calibri" w:hAnsi="Calibri"/>
                <w:b w:val="0"/>
                <w:color w:val="222222"/>
                <w:sz w:val="20"/>
              </w:rPr>
              <w:t>Domains / projects</w:t>
            </w:r>
          </w:p>
        </w:tc>
        <w:tc>
          <w:tcPr>
            <w:tcW w:type="dxa" w:w="3312"/>
            <w:shd w:val="clear" w:color="auto" w:fill="EAF1F8"/>
          </w:tcPr>
          <w:p>
            <w:pPr>
              <w:spacing w:after="40" w:before="40"/>
            </w:pPr>
            <w:r/>
            <w:r>
              <w:rPr>
                <w:rFonts w:ascii="Calibri" w:hAnsi="Calibri"/>
                <w:b w:val="0"/>
                <w:color w:val="222222"/>
                <w:sz w:val="20"/>
              </w:rPr>
              <w:t>Schema-driven metadata and tagging</w:t>
            </w:r>
          </w:p>
        </w:tc>
        <w:tc>
          <w:tcPr>
            <w:tcW w:type="dxa" w:w="3744"/>
            <w:shd w:val="clear" w:color="auto" w:fill="EAF1F8"/>
          </w:tcPr>
          <w:p>
            <w:pPr>
              <w:spacing w:after="40" w:before="40"/>
            </w:pPr>
            <w:r/>
            <w:r>
              <w:rPr>
                <w:rFonts w:ascii="Calibri" w:hAnsi="Calibri"/>
                <w:b w:val="0"/>
                <w:color w:val="222222"/>
                <w:sz w:val="20"/>
              </w:rPr>
              <w:t>Onboard a new business domain with its taxonomy.</w:t>
            </w:r>
          </w:p>
        </w:tc>
      </w:tr>
      <w:tr>
        <w:tc>
          <w:tcPr>
            <w:tcW w:type="dxa" w:w="2304"/>
          </w:tcPr>
          <w:p>
            <w:pPr>
              <w:spacing w:after="40" w:before="40"/>
            </w:pPr>
            <w:r/>
            <w:r>
              <w:rPr>
                <w:rFonts w:ascii="Calibri" w:hAnsi="Calibri"/>
                <w:b w:val="0"/>
                <w:color w:val="222222"/>
                <w:sz w:val="20"/>
              </w:rPr>
              <w:t>Embedding model</w:t>
            </w:r>
          </w:p>
        </w:tc>
        <w:tc>
          <w:tcPr>
            <w:tcW w:type="dxa" w:w="3312"/>
          </w:tcPr>
          <w:p>
            <w:pPr>
              <w:spacing w:after="40" w:before="40"/>
            </w:pPr>
            <w:r/>
            <w:r>
              <w:rPr>
                <w:rFonts w:ascii="Calibri" w:hAnsi="Calibri"/>
                <w:b w:val="0"/>
                <w:color w:val="222222"/>
                <w:sz w:val="20"/>
              </w:rPr>
              <w:t>Embedding interface</w:t>
            </w:r>
          </w:p>
        </w:tc>
        <w:tc>
          <w:tcPr>
            <w:tcW w:type="dxa" w:w="3744"/>
          </w:tcPr>
          <w:p>
            <w:pPr>
              <w:spacing w:after="40" w:before="40"/>
            </w:pPr>
            <w:r/>
            <w:r>
              <w:rPr>
                <w:rFonts w:ascii="Calibri" w:hAnsi="Calibri"/>
                <w:b w:val="0"/>
                <w:color w:val="222222"/>
                <w:sz w:val="20"/>
              </w:rPr>
              <w:t>Swap to a domain-tuned or newer model; re-embed.</w:t>
            </w:r>
          </w:p>
        </w:tc>
      </w:tr>
      <w:tr>
        <w:tc>
          <w:tcPr>
            <w:tcW w:type="dxa" w:w="2304"/>
            <w:shd w:val="clear" w:color="auto" w:fill="EAF1F8"/>
          </w:tcPr>
          <w:p>
            <w:pPr>
              <w:spacing w:after="40" w:before="40"/>
            </w:pPr>
            <w:r/>
            <w:r>
              <w:rPr>
                <w:rFonts w:ascii="Calibri" w:hAnsi="Calibri"/>
                <w:b w:val="0"/>
                <w:color w:val="222222"/>
                <w:sz w:val="20"/>
              </w:rPr>
              <w:t>LLM</w:t>
            </w:r>
          </w:p>
        </w:tc>
        <w:tc>
          <w:tcPr>
            <w:tcW w:type="dxa" w:w="3312"/>
            <w:shd w:val="clear" w:color="auto" w:fill="EAF1F8"/>
          </w:tcPr>
          <w:p>
            <w:pPr>
              <w:spacing w:after="40" w:before="40"/>
            </w:pPr>
            <w:r/>
            <w:r>
              <w:rPr>
                <w:rFonts w:ascii="Calibri" w:hAnsi="Calibri"/>
                <w:b w:val="0"/>
                <w:color w:val="222222"/>
                <w:sz w:val="20"/>
              </w:rPr>
              <w:t>Synthesizer interface</w:t>
            </w:r>
          </w:p>
        </w:tc>
        <w:tc>
          <w:tcPr>
            <w:tcW w:type="dxa" w:w="3744"/>
            <w:shd w:val="clear" w:color="auto" w:fill="EAF1F8"/>
          </w:tcPr>
          <w:p>
            <w:pPr>
              <w:spacing w:after="40" w:before="40"/>
            </w:pPr>
            <w:r/>
            <w:r>
              <w:rPr>
                <w:rFonts w:ascii="Calibri" w:hAnsi="Calibri"/>
                <w:b w:val="0"/>
                <w:color w:val="222222"/>
                <w:sz w:val="20"/>
              </w:rPr>
              <w:t>Switch providers, self-host, or route by query type.</w:t>
            </w:r>
          </w:p>
        </w:tc>
      </w:tr>
      <w:tr>
        <w:tc>
          <w:tcPr>
            <w:tcW w:type="dxa" w:w="2304"/>
          </w:tcPr>
          <w:p>
            <w:pPr>
              <w:spacing w:after="40" w:before="40"/>
            </w:pPr>
            <w:r/>
            <w:r>
              <w:rPr>
                <w:rFonts w:ascii="Calibri" w:hAnsi="Calibri"/>
                <w:b w:val="0"/>
                <w:color w:val="222222"/>
                <w:sz w:val="20"/>
              </w:rPr>
              <w:t>Retrieval strategy</w:t>
            </w:r>
          </w:p>
        </w:tc>
        <w:tc>
          <w:tcPr>
            <w:tcW w:type="dxa" w:w="3312"/>
          </w:tcPr>
          <w:p>
            <w:pPr>
              <w:spacing w:after="40" w:before="40"/>
            </w:pPr>
            <w:r/>
            <w:r>
              <w:rPr>
                <w:rFonts w:ascii="Calibri" w:hAnsi="Calibri"/>
                <w:b w:val="0"/>
                <w:color w:val="222222"/>
                <w:sz w:val="20"/>
              </w:rPr>
              <w:t>Pluggable retrievers/rerankers</w:t>
            </w:r>
          </w:p>
        </w:tc>
        <w:tc>
          <w:tcPr>
            <w:tcW w:type="dxa" w:w="3744"/>
          </w:tcPr>
          <w:p>
            <w:pPr>
              <w:spacing w:after="40" w:before="40"/>
            </w:pPr>
            <w:r/>
            <w:r>
              <w:rPr>
                <w:rFonts w:ascii="Calibri" w:hAnsi="Calibri"/>
                <w:b w:val="0"/>
                <w:color w:val="222222"/>
                <w:sz w:val="20"/>
              </w:rPr>
              <w:t>Add graph retrieval or multi-hop reasoning.</w:t>
            </w:r>
          </w:p>
        </w:tc>
      </w:tr>
      <w:tr>
        <w:tc>
          <w:tcPr>
            <w:tcW w:type="dxa" w:w="2304"/>
            <w:shd w:val="clear" w:color="auto" w:fill="EAF1F8"/>
          </w:tcPr>
          <w:p>
            <w:pPr>
              <w:spacing w:after="40" w:before="40"/>
            </w:pPr>
            <w:r/>
            <w:r>
              <w:rPr>
                <w:rFonts w:ascii="Calibri" w:hAnsi="Calibri"/>
                <w:b w:val="0"/>
                <w:color w:val="222222"/>
                <w:sz w:val="20"/>
              </w:rPr>
              <w:t>Answer formats</w:t>
            </w:r>
          </w:p>
        </w:tc>
        <w:tc>
          <w:tcPr>
            <w:tcW w:type="dxa" w:w="3312"/>
            <w:shd w:val="clear" w:color="auto" w:fill="EAF1F8"/>
          </w:tcPr>
          <w:p>
            <w:pPr>
              <w:spacing w:after="40" w:before="40"/>
            </w:pPr>
            <w:r/>
            <w:r>
              <w:rPr>
                <w:rFonts w:ascii="Calibri" w:hAnsi="Calibri"/>
                <w:b w:val="0"/>
                <w:color w:val="222222"/>
                <w:sz w:val="20"/>
              </w:rPr>
              <w:t>Output templates</w:t>
            </w:r>
          </w:p>
        </w:tc>
        <w:tc>
          <w:tcPr>
            <w:tcW w:type="dxa" w:w="3744"/>
            <w:shd w:val="clear" w:color="auto" w:fill="EAF1F8"/>
          </w:tcPr>
          <w:p>
            <w:pPr>
              <w:spacing w:after="40" w:before="40"/>
            </w:pPr>
            <w:r/>
            <w:r>
              <w:rPr>
                <w:rFonts w:ascii="Calibri" w:hAnsi="Calibri"/>
                <w:b w:val="0"/>
                <w:color w:val="222222"/>
                <w:sz w:val="20"/>
              </w:rPr>
              <w:t>Brief, detailed-with-citations, comparison table, checklist.</w:t>
            </w:r>
          </w:p>
        </w:tc>
      </w:tr>
      <w:tr>
        <w:tc>
          <w:tcPr>
            <w:tcW w:type="dxa" w:w="2304"/>
          </w:tcPr>
          <w:p>
            <w:pPr>
              <w:spacing w:after="40" w:before="40"/>
            </w:pPr>
            <w:r/>
            <w:r>
              <w:rPr>
                <w:rFonts w:ascii="Calibri" w:hAnsi="Calibri"/>
                <w:b w:val="0"/>
                <w:color w:val="222222"/>
                <w:sz w:val="20"/>
              </w:rPr>
              <w:t>Surfaces</w:t>
            </w:r>
          </w:p>
        </w:tc>
        <w:tc>
          <w:tcPr>
            <w:tcW w:type="dxa" w:w="3312"/>
          </w:tcPr>
          <w:p>
            <w:pPr>
              <w:spacing w:after="40" w:before="40"/>
            </w:pPr>
            <w:r/>
            <w:r>
              <w:rPr>
                <w:rFonts w:ascii="Calibri" w:hAnsi="Calibri"/>
                <w:b w:val="0"/>
                <w:color w:val="222222"/>
                <w:sz w:val="20"/>
              </w:rPr>
              <w:t>API-first</w:t>
            </w:r>
          </w:p>
        </w:tc>
        <w:tc>
          <w:tcPr>
            <w:tcW w:type="dxa" w:w="3744"/>
          </w:tcPr>
          <w:p>
            <w:pPr>
              <w:spacing w:after="40" w:before="40"/>
            </w:pPr>
            <w:r/>
            <w:r>
              <w:rPr>
                <w:rFonts w:ascii="Calibri" w:hAnsi="Calibri"/>
                <w:b w:val="0"/>
                <w:color w:val="222222"/>
                <w:sz w:val="20"/>
              </w:rPr>
              <w:t>Web app, chat, Slack/Teams, IDE, embedded widgets.</w:t>
            </w:r>
          </w:p>
        </w:tc>
      </w:tr>
    </w:tbl>
    <w:p>
      <w:pPr>
        <w:spacing w:after="80"/>
      </w:pPr>
    </w:p>
    <w:p>
      <w:pPr>
        <w:pStyle w:val="Heading2"/>
      </w:pPr>
      <w:r>
        <w:t>3.9  Observability, evaluation, and quality</w:t>
      </w:r>
    </w:p>
    <w:p>
      <w:pPr>
        <w:spacing w:after="160"/>
      </w:pPr>
      <w:r>
        <w:rPr>
          <w:b w:val="0"/>
          <w:i w:val="0"/>
          <w:color w:val="222222"/>
          <w:sz w:val="22"/>
        </w:rPr>
        <w:t>Trustworthy answers must be measured. Atlas ships with end-to-end tracing and a continuous RAG evaluation harness.</w:t>
      </w:r>
    </w:p>
    <w:p>
      <w:pPr>
        <w:pStyle w:val="ListBullet"/>
        <w:spacing w:after="60"/>
      </w:pPr>
      <w:r>
        <w:rPr>
          <w:b/>
        </w:rPr>
        <w:t xml:space="preserve">Tracing.  </w:t>
      </w:r>
      <w:r>
        <w:t>OpenTelemetry traces across ingestion and query (which chunks were retrieved, scores, tokens, latency per stage).</w:t>
      </w:r>
    </w:p>
    <w:p>
      <w:pPr>
        <w:pStyle w:val="ListBullet"/>
        <w:spacing w:after="60"/>
      </w:pPr>
      <w:r>
        <w:rPr>
          <w:b/>
        </w:rPr>
        <w:t xml:space="preserve">Metrics.  </w:t>
      </w:r>
      <w:r>
        <w:t>Ingestion throughput and freshness, query latency (p50/p95), retrieval hit rates, cache rates, and model cost.</w:t>
      </w:r>
    </w:p>
    <w:p>
      <w:pPr>
        <w:pStyle w:val="ListBullet"/>
        <w:spacing w:after="60"/>
      </w:pPr>
      <w:r>
        <w:rPr>
          <w:b/>
        </w:rPr>
        <w:t xml:space="preserve">Evaluation.  </w:t>
      </w:r>
      <w:r>
        <w:t>Retrieval quality (recall@k, MRR, nDCG), answer quality (groundedness, relevance, citation correctness), and safety (hallucination rate, correct refusals) on a curated benchmark.</w:t>
      </w:r>
    </w:p>
    <w:p>
      <w:pPr>
        <w:pStyle w:val="ListBullet"/>
        <w:spacing w:after="60"/>
      </w:pPr>
      <w:r>
        <w:rPr>
          <w:b/>
        </w:rPr>
        <w:t xml:space="preserve">Feedback &amp; gating.  </w:t>
      </w:r>
      <w:r>
        <w:t>Thumbs up/down and comments feed evaluation and prioritize fixes; model/prompt/retrieval changes are gated against the suite before promotion.</w:t>
      </w:r>
    </w:p>
    <w:p>
      <w:pPr>
        <w:pStyle w:val="Heading2"/>
      </w:pPr>
      <w:r>
        <w:t>3.10  Reference technology stack</w:t>
      </w:r>
    </w:p>
    <w:p>
      <w:pPr>
        <w:spacing w:after="160"/>
      </w:pPr>
      <w:r>
        <w:rPr>
          <w:b w:val="0"/>
          <w:i w:val="0"/>
          <w:color w:val="222222"/>
          <w:sz w:val="22"/>
        </w:rPr>
        <w:t>The stack is a recommendation; each layer is swappable and final choices adapt to the client’s existing platform and constraints.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448"/>
            <w:shd w:val="clear" w:color="auto" w:fill="1F3A5F"/>
          </w:tcPr>
          <w:p>
            <w:pPr>
              <w:spacing w:after="40" w:before="40"/>
            </w:pPr>
            <w:r/>
            <w:r>
              <w:rPr>
                <w:rFonts w:ascii="Calibri" w:hAnsi="Calibri"/>
                <w:b/>
                <w:color w:val="FFFFFF"/>
                <w:sz w:val="20"/>
              </w:rPr>
              <w:t>Layer</w:t>
            </w:r>
          </w:p>
        </w:tc>
        <w:tc>
          <w:tcPr>
            <w:tcW w:type="dxa" w:w="3600"/>
            <w:shd w:val="clear" w:color="auto" w:fill="1F3A5F"/>
          </w:tcPr>
          <w:p>
            <w:pPr>
              <w:spacing w:after="40" w:before="40"/>
            </w:pPr>
            <w:r/>
            <w:r>
              <w:rPr>
                <w:rFonts w:ascii="Calibri" w:hAnsi="Calibri"/>
                <w:b/>
                <w:color w:val="FFFFFF"/>
                <w:sz w:val="20"/>
              </w:rPr>
              <w:t>POC recommendation</w:t>
            </w:r>
          </w:p>
        </w:tc>
        <w:tc>
          <w:tcPr>
            <w:tcW w:type="dxa" w:w="3312"/>
            <w:shd w:val="clear" w:color="auto" w:fill="1F3A5F"/>
          </w:tcPr>
          <w:p>
            <w:pPr>
              <w:spacing w:after="40" w:before="40"/>
            </w:pPr>
            <w:r/>
            <w:r>
              <w:rPr>
                <w:rFonts w:ascii="Calibri" w:hAnsi="Calibri"/>
                <w:b/>
                <w:color w:val="FFFFFF"/>
                <w:sz w:val="20"/>
              </w:rPr>
              <w:t>Scale / alternatives</w:t>
            </w:r>
          </w:p>
        </w:tc>
      </w:tr>
      <w:tr>
        <w:tc>
          <w:tcPr>
            <w:tcW w:type="dxa" w:w="2448"/>
          </w:tcPr>
          <w:p>
            <w:pPr>
              <w:spacing w:after="40" w:before="40"/>
            </w:pPr>
            <w:r/>
            <w:r>
              <w:rPr>
                <w:rFonts w:ascii="Calibri" w:hAnsi="Calibri"/>
                <w:b w:val="0"/>
                <w:color w:val="222222"/>
                <w:sz w:val="20"/>
              </w:rPr>
              <w:t>Connectors &amp; pipeline</w:t>
            </w:r>
          </w:p>
        </w:tc>
        <w:tc>
          <w:tcPr>
            <w:tcW w:type="dxa" w:w="3600"/>
          </w:tcPr>
          <w:p>
            <w:pPr>
              <w:spacing w:after="40" w:before="40"/>
            </w:pPr>
            <w:r/>
            <w:r>
              <w:rPr>
                <w:rFonts w:ascii="Calibri" w:hAnsi="Calibri"/>
                <w:b w:val="0"/>
                <w:color w:val="222222"/>
                <w:sz w:val="20"/>
              </w:rPr>
              <w:t>Python workers (FastAPI control plane)</w:t>
            </w:r>
          </w:p>
        </w:tc>
        <w:tc>
          <w:tcPr>
            <w:tcW w:type="dxa" w:w="3312"/>
          </w:tcPr>
          <w:p>
            <w:pPr>
              <w:spacing w:after="40" w:before="40"/>
            </w:pPr>
            <w:r/>
            <w:r>
              <w:rPr>
                <w:rFonts w:ascii="Calibri" w:hAnsi="Calibri"/>
                <w:b w:val="0"/>
                <w:color w:val="222222"/>
                <w:sz w:val="20"/>
              </w:rPr>
              <w:t>Same, scaled horizontally</w:t>
            </w:r>
          </w:p>
        </w:tc>
      </w:tr>
      <w:tr>
        <w:tc>
          <w:tcPr>
            <w:tcW w:type="dxa" w:w="2448"/>
            <w:shd w:val="clear" w:color="auto" w:fill="EAF1F8"/>
          </w:tcPr>
          <w:p>
            <w:pPr>
              <w:spacing w:after="40" w:before="40"/>
            </w:pPr>
            <w:r/>
            <w:r>
              <w:rPr>
                <w:rFonts w:ascii="Calibri" w:hAnsi="Calibri"/>
                <w:b w:val="0"/>
                <w:color w:val="222222"/>
                <w:sz w:val="20"/>
              </w:rPr>
              <w:t>RAG orchestration</w:t>
            </w:r>
          </w:p>
        </w:tc>
        <w:tc>
          <w:tcPr>
            <w:tcW w:type="dxa" w:w="3600"/>
            <w:shd w:val="clear" w:color="auto" w:fill="EAF1F8"/>
          </w:tcPr>
          <w:p>
            <w:pPr>
              <w:spacing w:after="40" w:before="40"/>
            </w:pPr>
            <w:r/>
            <w:r>
              <w:rPr>
                <w:rFonts w:ascii="Calibri" w:hAnsi="Calibri"/>
                <w:b w:val="0"/>
                <w:color w:val="222222"/>
                <w:sz w:val="20"/>
              </w:rPr>
              <w:t>LangChain / LlamaIndex or thin custom orchestrator</w:t>
            </w:r>
          </w:p>
        </w:tc>
        <w:tc>
          <w:tcPr>
            <w:tcW w:type="dxa" w:w="3312"/>
            <w:shd w:val="clear" w:color="auto" w:fill="EAF1F8"/>
          </w:tcPr>
          <w:p>
            <w:pPr>
              <w:spacing w:after="40" w:before="40"/>
            </w:pPr>
            <w:r/>
            <w:r>
              <w:rPr>
                <w:rFonts w:ascii="Calibri" w:hAnsi="Calibri"/>
                <w:b w:val="0"/>
                <w:color w:val="222222"/>
                <w:sz w:val="20"/>
              </w:rPr>
              <w:t>Custom orchestrator</w:t>
            </w:r>
          </w:p>
        </w:tc>
      </w:tr>
      <w:tr>
        <w:tc>
          <w:tcPr>
            <w:tcW w:type="dxa" w:w="2448"/>
          </w:tcPr>
          <w:p>
            <w:pPr>
              <w:spacing w:after="40" w:before="40"/>
            </w:pPr>
            <w:r/>
            <w:r>
              <w:rPr>
                <w:rFonts w:ascii="Calibri" w:hAnsi="Calibri"/>
                <w:b w:val="0"/>
                <w:color w:val="222222"/>
                <w:sz w:val="20"/>
              </w:rPr>
              <w:t>Queue / async</w:t>
            </w:r>
          </w:p>
        </w:tc>
        <w:tc>
          <w:tcPr>
            <w:tcW w:type="dxa" w:w="3600"/>
          </w:tcPr>
          <w:p>
            <w:pPr>
              <w:spacing w:after="40" w:before="40"/>
            </w:pPr>
            <w:r/>
            <w:r>
              <w:rPr>
                <w:rFonts w:ascii="Calibri" w:hAnsi="Calibri"/>
                <w:b w:val="0"/>
                <w:color w:val="222222"/>
                <w:sz w:val="20"/>
              </w:rPr>
              <w:t>Redis Streams / RabbitMQ</w:t>
            </w:r>
          </w:p>
        </w:tc>
        <w:tc>
          <w:tcPr>
            <w:tcW w:type="dxa" w:w="3312"/>
          </w:tcPr>
          <w:p>
            <w:pPr>
              <w:spacing w:after="40" w:before="40"/>
            </w:pPr>
            <w:r/>
            <w:r>
              <w:rPr>
                <w:rFonts w:ascii="Calibri" w:hAnsi="Calibri"/>
                <w:b w:val="0"/>
                <w:color w:val="222222"/>
                <w:sz w:val="20"/>
              </w:rPr>
              <w:t>Kafka / managed queues</w:t>
            </w:r>
          </w:p>
        </w:tc>
      </w:tr>
      <w:tr>
        <w:tc>
          <w:tcPr>
            <w:tcW w:type="dxa" w:w="2448"/>
            <w:shd w:val="clear" w:color="auto" w:fill="EAF1F8"/>
          </w:tcPr>
          <w:p>
            <w:pPr>
              <w:spacing w:after="40" w:before="40"/>
            </w:pPr>
            <w:r/>
            <w:r>
              <w:rPr>
                <w:rFonts w:ascii="Calibri" w:hAnsi="Calibri"/>
                <w:b w:val="0"/>
                <w:color w:val="222222"/>
                <w:sz w:val="20"/>
              </w:rPr>
              <w:t>Metadata store</w:t>
            </w:r>
          </w:p>
        </w:tc>
        <w:tc>
          <w:tcPr>
            <w:tcW w:type="dxa" w:w="3600"/>
            <w:shd w:val="clear" w:color="auto" w:fill="EAF1F8"/>
          </w:tcPr>
          <w:p>
            <w:pPr>
              <w:spacing w:after="40" w:before="40"/>
            </w:pPr>
            <w:r/>
            <w:r>
              <w:rPr>
                <w:rFonts w:ascii="Calibri" w:hAnsi="Calibri"/>
                <w:b w:val="0"/>
                <w:color w:val="222222"/>
                <w:sz w:val="20"/>
              </w:rPr>
              <w:t>PostgreSQL</w:t>
            </w:r>
          </w:p>
        </w:tc>
        <w:tc>
          <w:tcPr>
            <w:tcW w:type="dxa" w:w="3312"/>
            <w:shd w:val="clear" w:color="auto" w:fill="EAF1F8"/>
          </w:tcPr>
          <w:p>
            <w:pPr>
              <w:spacing w:after="40" w:before="40"/>
            </w:pPr>
            <w:r/>
            <w:r>
              <w:rPr>
                <w:rFonts w:ascii="Calibri" w:hAnsi="Calibri"/>
                <w:b w:val="0"/>
                <w:color w:val="222222"/>
                <w:sz w:val="20"/>
              </w:rPr>
              <w:t>PostgreSQL (HA) / managed</w:t>
            </w:r>
          </w:p>
        </w:tc>
      </w:tr>
      <w:tr>
        <w:tc>
          <w:tcPr>
            <w:tcW w:type="dxa" w:w="2448"/>
          </w:tcPr>
          <w:p>
            <w:pPr>
              <w:spacing w:after="40" w:before="40"/>
            </w:pPr>
            <w:r/>
            <w:r>
              <w:rPr>
                <w:rFonts w:ascii="Calibri" w:hAnsi="Calibri"/>
                <w:b w:val="0"/>
                <w:color w:val="222222"/>
                <w:sz w:val="20"/>
              </w:rPr>
              <w:t>Vector index</w:t>
            </w:r>
          </w:p>
        </w:tc>
        <w:tc>
          <w:tcPr>
            <w:tcW w:type="dxa" w:w="3600"/>
          </w:tcPr>
          <w:p>
            <w:pPr>
              <w:spacing w:after="40" w:before="40"/>
            </w:pPr>
            <w:r/>
            <w:r>
              <w:rPr>
                <w:rFonts w:ascii="Calibri" w:hAnsi="Calibri"/>
                <w:b w:val="0"/>
                <w:color w:val="222222"/>
                <w:sz w:val="20"/>
              </w:rPr>
              <w:t>PostgreSQL + pgvector</w:t>
            </w:r>
          </w:p>
        </w:tc>
        <w:tc>
          <w:tcPr>
            <w:tcW w:type="dxa" w:w="3312"/>
          </w:tcPr>
          <w:p>
            <w:pPr>
              <w:spacing w:after="40" w:before="40"/>
            </w:pPr>
            <w:r/>
            <w:r>
              <w:rPr>
                <w:rFonts w:ascii="Calibri" w:hAnsi="Calibri"/>
                <w:b w:val="0"/>
                <w:color w:val="222222"/>
                <w:sz w:val="20"/>
              </w:rPr>
              <w:t>Milvus / OpenSearch / Pinecone</w:t>
            </w:r>
          </w:p>
        </w:tc>
      </w:tr>
      <w:tr>
        <w:tc>
          <w:tcPr>
            <w:tcW w:type="dxa" w:w="2448"/>
            <w:shd w:val="clear" w:color="auto" w:fill="EAF1F8"/>
          </w:tcPr>
          <w:p>
            <w:pPr>
              <w:spacing w:after="40" w:before="40"/>
            </w:pPr>
            <w:r/>
            <w:r>
              <w:rPr>
                <w:rFonts w:ascii="Calibri" w:hAnsi="Calibri"/>
                <w:b w:val="0"/>
                <w:color w:val="222222"/>
                <w:sz w:val="20"/>
              </w:rPr>
              <w:t>Keyword index</w:t>
            </w:r>
          </w:p>
        </w:tc>
        <w:tc>
          <w:tcPr>
            <w:tcW w:type="dxa" w:w="3600"/>
            <w:shd w:val="clear" w:color="auto" w:fill="EAF1F8"/>
          </w:tcPr>
          <w:p>
            <w:pPr>
              <w:spacing w:after="40" w:before="40"/>
            </w:pPr>
            <w:r/>
            <w:r>
              <w:rPr>
                <w:rFonts w:ascii="Calibri" w:hAnsi="Calibri"/>
                <w:b w:val="0"/>
                <w:color w:val="222222"/>
                <w:sz w:val="20"/>
              </w:rPr>
              <w:t>OpenSearch / Elasticsearch</w:t>
            </w:r>
          </w:p>
        </w:tc>
        <w:tc>
          <w:tcPr>
            <w:tcW w:type="dxa" w:w="3312"/>
            <w:shd w:val="clear" w:color="auto" w:fill="EAF1F8"/>
          </w:tcPr>
          <w:p>
            <w:pPr>
              <w:spacing w:after="40" w:before="40"/>
            </w:pPr>
            <w:r/>
            <w:r>
              <w:rPr>
                <w:rFonts w:ascii="Calibri" w:hAnsi="Calibri"/>
                <w:b w:val="0"/>
                <w:color w:val="222222"/>
                <w:sz w:val="20"/>
              </w:rPr>
              <w:t>Same, clustered</w:t>
            </w:r>
          </w:p>
        </w:tc>
      </w:tr>
      <w:tr>
        <w:tc>
          <w:tcPr>
            <w:tcW w:type="dxa" w:w="2448"/>
          </w:tcPr>
          <w:p>
            <w:pPr>
              <w:spacing w:after="40" w:before="40"/>
            </w:pPr>
            <w:r/>
            <w:r>
              <w:rPr>
                <w:rFonts w:ascii="Calibri" w:hAnsi="Calibri"/>
                <w:b w:val="0"/>
                <w:color w:val="222222"/>
                <w:sz w:val="20"/>
              </w:rPr>
              <w:t>Object store</w:t>
            </w:r>
          </w:p>
        </w:tc>
        <w:tc>
          <w:tcPr>
            <w:tcW w:type="dxa" w:w="3600"/>
          </w:tcPr>
          <w:p>
            <w:pPr>
              <w:spacing w:after="40" w:before="40"/>
            </w:pPr>
            <w:r/>
            <w:r>
              <w:rPr>
                <w:rFonts w:ascii="Calibri" w:hAnsi="Calibri"/>
                <w:b w:val="0"/>
                <w:color w:val="222222"/>
                <w:sz w:val="20"/>
              </w:rPr>
              <w:t>S3-compatible (MinIO/S3)</w:t>
            </w:r>
          </w:p>
        </w:tc>
        <w:tc>
          <w:tcPr>
            <w:tcW w:type="dxa" w:w="3312"/>
          </w:tcPr>
          <w:p>
            <w:pPr>
              <w:spacing w:after="40" w:before="40"/>
            </w:pPr>
            <w:r/>
            <w:r>
              <w:rPr>
                <w:rFonts w:ascii="Calibri" w:hAnsi="Calibri"/>
                <w:b w:val="0"/>
                <w:color w:val="222222"/>
                <w:sz w:val="20"/>
              </w:rPr>
              <w:t>Cloud object storage</w:t>
            </w:r>
          </w:p>
        </w:tc>
      </w:tr>
      <w:tr>
        <w:tc>
          <w:tcPr>
            <w:tcW w:type="dxa" w:w="2448"/>
            <w:shd w:val="clear" w:color="auto" w:fill="EAF1F8"/>
          </w:tcPr>
          <w:p>
            <w:pPr>
              <w:spacing w:after="40" w:before="40"/>
            </w:pPr>
            <w:r/>
            <w:r>
              <w:rPr>
                <w:rFonts w:ascii="Calibri" w:hAnsi="Calibri"/>
                <w:b w:val="0"/>
                <w:color w:val="222222"/>
                <w:sz w:val="20"/>
              </w:rPr>
              <w:t>Embeddings &amp; LLM</w:t>
            </w:r>
          </w:p>
        </w:tc>
        <w:tc>
          <w:tcPr>
            <w:tcW w:type="dxa" w:w="3600"/>
            <w:shd w:val="clear" w:color="auto" w:fill="EAF1F8"/>
          </w:tcPr>
          <w:p>
            <w:pPr>
              <w:spacing w:after="40" w:before="40"/>
            </w:pPr>
            <w:r/>
            <w:r>
              <w:rPr>
                <w:rFonts w:ascii="Calibri" w:hAnsi="Calibri"/>
                <w:b w:val="0"/>
                <w:color w:val="222222"/>
                <w:sz w:val="20"/>
              </w:rPr>
              <w:t>Managed or self-hosted</w:t>
            </w:r>
          </w:p>
        </w:tc>
        <w:tc>
          <w:tcPr>
            <w:tcW w:type="dxa" w:w="3312"/>
            <w:shd w:val="clear" w:color="auto" w:fill="EAF1F8"/>
          </w:tcPr>
          <w:p>
            <w:pPr>
              <w:spacing w:after="40" w:before="40"/>
            </w:pPr>
            <w:r/>
            <w:r>
              <w:rPr>
                <w:rFonts w:ascii="Calibri" w:hAnsi="Calibri"/>
                <w:b w:val="0"/>
                <w:color w:val="222222"/>
                <w:sz w:val="20"/>
              </w:rPr>
              <w:t>Self-hosted for data residency</w:t>
            </w:r>
          </w:p>
        </w:tc>
      </w:tr>
      <w:tr>
        <w:tc>
          <w:tcPr>
            <w:tcW w:type="dxa" w:w="2448"/>
          </w:tcPr>
          <w:p>
            <w:pPr>
              <w:spacing w:after="40" w:before="40"/>
            </w:pPr>
            <w:r/>
            <w:r>
              <w:rPr>
                <w:rFonts w:ascii="Calibri" w:hAnsi="Calibri"/>
                <w:b w:val="0"/>
                <w:color w:val="222222"/>
                <w:sz w:val="20"/>
              </w:rPr>
              <w:t>Identity</w:t>
            </w:r>
          </w:p>
        </w:tc>
        <w:tc>
          <w:tcPr>
            <w:tcW w:type="dxa" w:w="3600"/>
          </w:tcPr>
          <w:p>
            <w:pPr>
              <w:spacing w:after="40" w:before="40"/>
            </w:pPr>
            <w:r/>
            <w:r>
              <w:rPr>
                <w:rFonts w:ascii="Calibri" w:hAnsi="Calibri"/>
                <w:b w:val="0"/>
                <w:color w:val="222222"/>
                <w:sz w:val="20"/>
              </w:rPr>
              <w:t>OIDC/SAML via existing IdP</w:t>
            </w:r>
          </w:p>
        </w:tc>
        <w:tc>
          <w:tcPr>
            <w:tcW w:type="dxa" w:w="3312"/>
          </w:tcPr>
          <w:p>
            <w:pPr>
              <w:spacing w:after="40" w:before="40"/>
            </w:pPr>
            <w:r/>
            <w:r>
              <w:rPr>
                <w:rFonts w:ascii="Calibri" w:hAnsi="Calibri"/>
                <w:b w:val="0"/>
                <w:color w:val="222222"/>
                <w:sz w:val="20"/>
              </w:rPr>
              <w:t>Same</w:t>
            </w:r>
          </w:p>
        </w:tc>
      </w:tr>
      <w:tr>
        <w:tc>
          <w:tcPr>
            <w:tcW w:type="dxa" w:w="2448"/>
            <w:shd w:val="clear" w:color="auto" w:fill="EAF1F8"/>
          </w:tcPr>
          <w:p>
            <w:pPr>
              <w:spacing w:after="40" w:before="40"/>
            </w:pPr>
            <w:r/>
            <w:r>
              <w:rPr>
                <w:rFonts w:ascii="Calibri" w:hAnsi="Calibri"/>
                <w:b w:val="0"/>
                <w:color w:val="222222"/>
                <w:sz w:val="20"/>
              </w:rPr>
              <w:t>Frontend</w:t>
            </w:r>
          </w:p>
        </w:tc>
        <w:tc>
          <w:tcPr>
            <w:tcW w:type="dxa" w:w="3600"/>
            <w:shd w:val="clear" w:color="auto" w:fill="EAF1F8"/>
          </w:tcPr>
          <w:p>
            <w:pPr>
              <w:spacing w:after="40" w:before="40"/>
            </w:pPr>
            <w:r/>
            <w:r>
              <w:rPr>
                <w:rFonts w:ascii="Calibri" w:hAnsi="Calibri"/>
                <w:b w:val="0"/>
                <w:color w:val="222222"/>
                <w:sz w:val="20"/>
              </w:rPr>
              <w:t>React / Next.js streaming chat</w:t>
            </w:r>
          </w:p>
        </w:tc>
        <w:tc>
          <w:tcPr>
            <w:tcW w:type="dxa" w:w="3312"/>
            <w:shd w:val="clear" w:color="auto" w:fill="EAF1F8"/>
          </w:tcPr>
          <w:p>
            <w:pPr>
              <w:spacing w:after="40" w:before="40"/>
            </w:pPr>
            <w:r/>
            <w:r>
              <w:rPr>
                <w:rFonts w:ascii="Calibri" w:hAnsi="Calibri"/>
                <w:b w:val="0"/>
                <w:color w:val="222222"/>
                <w:sz w:val="20"/>
              </w:rPr>
              <w:t>Same</w:t>
            </w:r>
          </w:p>
        </w:tc>
      </w:tr>
      <w:tr>
        <w:tc>
          <w:tcPr>
            <w:tcW w:type="dxa" w:w="2448"/>
          </w:tcPr>
          <w:p>
            <w:pPr>
              <w:spacing w:after="40" w:before="40"/>
            </w:pPr>
            <w:r/>
            <w:r>
              <w:rPr>
                <w:rFonts w:ascii="Calibri" w:hAnsi="Calibri"/>
                <w:b w:val="0"/>
                <w:color w:val="222222"/>
                <w:sz w:val="20"/>
              </w:rPr>
              <w:t>Deployment</w:t>
            </w:r>
          </w:p>
        </w:tc>
        <w:tc>
          <w:tcPr>
            <w:tcW w:type="dxa" w:w="3600"/>
          </w:tcPr>
          <w:p>
            <w:pPr>
              <w:spacing w:after="40" w:before="40"/>
            </w:pPr>
            <w:r/>
            <w:r>
              <w:rPr>
                <w:rFonts w:ascii="Calibri" w:hAnsi="Calibri"/>
                <w:b w:val="0"/>
                <w:color w:val="222222"/>
                <w:sz w:val="20"/>
              </w:rPr>
              <w:t>Docker + Kubernetes (Helm)</w:t>
            </w:r>
          </w:p>
        </w:tc>
        <w:tc>
          <w:tcPr>
            <w:tcW w:type="dxa" w:w="3312"/>
          </w:tcPr>
          <w:p>
            <w:pPr>
              <w:spacing w:after="40" w:before="40"/>
            </w:pPr>
            <w:r/>
            <w:r>
              <w:rPr>
                <w:rFonts w:ascii="Calibri" w:hAnsi="Calibri"/>
                <w:b w:val="0"/>
                <w:color w:val="222222"/>
                <w:sz w:val="20"/>
              </w:rPr>
              <w:t>K8s autoscaling, multi-AZ</w:t>
            </w:r>
          </w:p>
        </w:tc>
      </w:tr>
      <w:tr>
        <w:tc>
          <w:tcPr>
            <w:tcW w:type="dxa" w:w="2448"/>
            <w:shd w:val="clear" w:color="auto" w:fill="EAF1F8"/>
          </w:tcPr>
          <w:p>
            <w:pPr>
              <w:spacing w:after="40" w:before="40"/>
            </w:pPr>
            <w:r/>
            <w:r>
              <w:rPr>
                <w:rFonts w:ascii="Calibri" w:hAnsi="Calibri"/>
                <w:b w:val="0"/>
                <w:color w:val="222222"/>
                <w:sz w:val="20"/>
              </w:rPr>
              <w:t>Observability</w:t>
            </w:r>
          </w:p>
        </w:tc>
        <w:tc>
          <w:tcPr>
            <w:tcW w:type="dxa" w:w="3600"/>
            <w:shd w:val="clear" w:color="auto" w:fill="EAF1F8"/>
          </w:tcPr>
          <w:p>
            <w:pPr>
              <w:spacing w:after="40" w:before="40"/>
            </w:pPr>
            <w:r/>
            <w:r>
              <w:rPr>
                <w:rFonts w:ascii="Calibri" w:hAnsi="Calibri"/>
                <w:b w:val="0"/>
                <w:color w:val="222222"/>
                <w:sz w:val="20"/>
              </w:rPr>
              <w:t>OpenTelemetry + Prometheus/Grafana</w:t>
            </w:r>
          </w:p>
        </w:tc>
        <w:tc>
          <w:tcPr>
            <w:tcW w:type="dxa" w:w="3312"/>
            <w:shd w:val="clear" w:color="auto" w:fill="EAF1F8"/>
          </w:tcPr>
          <w:p>
            <w:pPr>
              <w:spacing w:after="40" w:before="40"/>
            </w:pPr>
            <w:r/>
            <w:r>
              <w:rPr>
                <w:rFonts w:ascii="Calibri" w:hAnsi="Calibri"/>
                <w:b w:val="0"/>
                <w:color w:val="222222"/>
                <w:sz w:val="20"/>
              </w:rPr>
              <w:t>+ tracing/eval tooling</w:t>
            </w:r>
          </w:p>
        </w:tc>
      </w:tr>
    </w:tbl>
    <w:p>
      <w:pPr>
        <w:spacing w:after="80"/>
      </w:pPr>
    </w:p>
    <w:p>
      <w:pPr>
        <w:pStyle w:val="Heading2"/>
      </w:pPr>
      <w:r>
        <w:t>3.11  Deployment view</w:t>
      </w:r>
    </w:p>
    <w:p>
      <w:pPr>
        <w:spacing w:after="160"/>
      </w:pPr>
      <w:r>
        <w:rPr>
          <w:b w:val="0"/>
          <w:i w:val="0"/>
          <w:color w:val="222222"/>
          <w:sz w:val="22"/>
        </w:rPr>
        <w:t>All components run inside the client’s security boundary. The only optional egress is to a managed model API, which can be removed entirely by self-hosting the models.</w:t>
      </w:r>
    </w:p>
    <w:p>
      <w:pPr>
        <w:spacing w:before="120" w:after="40"/>
        <w:jc w:val="center"/>
      </w:pPr>
      <w:r>
        <w:drawing>
          <wp:inline xmlns:a="http://schemas.openxmlformats.org/drawingml/2006/main" xmlns:pic="http://schemas.openxmlformats.org/drawingml/2006/picture">
            <wp:extent cx="5760720" cy="2922807"/>
            <wp:docPr id="6" name="Picture 6"/>
            <wp:cNvGraphicFramePr>
              <a:graphicFrameLocks noChangeAspect="1"/>
            </wp:cNvGraphicFramePr>
            <a:graphic>
              <a:graphicData uri="http://schemas.openxmlformats.org/drawingml/2006/picture">
                <pic:pic>
                  <pic:nvPicPr>
                    <pic:cNvPr id="0" name="fig6_deployment.png"/>
                    <pic:cNvPicPr/>
                  </pic:nvPicPr>
                  <pic:blipFill>
                    <a:blip r:embed="rId14"/>
                    <a:stretch>
                      <a:fillRect/>
                    </a:stretch>
                  </pic:blipFill>
                  <pic:spPr>
                    <a:xfrm>
                      <a:off x="0" y="0"/>
                      <a:ext cx="5760720" cy="2922807"/>
                    </a:xfrm>
                    <a:prstGeom prst="rect"/>
                  </pic:spPr>
                </pic:pic>
              </a:graphicData>
            </a:graphic>
          </wp:inline>
        </w:drawing>
      </w:r>
    </w:p>
    <w:p>
      <w:pPr>
        <w:spacing w:after="200"/>
        <w:jc w:val="center"/>
      </w:pPr>
      <w:r>
        <w:rPr>
          <w:i/>
          <w:color w:val="5B6470"/>
          <w:sz w:val="18"/>
        </w:rPr>
        <w:t>Figure 6.  Deployment inside the client VPC or on-premises, with stateful services and optional self-hosted model serving.</w:t>
      </w:r>
    </w:p>
    <w:p>
      <w:pPr>
        <w:pStyle w:val="Heading2"/>
      </w:pPr>
      <w:r>
        <w:t>3.12  Key non-functional targets (POC)</w:t>
      </w:r>
    </w:p>
    <w:tbl>
      <w:tblPr>
        <w:tblStyle w:val="TableGrid"/>
        <w:tblW w:type="auto" w:w="0"/>
        <w:jc w:val="center"/>
        <w:tblLayout w:type="autofit"/>
        <w:tblLook w:firstColumn="1" w:firstRow="1" w:lastColumn="0" w:lastRow="0" w:noHBand="0" w:noVBand="1" w:val="04A0"/>
      </w:tblPr>
      <w:tblGrid>
        <w:gridCol w:w="4680"/>
        <w:gridCol w:w="4680"/>
      </w:tblGrid>
      <w:tr>
        <w:tc>
          <w:tcPr>
            <w:tcW w:type="dxa" w:w="2736"/>
            <w:shd w:val="clear" w:color="auto" w:fill="1F3A5F"/>
          </w:tcPr>
          <w:p>
            <w:pPr>
              <w:spacing w:after="40" w:before="40"/>
            </w:pPr>
            <w:r/>
            <w:r>
              <w:rPr>
                <w:rFonts w:ascii="Calibri" w:hAnsi="Calibri"/>
                <w:b/>
                <w:color w:val="FFFFFF"/>
                <w:sz w:val="20"/>
              </w:rPr>
              <w:t>Attribute</w:t>
            </w:r>
          </w:p>
        </w:tc>
        <w:tc>
          <w:tcPr>
            <w:tcW w:type="dxa" w:w="6624"/>
            <w:shd w:val="clear" w:color="auto" w:fill="1F3A5F"/>
          </w:tcPr>
          <w:p>
            <w:pPr>
              <w:spacing w:after="40" w:before="40"/>
            </w:pPr>
            <w:r/>
            <w:r>
              <w:rPr>
                <w:rFonts w:ascii="Calibri" w:hAnsi="Calibri"/>
                <w:b/>
                <w:color w:val="FFFFFF"/>
                <w:sz w:val="20"/>
              </w:rPr>
              <w:t>Target (POC)</w:t>
            </w:r>
          </w:p>
        </w:tc>
      </w:tr>
      <w:tr>
        <w:tc>
          <w:tcPr>
            <w:tcW w:type="dxa" w:w="2736"/>
          </w:tcPr>
          <w:p>
            <w:pPr>
              <w:spacing w:after="40" w:before="40"/>
            </w:pPr>
            <w:r/>
            <w:r>
              <w:rPr>
                <w:rFonts w:ascii="Calibri" w:hAnsi="Calibri"/>
                <w:b w:val="0"/>
                <w:color w:val="222222"/>
                <w:sz w:val="20"/>
              </w:rPr>
              <w:t>Answer latency</w:t>
            </w:r>
          </w:p>
        </w:tc>
        <w:tc>
          <w:tcPr>
            <w:tcW w:type="dxa" w:w="6624"/>
          </w:tcPr>
          <w:p>
            <w:pPr>
              <w:spacing w:after="40" w:before="40"/>
            </w:pPr>
            <w:r/>
            <w:r>
              <w:rPr>
                <w:rFonts w:ascii="Calibri" w:hAnsi="Calibri"/>
                <w:b w:val="0"/>
                <w:color w:val="222222"/>
                <w:sz w:val="20"/>
              </w:rPr>
              <w:t>First token in a few seconds; full answer typically under ~10s.</w:t>
            </w:r>
          </w:p>
        </w:tc>
      </w:tr>
      <w:tr>
        <w:tc>
          <w:tcPr>
            <w:tcW w:type="dxa" w:w="2736"/>
            <w:shd w:val="clear" w:color="auto" w:fill="EAF1F8"/>
          </w:tcPr>
          <w:p>
            <w:pPr>
              <w:spacing w:after="40" w:before="40"/>
            </w:pPr>
            <w:r/>
            <w:r>
              <w:rPr>
                <w:rFonts w:ascii="Calibri" w:hAnsi="Calibri"/>
                <w:b w:val="0"/>
                <w:color w:val="222222"/>
                <w:sz w:val="20"/>
              </w:rPr>
              <w:t>Retrieval recall@10</w:t>
            </w:r>
          </w:p>
        </w:tc>
        <w:tc>
          <w:tcPr>
            <w:tcW w:type="dxa" w:w="6624"/>
            <w:shd w:val="clear" w:color="auto" w:fill="EAF1F8"/>
          </w:tcPr>
          <w:p>
            <w:pPr>
              <w:spacing w:after="40" w:before="40"/>
            </w:pPr>
            <w:r/>
            <w:r>
              <w:rPr>
                <w:rFonts w:ascii="Calibri" w:hAnsi="Calibri"/>
                <w:b w:val="0"/>
                <w:color w:val="222222"/>
                <w:sz w:val="20"/>
              </w:rPr>
              <w:t>High on the curated benchmark (tuned during the POC).</w:t>
            </w:r>
          </w:p>
        </w:tc>
      </w:tr>
      <w:tr>
        <w:tc>
          <w:tcPr>
            <w:tcW w:type="dxa" w:w="2736"/>
          </w:tcPr>
          <w:p>
            <w:pPr>
              <w:spacing w:after="40" w:before="40"/>
            </w:pPr>
            <w:r/>
            <w:r>
              <w:rPr>
                <w:rFonts w:ascii="Calibri" w:hAnsi="Calibri"/>
                <w:b w:val="0"/>
                <w:color w:val="222222"/>
                <w:sz w:val="20"/>
              </w:rPr>
              <w:t>Citation correctness</w:t>
            </w:r>
          </w:p>
        </w:tc>
        <w:tc>
          <w:tcPr>
            <w:tcW w:type="dxa" w:w="6624"/>
          </w:tcPr>
          <w:p>
            <w:pPr>
              <w:spacing w:after="40" w:before="40"/>
            </w:pPr>
            <w:r/>
            <w:r>
              <w:rPr>
                <w:rFonts w:ascii="Calibri" w:hAnsi="Calibri"/>
                <w:b w:val="0"/>
                <w:color w:val="222222"/>
                <w:sz w:val="20"/>
              </w:rPr>
              <w:t>Majority of claims correctly supported; measured and improved.</w:t>
            </w:r>
          </w:p>
        </w:tc>
      </w:tr>
      <w:tr>
        <w:tc>
          <w:tcPr>
            <w:tcW w:type="dxa" w:w="2736"/>
            <w:shd w:val="clear" w:color="auto" w:fill="EAF1F8"/>
          </w:tcPr>
          <w:p>
            <w:pPr>
              <w:spacing w:after="40" w:before="40"/>
            </w:pPr>
            <w:r/>
            <w:r>
              <w:rPr>
                <w:rFonts w:ascii="Calibri" w:hAnsi="Calibri"/>
                <w:b w:val="0"/>
                <w:color w:val="222222"/>
                <w:sz w:val="20"/>
              </w:rPr>
              <w:t>Freshness</w:t>
            </w:r>
          </w:p>
        </w:tc>
        <w:tc>
          <w:tcPr>
            <w:tcW w:type="dxa" w:w="6624"/>
            <w:shd w:val="clear" w:color="auto" w:fill="EAF1F8"/>
          </w:tcPr>
          <w:p>
            <w:pPr>
              <w:spacing w:after="40" w:before="40"/>
            </w:pPr>
            <w:r/>
            <w:r>
              <w:rPr>
                <w:rFonts w:ascii="Calibri" w:hAnsi="Calibri"/>
                <w:b w:val="0"/>
                <w:color w:val="222222"/>
                <w:sz w:val="20"/>
              </w:rPr>
              <w:t>Source changes reflected within minutes (events) to hours (crawl).</w:t>
            </w:r>
          </w:p>
        </w:tc>
      </w:tr>
      <w:tr>
        <w:tc>
          <w:tcPr>
            <w:tcW w:type="dxa" w:w="2736"/>
          </w:tcPr>
          <w:p>
            <w:pPr>
              <w:spacing w:after="40" w:before="40"/>
            </w:pPr>
            <w:r/>
            <w:r>
              <w:rPr>
                <w:rFonts w:ascii="Calibri" w:hAnsi="Calibri"/>
                <w:b w:val="0"/>
                <w:color w:val="222222"/>
                <w:sz w:val="20"/>
              </w:rPr>
              <w:t>Availability</w:t>
            </w:r>
          </w:p>
        </w:tc>
        <w:tc>
          <w:tcPr>
            <w:tcW w:type="dxa" w:w="6624"/>
          </w:tcPr>
          <w:p>
            <w:pPr>
              <w:spacing w:after="40" w:before="40"/>
            </w:pPr>
            <w:r/>
            <w:r>
              <w:rPr>
                <w:rFonts w:ascii="Calibri" w:hAnsi="Calibri"/>
                <w:b w:val="0"/>
                <w:color w:val="222222"/>
                <w:sz w:val="20"/>
              </w:rPr>
              <w:t>Single-region HA for the POC; multi-AZ path for production.</w:t>
            </w:r>
          </w:p>
        </w:tc>
      </w:tr>
      <w:tr>
        <w:tc>
          <w:tcPr>
            <w:tcW w:type="dxa" w:w="2736"/>
            <w:shd w:val="clear" w:color="auto" w:fill="EAF1F8"/>
          </w:tcPr>
          <w:p>
            <w:pPr>
              <w:spacing w:after="40" w:before="40"/>
            </w:pPr>
            <w:r/>
            <w:r>
              <w:rPr>
                <w:rFonts w:ascii="Calibri" w:hAnsi="Calibri"/>
                <w:b w:val="0"/>
                <w:color w:val="222222"/>
                <w:sz w:val="20"/>
              </w:rPr>
              <w:t>Security</w:t>
            </w:r>
          </w:p>
        </w:tc>
        <w:tc>
          <w:tcPr>
            <w:tcW w:type="dxa" w:w="6624"/>
            <w:shd w:val="clear" w:color="auto" w:fill="EAF1F8"/>
          </w:tcPr>
          <w:p>
            <w:pPr>
              <w:spacing w:after="40" w:before="40"/>
            </w:pPr>
            <w:r/>
            <w:r>
              <w:rPr>
                <w:rFonts w:ascii="Calibri" w:hAnsi="Calibri"/>
                <w:b w:val="0"/>
                <w:color w:val="222222"/>
                <w:sz w:val="20"/>
              </w:rPr>
              <w:t>100% permission-aware retrieval; no cross-entitlement leakage.</w:t>
            </w:r>
          </w:p>
        </w:tc>
      </w:tr>
    </w:tbl>
    <w:p>
      <w:pPr>
        <w:spacing w:after="80"/>
      </w:pPr>
    </w:p>
    <w:p>
      <w:r>
        <w:br w:type="page"/>
      </w:r>
    </w:p>
    <w:p>
      <w:pPr>
        <w:pStyle w:val="Heading1"/>
      </w:pPr>
      <w:r>
        <w:t>4.  Proof-of-Concept Plan</w:t>
      </w:r>
    </w:p>
    <w:p>
      <w:pPr>
        <w:pStyle w:val="Heading2"/>
      </w:pPr>
      <w:r>
        <w:t>4.1  Objectives</w:t>
      </w:r>
    </w:p>
    <w:p>
      <w:pPr>
        <w:spacing w:after="160"/>
      </w:pPr>
      <w:r>
        <w:rPr>
          <w:b w:val="0"/>
          <w:i w:val="0"/>
          <w:color w:val="222222"/>
          <w:sz w:val="22"/>
        </w:rPr>
        <w:t>Prove, end to end and on a representative slice of real content, that Atlas can:</w:t>
      </w:r>
    </w:p>
    <w:p>
      <w:pPr>
        <w:spacing w:after="60"/>
        <w:ind w:left="432" w:hanging="432"/>
      </w:pPr>
      <w:r>
        <w:rPr>
          <w:b/>
        </w:rPr>
        <w:t>1.</w:t>
        <w:tab/>
      </w:r>
      <w:r>
        <w:t>unify heterogeneous knowledge sources behind one knowledge layer;</w:t>
      </w:r>
    </w:p>
    <w:p>
      <w:pPr>
        <w:spacing w:after="60"/>
        <w:ind w:left="432" w:hanging="432"/>
      </w:pPr>
      <w:r>
        <w:rPr>
          <w:b/>
        </w:rPr>
        <w:t>2.</w:t>
        <w:tab/>
      </w:r>
      <w:r>
        <w:t>answer cross-document questions with a single, consolidated, cited answer;</w:t>
      </w:r>
    </w:p>
    <w:p>
      <w:pPr>
        <w:spacing w:after="60"/>
        <w:ind w:left="432" w:hanging="432"/>
      </w:pPr>
      <w:r>
        <w:rPr>
          <w:b/>
        </w:rPr>
        <w:t>3.</w:t>
        <w:tab/>
      </w:r>
      <w:r>
        <w:t>enforce permission-aware retrieval with no cross-entitlement leakage;</w:t>
      </w:r>
    </w:p>
    <w:p>
      <w:pPr>
        <w:spacing w:after="60"/>
        <w:ind w:left="432" w:hanging="432"/>
      </w:pPr>
      <w:r>
        <w:rPr>
          <w:b/>
        </w:rPr>
        <w:t>4.</w:t>
        <w:tab/>
      </w:r>
      <w:r>
        <w:t>meet measurable quality and latency targets on a curated benchmark; and</w:t>
      </w:r>
    </w:p>
    <w:p>
      <w:pPr>
        <w:spacing w:after="60"/>
        <w:ind w:left="432" w:hanging="432"/>
      </w:pPr>
      <w:r>
        <w:rPr>
          <w:b/>
        </w:rPr>
        <w:t>5.</w:t>
        <w:tab/>
      </w:r>
      <w:r>
        <w:t>demonstrate a credible path to scale and extend to all sources and domains.</w:t>
      </w:r>
    </w:p>
    <w:p>
      <w:pPr>
        <w:pStyle w:val="Heading2"/>
      </w:pPr>
      <w:r>
        <w:t>4.2  Scope</w:t>
      </w:r>
    </w:p>
    <w:p>
      <w:pPr>
        <w:pStyle w:val="Heading3"/>
      </w:pPr>
      <w:r>
        <w:t>In scope</w:t>
      </w:r>
    </w:p>
    <w:p>
      <w:pPr>
        <w:pStyle w:val="ListBullet"/>
        <w:spacing w:after="60"/>
      </w:pPr>
      <w:r>
        <w:t>Two to three connectors to representative sources (for example a wiki, a file share/SharePoint, and one structured source such as a ticketing system).</w:t>
      </w:r>
    </w:p>
    <w:p>
      <w:pPr>
        <w:pStyle w:val="ListBullet"/>
        <w:spacing w:after="60"/>
      </w:pPr>
      <w:r>
        <w:t>One to two priority domains/projects chosen with the client for high value and manageable size.</w:t>
      </w:r>
    </w:p>
    <w:p>
      <w:pPr>
        <w:pStyle w:val="ListBullet"/>
        <w:spacing w:after="60"/>
      </w:pPr>
      <w:r>
        <w:t>The full ingestion pipeline and hybrid retrieval, reranking, and grounded answer synthesis with citations.</w:t>
      </w:r>
    </w:p>
    <w:p>
      <w:pPr>
        <w:pStyle w:val="ListBullet"/>
        <w:spacing w:after="60"/>
      </w:pPr>
      <w:r>
        <w:t>Permission-aware retrieval honoring source ACLs for a defined set of test users and groups.</w:t>
      </w:r>
    </w:p>
    <w:p>
      <w:pPr>
        <w:pStyle w:val="ListBullet"/>
        <w:spacing w:after="60"/>
      </w:pPr>
      <w:r>
        <w:t>A polished web chat/search UI with expandable source citations.</w:t>
      </w:r>
    </w:p>
    <w:p>
      <w:pPr>
        <w:pStyle w:val="ListBullet"/>
        <w:spacing w:after="60"/>
      </w:pPr>
      <w:r>
        <w:t>An evaluation harness, a curated benchmark question set, and a results report; plus a reference architecture and rollout plan.</w:t>
      </w:r>
    </w:p>
    <w:p>
      <w:pPr>
        <w:pStyle w:val="Heading3"/>
      </w:pPr>
      <w:r>
        <w:t>Out of scope</w:t>
      </w:r>
    </w:p>
    <w:p>
      <w:pPr>
        <w:pStyle w:val="ListBullet"/>
        <w:spacing w:after="60"/>
      </w:pPr>
      <w:r>
        <w:t>Connecting every source and domain (proven extensible; rolled out after the POC).</w:t>
      </w:r>
    </w:p>
    <w:p>
      <w:pPr>
        <w:pStyle w:val="ListBullet"/>
        <w:spacing w:after="60"/>
      </w:pPr>
      <w:r>
        <w:t>Editing or writing back to source systems.</w:t>
      </w:r>
    </w:p>
    <w:p>
      <w:pPr>
        <w:pStyle w:val="ListBullet"/>
        <w:spacing w:after="60"/>
      </w:pPr>
      <w:r>
        <w:t>Fully autonomous agents and workflows (a clear future extension).</w:t>
      </w:r>
    </w:p>
    <w:p>
      <w:pPr>
        <w:pStyle w:val="ListBullet"/>
        <w:spacing w:after="60"/>
      </w:pPr>
      <w:r>
        <w:t>Production-grade HA/DR hardening (designed for, not fully built, in the POC).</w:t>
      </w:r>
    </w:p>
    <w:p>
      <w:pPr>
        <w:pStyle w:val="Heading2"/>
      </w:pPr>
      <w:r>
        <w:t>4.3  Phased plan</w:t>
      </w:r>
    </w:p>
    <w:p>
      <w:pPr>
        <w:spacing w:after="160"/>
      </w:pPr>
      <w:r>
        <w:rPr>
          <w:b w:val="0"/>
          <w:i w:val="0"/>
          <w:color w:val="222222"/>
          <w:sz w:val="22"/>
        </w:rPr>
        <w:t>Phases are sequenced by dependency, not by calendar; each has explicit entry/exit criteria so progress is measured by completed capability.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304"/>
            <w:shd w:val="clear" w:color="auto" w:fill="1F3A5F"/>
          </w:tcPr>
          <w:p>
            <w:pPr>
              <w:spacing w:after="40" w:before="40"/>
            </w:pPr>
            <w:r/>
            <w:r>
              <w:rPr>
                <w:rFonts w:ascii="Calibri" w:hAnsi="Calibri"/>
                <w:b/>
                <w:color w:val="FFFFFF"/>
                <w:sz w:val="20"/>
              </w:rPr>
              <w:t>Phase</w:t>
            </w:r>
          </w:p>
        </w:tc>
        <w:tc>
          <w:tcPr>
            <w:tcW w:type="dxa" w:w="4464"/>
            <w:shd w:val="clear" w:color="auto" w:fill="1F3A5F"/>
          </w:tcPr>
          <w:p>
            <w:pPr>
              <w:spacing w:after="40" w:before="40"/>
            </w:pPr>
            <w:r/>
            <w:r>
              <w:rPr>
                <w:rFonts w:ascii="Calibri" w:hAnsi="Calibri"/>
                <w:b/>
                <w:color w:val="FFFFFF"/>
                <w:sz w:val="20"/>
              </w:rPr>
              <w:t>Focus</w:t>
            </w:r>
          </w:p>
        </w:tc>
        <w:tc>
          <w:tcPr>
            <w:tcW w:type="dxa" w:w="2592"/>
            <w:shd w:val="clear" w:color="auto" w:fill="1F3A5F"/>
          </w:tcPr>
          <w:p>
            <w:pPr>
              <w:spacing w:after="40" w:before="40"/>
            </w:pPr>
            <w:r/>
            <w:r>
              <w:rPr>
                <w:rFonts w:ascii="Calibri" w:hAnsi="Calibri"/>
                <w:b/>
                <w:color w:val="FFFFFF"/>
                <w:sz w:val="20"/>
              </w:rPr>
              <w:t>Key outputs</w:t>
            </w:r>
          </w:p>
        </w:tc>
      </w:tr>
      <w:tr>
        <w:tc>
          <w:tcPr>
            <w:tcW w:type="dxa" w:w="2304"/>
          </w:tcPr>
          <w:p>
            <w:pPr>
              <w:spacing w:after="40" w:before="40"/>
            </w:pPr>
            <w:r/>
            <w:r>
              <w:rPr>
                <w:rFonts w:ascii="Calibri" w:hAnsi="Calibri"/>
                <w:b w:val="0"/>
                <w:color w:val="222222"/>
                <w:sz w:val="20"/>
              </w:rPr>
              <w:t>0 — Discovery &amp; setup</w:t>
            </w:r>
          </w:p>
        </w:tc>
        <w:tc>
          <w:tcPr>
            <w:tcW w:type="dxa" w:w="4464"/>
          </w:tcPr>
          <w:p>
            <w:pPr>
              <w:spacing w:after="40" w:before="40"/>
            </w:pPr>
            <w:r/>
            <w:r>
              <w:rPr>
                <w:rFonts w:ascii="Calibri" w:hAnsi="Calibri"/>
                <w:b w:val="0"/>
                <w:color w:val="222222"/>
                <w:sz w:val="20"/>
              </w:rPr>
              <w:t>Confirm sources, domains, test users, and metrics; provision the environment in the client VPC; security review.</w:t>
            </w:r>
          </w:p>
        </w:tc>
        <w:tc>
          <w:tcPr>
            <w:tcW w:type="dxa" w:w="2592"/>
          </w:tcPr>
          <w:p>
            <w:pPr>
              <w:spacing w:after="40" w:before="40"/>
            </w:pPr>
            <w:r/>
            <w:r>
              <w:rPr>
                <w:rFonts w:ascii="Calibri" w:hAnsi="Calibri"/>
                <w:b w:val="0"/>
                <w:color w:val="222222"/>
                <w:sz w:val="20"/>
              </w:rPr>
              <w:t>Signed-off scope, environment, access.</w:t>
            </w:r>
          </w:p>
        </w:tc>
      </w:tr>
      <w:tr>
        <w:tc>
          <w:tcPr>
            <w:tcW w:type="dxa" w:w="2304"/>
            <w:shd w:val="clear" w:color="auto" w:fill="EAF1F8"/>
          </w:tcPr>
          <w:p>
            <w:pPr>
              <w:spacing w:after="40" w:before="40"/>
            </w:pPr>
            <w:r/>
            <w:r>
              <w:rPr>
                <w:rFonts w:ascii="Calibri" w:hAnsi="Calibri"/>
                <w:b w:val="0"/>
                <w:color w:val="222222"/>
                <w:sz w:val="20"/>
              </w:rPr>
              <w:t>1 — Ingestion &amp; indexing</w:t>
            </w:r>
          </w:p>
        </w:tc>
        <w:tc>
          <w:tcPr>
            <w:tcW w:type="dxa" w:w="4464"/>
            <w:shd w:val="clear" w:color="auto" w:fill="EAF1F8"/>
          </w:tcPr>
          <w:p>
            <w:pPr>
              <w:spacing w:after="40" w:before="40"/>
            </w:pPr>
            <w:r/>
            <w:r>
              <w:rPr>
                <w:rFonts w:ascii="Calibri" w:hAnsi="Calibri"/>
                <w:b w:val="0"/>
                <w:color w:val="222222"/>
                <w:sz w:val="20"/>
              </w:rPr>
              <w:t>Build/configure connectors; run backfill and incremental sync; populate stores.</w:t>
            </w:r>
          </w:p>
        </w:tc>
        <w:tc>
          <w:tcPr>
            <w:tcW w:type="dxa" w:w="2592"/>
            <w:shd w:val="clear" w:color="auto" w:fill="EAF1F8"/>
          </w:tcPr>
          <w:p>
            <w:pPr>
              <w:spacing w:after="40" w:before="40"/>
            </w:pPr>
            <w:r/>
            <w:r>
              <w:rPr>
                <w:rFonts w:ascii="Calibri" w:hAnsi="Calibri"/>
                <w:b w:val="0"/>
                <w:color w:val="222222"/>
                <w:sz w:val="20"/>
              </w:rPr>
              <w:t>Indexed corpus, ingestion metrics, freshness.</w:t>
            </w:r>
          </w:p>
        </w:tc>
      </w:tr>
      <w:tr>
        <w:tc>
          <w:tcPr>
            <w:tcW w:type="dxa" w:w="2304"/>
          </w:tcPr>
          <w:p>
            <w:pPr>
              <w:spacing w:after="40" w:before="40"/>
            </w:pPr>
            <w:r/>
            <w:r>
              <w:rPr>
                <w:rFonts w:ascii="Calibri" w:hAnsi="Calibri"/>
                <w:b w:val="0"/>
                <w:color w:val="222222"/>
                <w:sz w:val="20"/>
              </w:rPr>
              <w:t>2 — Retrieval &amp; answers</w:t>
            </w:r>
          </w:p>
        </w:tc>
        <w:tc>
          <w:tcPr>
            <w:tcW w:type="dxa" w:w="4464"/>
          </w:tcPr>
          <w:p>
            <w:pPr>
              <w:spacing w:after="40" w:before="40"/>
            </w:pPr>
            <w:r/>
            <w:r>
              <w:rPr>
                <w:rFonts w:ascii="Calibri" w:hAnsi="Calibri"/>
                <w:b w:val="0"/>
                <w:color w:val="222222"/>
                <w:sz w:val="20"/>
              </w:rPr>
              <w:t>Hybrid retrieval, reranking, grounded synthesis with citations; UI.</w:t>
            </w:r>
          </w:p>
        </w:tc>
        <w:tc>
          <w:tcPr>
            <w:tcW w:type="dxa" w:w="2592"/>
          </w:tcPr>
          <w:p>
            <w:pPr>
              <w:spacing w:after="40" w:before="40"/>
            </w:pPr>
            <w:r/>
            <w:r>
              <w:rPr>
                <w:rFonts w:ascii="Calibri" w:hAnsi="Calibri"/>
                <w:b w:val="0"/>
                <w:color w:val="222222"/>
                <w:sz w:val="20"/>
              </w:rPr>
              <w:t>Working Q&amp;A demo over the corpus.</w:t>
            </w:r>
          </w:p>
        </w:tc>
      </w:tr>
      <w:tr>
        <w:tc>
          <w:tcPr>
            <w:tcW w:type="dxa" w:w="2304"/>
            <w:shd w:val="clear" w:color="auto" w:fill="EAF1F8"/>
          </w:tcPr>
          <w:p>
            <w:pPr>
              <w:spacing w:after="40" w:before="40"/>
            </w:pPr>
            <w:r/>
            <w:r>
              <w:rPr>
                <w:rFonts w:ascii="Calibri" w:hAnsi="Calibri"/>
                <w:b w:val="0"/>
                <w:color w:val="222222"/>
                <w:sz w:val="20"/>
              </w:rPr>
              <w:t>3 — Security &amp; permissions</w:t>
            </w:r>
          </w:p>
        </w:tc>
        <w:tc>
          <w:tcPr>
            <w:tcW w:type="dxa" w:w="4464"/>
            <w:shd w:val="clear" w:color="auto" w:fill="EAF1F8"/>
          </w:tcPr>
          <w:p>
            <w:pPr>
              <w:spacing w:after="40" w:before="40"/>
            </w:pPr>
            <w:r/>
            <w:r>
              <w:rPr>
                <w:rFonts w:ascii="Calibri" w:hAnsi="Calibri"/>
                <w:b w:val="0"/>
                <w:color w:val="222222"/>
                <w:sz w:val="20"/>
              </w:rPr>
              <w:t>ACL capture and permission-aware retrieval; isolation; audit logging.</w:t>
            </w:r>
          </w:p>
        </w:tc>
        <w:tc>
          <w:tcPr>
            <w:tcW w:type="dxa" w:w="2592"/>
            <w:shd w:val="clear" w:color="auto" w:fill="EAF1F8"/>
          </w:tcPr>
          <w:p>
            <w:pPr>
              <w:spacing w:after="40" w:before="40"/>
            </w:pPr>
            <w:r/>
            <w:r>
              <w:rPr>
                <w:rFonts w:ascii="Calibri" w:hAnsi="Calibri"/>
                <w:b w:val="0"/>
                <w:color w:val="222222"/>
                <w:sz w:val="20"/>
              </w:rPr>
              <w:t>Permission test suite passing.</w:t>
            </w:r>
          </w:p>
        </w:tc>
      </w:tr>
      <w:tr>
        <w:tc>
          <w:tcPr>
            <w:tcW w:type="dxa" w:w="2304"/>
          </w:tcPr>
          <w:p>
            <w:pPr>
              <w:spacing w:after="40" w:before="40"/>
            </w:pPr>
            <w:r/>
            <w:r>
              <w:rPr>
                <w:rFonts w:ascii="Calibri" w:hAnsi="Calibri"/>
                <w:b w:val="0"/>
                <w:color w:val="222222"/>
                <w:sz w:val="20"/>
              </w:rPr>
              <w:t>4 — Evaluation &amp; tuning</w:t>
            </w:r>
          </w:p>
        </w:tc>
        <w:tc>
          <w:tcPr>
            <w:tcW w:type="dxa" w:w="4464"/>
          </w:tcPr>
          <w:p>
            <w:pPr>
              <w:spacing w:after="40" w:before="40"/>
            </w:pPr>
            <w:r/>
            <w:r>
              <w:rPr>
                <w:rFonts w:ascii="Calibri" w:hAnsi="Calibri"/>
                <w:b w:val="0"/>
                <w:color w:val="222222"/>
                <w:sz w:val="20"/>
              </w:rPr>
              <w:t>Build the benchmark; measure; tune chunking, retrieval, and prompts.</w:t>
            </w:r>
          </w:p>
        </w:tc>
        <w:tc>
          <w:tcPr>
            <w:tcW w:type="dxa" w:w="2592"/>
          </w:tcPr>
          <w:p>
            <w:pPr>
              <w:spacing w:after="40" w:before="40"/>
            </w:pPr>
            <w:r/>
            <w:r>
              <w:rPr>
                <w:rFonts w:ascii="Calibri" w:hAnsi="Calibri"/>
                <w:b w:val="0"/>
                <w:color w:val="222222"/>
                <w:sz w:val="20"/>
              </w:rPr>
              <w:t>Quality report versus targets.</w:t>
            </w:r>
          </w:p>
        </w:tc>
      </w:tr>
      <w:tr>
        <w:tc>
          <w:tcPr>
            <w:tcW w:type="dxa" w:w="2304"/>
            <w:shd w:val="clear" w:color="auto" w:fill="EAF1F8"/>
          </w:tcPr>
          <w:p>
            <w:pPr>
              <w:spacing w:after="40" w:before="40"/>
            </w:pPr>
            <w:r/>
            <w:r>
              <w:rPr>
                <w:rFonts w:ascii="Calibri" w:hAnsi="Calibri"/>
                <w:b w:val="0"/>
                <w:color w:val="222222"/>
                <w:sz w:val="20"/>
              </w:rPr>
              <w:t>5 — Demo &amp; decision</w:t>
            </w:r>
          </w:p>
        </w:tc>
        <w:tc>
          <w:tcPr>
            <w:tcW w:type="dxa" w:w="4464"/>
            <w:shd w:val="clear" w:color="auto" w:fill="EAF1F8"/>
          </w:tcPr>
          <w:p>
            <w:pPr>
              <w:spacing w:after="40" w:before="40"/>
            </w:pPr>
            <w:r/>
            <w:r>
              <w:rPr>
                <w:rFonts w:ascii="Calibri" w:hAnsi="Calibri"/>
                <w:b w:val="0"/>
                <w:color w:val="222222"/>
                <w:sz w:val="20"/>
              </w:rPr>
              <w:t>Stakeholder demo; results review; production plan and costing.</w:t>
            </w:r>
          </w:p>
        </w:tc>
        <w:tc>
          <w:tcPr>
            <w:tcW w:type="dxa" w:w="2592"/>
            <w:shd w:val="clear" w:color="auto" w:fill="EAF1F8"/>
          </w:tcPr>
          <w:p>
            <w:pPr>
              <w:spacing w:after="40" w:before="40"/>
            </w:pPr>
            <w:r/>
            <w:r>
              <w:rPr>
                <w:rFonts w:ascii="Calibri" w:hAnsi="Calibri"/>
                <w:b w:val="0"/>
                <w:color w:val="222222"/>
                <w:sz w:val="20"/>
              </w:rPr>
              <w:t>Go/no-go package.</w:t>
            </w:r>
          </w:p>
        </w:tc>
      </w:tr>
    </w:tbl>
    <w:p>
      <w:pPr>
        <w:spacing w:after="80"/>
      </w:pPr>
    </w:p>
    <w:p>
      <w:pPr>
        <w:pStyle w:val="Heading2"/>
      </w:pPr>
      <w:r>
        <w:t>4.4  Success criteria</w:t>
      </w:r>
    </w:p>
    <w:p>
      <w:pPr>
        <w:spacing w:after="160"/>
      </w:pPr>
      <w:r>
        <w:rPr>
          <w:b w:val="0"/>
          <w:i w:val="0"/>
          <w:color w:val="222222"/>
          <w:sz w:val="22"/>
        </w:rPr>
        <w:t>The POC is successful if, on the curated benchmark and live demonstration, the following hold. Exact numeric thresholds are agreed in Phase 0.</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576"/>
            <w:shd w:val="clear" w:color="auto" w:fill="1F3A5F"/>
          </w:tcPr>
          <w:p>
            <w:pPr>
              <w:spacing w:after="40" w:before="40"/>
            </w:pPr>
            <w:r/>
            <w:r>
              <w:rPr>
                <w:rFonts w:ascii="Calibri" w:hAnsi="Calibri"/>
                <w:b/>
                <w:color w:val="FFFFFF"/>
                <w:sz w:val="20"/>
              </w:rPr>
              <w:t>#</w:t>
            </w:r>
          </w:p>
        </w:tc>
        <w:tc>
          <w:tcPr>
            <w:tcW w:type="dxa" w:w="3024"/>
            <w:shd w:val="clear" w:color="auto" w:fill="1F3A5F"/>
          </w:tcPr>
          <w:p>
            <w:pPr>
              <w:spacing w:after="40" w:before="40"/>
            </w:pPr>
            <w:r/>
            <w:r>
              <w:rPr>
                <w:rFonts w:ascii="Calibri" w:hAnsi="Calibri"/>
                <w:b/>
                <w:color w:val="FFFFFF"/>
                <w:sz w:val="20"/>
              </w:rPr>
              <w:t>Criterion</w:t>
            </w:r>
          </w:p>
        </w:tc>
        <w:tc>
          <w:tcPr>
            <w:tcW w:type="dxa" w:w="5760"/>
            <w:shd w:val="clear" w:color="auto" w:fill="1F3A5F"/>
          </w:tcPr>
          <w:p>
            <w:pPr>
              <w:spacing w:after="40" w:before="40"/>
            </w:pPr>
            <w:r/>
            <w:r>
              <w:rPr>
                <w:rFonts w:ascii="Calibri" w:hAnsi="Calibri"/>
                <w:b/>
                <w:color w:val="FFFFFF"/>
                <w:sz w:val="20"/>
              </w:rPr>
              <w:t>How measured</w:t>
            </w:r>
          </w:p>
        </w:tc>
      </w:tr>
      <w:tr>
        <w:tc>
          <w:tcPr>
            <w:tcW w:type="dxa" w:w="576"/>
          </w:tcPr>
          <w:p>
            <w:pPr>
              <w:spacing w:after="40" w:before="40"/>
            </w:pPr>
            <w:r/>
            <w:r>
              <w:rPr>
                <w:rFonts w:ascii="Calibri" w:hAnsi="Calibri"/>
                <w:b w:val="0"/>
                <w:color w:val="222222"/>
                <w:sz w:val="20"/>
              </w:rPr>
              <w:t>1</w:t>
            </w:r>
          </w:p>
        </w:tc>
        <w:tc>
          <w:tcPr>
            <w:tcW w:type="dxa" w:w="3024"/>
          </w:tcPr>
          <w:p>
            <w:pPr>
              <w:spacing w:after="40" w:before="40"/>
            </w:pPr>
            <w:r/>
            <w:r>
              <w:rPr>
                <w:rFonts w:ascii="Calibri" w:hAnsi="Calibri"/>
                <w:b w:val="0"/>
                <w:color w:val="222222"/>
                <w:sz w:val="20"/>
              </w:rPr>
              <w:t>Cross-document consolidated answers</w:t>
            </w:r>
          </w:p>
        </w:tc>
        <w:tc>
          <w:tcPr>
            <w:tcW w:type="dxa" w:w="5760"/>
          </w:tcPr>
          <w:p>
            <w:pPr>
              <w:spacing w:after="40" w:before="40"/>
            </w:pPr>
            <w:r/>
            <w:r>
              <w:rPr>
                <w:rFonts w:ascii="Calibri" w:hAnsi="Calibri"/>
                <w:b w:val="0"/>
                <w:color w:val="222222"/>
                <w:sz w:val="20"/>
              </w:rPr>
              <w:t>Answers synthesize from multiple sources, not single-document lookups.</w:t>
            </w:r>
          </w:p>
        </w:tc>
      </w:tr>
      <w:tr>
        <w:tc>
          <w:tcPr>
            <w:tcW w:type="dxa" w:w="576"/>
            <w:shd w:val="clear" w:color="auto" w:fill="EAF1F8"/>
          </w:tcPr>
          <w:p>
            <w:pPr>
              <w:spacing w:after="40" w:before="40"/>
            </w:pPr>
            <w:r/>
            <w:r>
              <w:rPr>
                <w:rFonts w:ascii="Calibri" w:hAnsi="Calibri"/>
                <w:b w:val="0"/>
                <w:color w:val="222222"/>
                <w:sz w:val="20"/>
              </w:rPr>
              <w:t>2</w:t>
            </w:r>
          </w:p>
        </w:tc>
        <w:tc>
          <w:tcPr>
            <w:tcW w:type="dxa" w:w="3024"/>
            <w:shd w:val="clear" w:color="auto" w:fill="EAF1F8"/>
          </w:tcPr>
          <w:p>
            <w:pPr>
              <w:spacing w:after="40" w:before="40"/>
            </w:pPr>
            <w:r/>
            <w:r>
              <w:rPr>
                <w:rFonts w:ascii="Calibri" w:hAnsi="Calibri"/>
                <w:b w:val="0"/>
                <w:color w:val="222222"/>
                <w:sz w:val="20"/>
              </w:rPr>
              <w:t>Grounded and cited</w:t>
            </w:r>
          </w:p>
        </w:tc>
        <w:tc>
          <w:tcPr>
            <w:tcW w:type="dxa" w:w="5760"/>
            <w:shd w:val="clear" w:color="auto" w:fill="EAF1F8"/>
          </w:tcPr>
          <w:p>
            <w:pPr>
              <w:spacing w:after="40" w:before="40"/>
            </w:pPr>
            <w:r/>
            <w:r>
              <w:rPr>
                <w:rFonts w:ascii="Calibri" w:hAnsi="Calibri"/>
                <w:b w:val="0"/>
                <w:color w:val="222222"/>
                <w:sz w:val="20"/>
              </w:rPr>
              <w:t>Every substantive claim carries a citation; citation correctness above threshold.</w:t>
            </w:r>
          </w:p>
        </w:tc>
      </w:tr>
      <w:tr>
        <w:tc>
          <w:tcPr>
            <w:tcW w:type="dxa" w:w="576"/>
          </w:tcPr>
          <w:p>
            <w:pPr>
              <w:spacing w:after="40" w:before="40"/>
            </w:pPr>
            <w:r/>
            <w:r>
              <w:rPr>
                <w:rFonts w:ascii="Calibri" w:hAnsi="Calibri"/>
                <w:b w:val="0"/>
                <w:color w:val="222222"/>
                <w:sz w:val="20"/>
              </w:rPr>
              <w:t>3</w:t>
            </w:r>
          </w:p>
        </w:tc>
        <w:tc>
          <w:tcPr>
            <w:tcW w:type="dxa" w:w="3024"/>
          </w:tcPr>
          <w:p>
            <w:pPr>
              <w:spacing w:after="40" w:before="40"/>
            </w:pPr>
            <w:r/>
            <w:r>
              <w:rPr>
                <w:rFonts w:ascii="Calibri" w:hAnsi="Calibri"/>
                <w:b w:val="0"/>
                <w:color w:val="222222"/>
                <w:sz w:val="20"/>
              </w:rPr>
              <w:t>Retrieval quality</w:t>
            </w:r>
          </w:p>
        </w:tc>
        <w:tc>
          <w:tcPr>
            <w:tcW w:type="dxa" w:w="5760"/>
          </w:tcPr>
          <w:p>
            <w:pPr>
              <w:spacing w:after="40" w:before="40"/>
            </w:pPr>
            <w:r/>
            <w:r>
              <w:rPr>
                <w:rFonts w:ascii="Calibri" w:hAnsi="Calibri"/>
                <w:b w:val="0"/>
                <w:color w:val="222222"/>
                <w:sz w:val="20"/>
              </w:rPr>
              <w:t>recall@k / nDCG on the benchmark above threshold.</w:t>
            </w:r>
          </w:p>
        </w:tc>
      </w:tr>
      <w:tr>
        <w:tc>
          <w:tcPr>
            <w:tcW w:type="dxa" w:w="576"/>
            <w:shd w:val="clear" w:color="auto" w:fill="EAF1F8"/>
          </w:tcPr>
          <w:p>
            <w:pPr>
              <w:spacing w:after="40" w:before="40"/>
            </w:pPr>
            <w:r/>
            <w:r>
              <w:rPr>
                <w:rFonts w:ascii="Calibri" w:hAnsi="Calibri"/>
                <w:b w:val="0"/>
                <w:color w:val="222222"/>
                <w:sz w:val="20"/>
              </w:rPr>
              <w:t>4</w:t>
            </w:r>
          </w:p>
        </w:tc>
        <w:tc>
          <w:tcPr>
            <w:tcW w:type="dxa" w:w="3024"/>
            <w:shd w:val="clear" w:color="auto" w:fill="EAF1F8"/>
          </w:tcPr>
          <w:p>
            <w:pPr>
              <w:spacing w:after="40" w:before="40"/>
            </w:pPr>
            <w:r/>
            <w:r>
              <w:rPr>
                <w:rFonts w:ascii="Calibri" w:hAnsi="Calibri"/>
                <w:b w:val="0"/>
                <w:color w:val="222222"/>
                <w:sz w:val="20"/>
              </w:rPr>
              <w:t>Permission safety</w:t>
            </w:r>
          </w:p>
        </w:tc>
        <w:tc>
          <w:tcPr>
            <w:tcW w:type="dxa" w:w="5760"/>
            <w:shd w:val="clear" w:color="auto" w:fill="EAF1F8"/>
          </w:tcPr>
          <w:p>
            <w:pPr>
              <w:spacing w:after="40" w:before="40"/>
            </w:pPr>
            <w:r/>
            <w:r>
              <w:rPr>
                <w:rFonts w:ascii="Calibri" w:hAnsi="Calibri"/>
                <w:b w:val="0"/>
                <w:color w:val="222222"/>
                <w:sz w:val="20"/>
              </w:rPr>
              <w:t>100% of permission tests pass; no test user receives inaccessible content.</w:t>
            </w:r>
          </w:p>
        </w:tc>
      </w:tr>
      <w:tr>
        <w:tc>
          <w:tcPr>
            <w:tcW w:type="dxa" w:w="576"/>
          </w:tcPr>
          <w:p>
            <w:pPr>
              <w:spacing w:after="40" w:before="40"/>
            </w:pPr>
            <w:r/>
            <w:r>
              <w:rPr>
                <w:rFonts w:ascii="Calibri" w:hAnsi="Calibri"/>
                <w:b w:val="0"/>
                <w:color w:val="222222"/>
                <w:sz w:val="20"/>
              </w:rPr>
              <w:t>5</w:t>
            </w:r>
          </w:p>
        </w:tc>
        <w:tc>
          <w:tcPr>
            <w:tcW w:type="dxa" w:w="3024"/>
          </w:tcPr>
          <w:p>
            <w:pPr>
              <w:spacing w:after="40" w:before="40"/>
            </w:pPr>
            <w:r/>
            <w:r>
              <w:rPr>
                <w:rFonts w:ascii="Calibri" w:hAnsi="Calibri"/>
                <w:b w:val="0"/>
                <w:color w:val="222222"/>
                <w:sz w:val="20"/>
              </w:rPr>
              <w:t>Latency</w:t>
            </w:r>
          </w:p>
        </w:tc>
        <w:tc>
          <w:tcPr>
            <w:tcW w:type="dxa" w:w="5760"/>
          </w:tcPr>
          <w:p>
            <w:pPr>
              <w:spacing w:after="40" w:before="40"/>
            </w:pPr>
            <w:r/>
            <w:r>
              <w:rPr>
                <w:rFonts w:ascii="Calibri" w:hAnsi="Calibri"/>
                <w:b w:val="0"/>
                <w:color w:val="222222"/>
                <w:sz w:val="20"/>
              </w:rPr>
              <w:t>First token within a few seconds; full answers within the agreed bound.</w:t>
            </w:r>
          </w:p>
        </w:tc>
      </w:tr>
      <w:tr>
        <w:tc>
          <w:tcPr>
            <w:tcW w:type="dxa" w:w="576"/>
            <w:shd w:val="clear" w:color="auto" w:fill="EAF1F8"/>
          </w:tcPr>
          <w:p>
            <w:pPr>
              <w:spacing w:after="40" w:before="40"/>
            </w:pPr>
            <w:r/>
            <w:r>
              <w:rPr>
                <w:rFonts w:ascii="Calibri" w:hAnsi="Calibri"/>
                <w:b w:val="0"/>
                <w:color w:val="222222"/>
                <w:sz w:val="20"/>
              </w:rPr>
              <w:t>6</w:t>
            </w:r>
          </w:p>
        </w:tc>
        <w:tc>
          <w:tcPr>
            <w:tcW w:type="dxa" w:w="3024"/>
            <w:shd w:val="clear" w:color="auto" w:fill="EAF1F8"/>
          </w:tcPr>
          <w:p>
            <w:pPr>
              <w:spacing w:after="40" w:before="40"/>
            </w:pPr>
            <w:r/>
            <w:r>
              <w:rPr>
                <w:rFonts w:ascii="Calibri" w:hAnsi="Calibri"/>
                <w:b w:val="0"/>
                <w:color w:val="222222"/>
                <w:sz w:val="20"/>
              </w:rPr>
              <w:t>Freshness</w:t>
            </w:r>
          </w:p>
        </w:tc>
        <w:tc>
          <w:tcPr>
            <w:tcW w:type="dxa" w:w="5760"/>
            <w:shd w:val="clear" w:color="auto" w:fill="EAF1F8"/>
          </w:tcPr>
          <w:p>
            <w:pPr>
              <w:spacing w:after="40" w:before="40"/>
            </w:pPr>
            <w:r/>
            <w:r>
              <w:rPr>
                <w:rFonts w:ascii="Calibri" w:hAnsi="Calibri"/>
                <w:b w:val="0"/>
                <w:color w:val="222222"/>
                <w:sz w:val="20"/>
              </w:rPr>
              <w:t>Source edits/deletes reflected within the agreed window.</w:t>
            </w:r>
          </w:p>
        </w:tc>
      </w:tr>
      <w:tr>
        <w:tc>
          <w:tcPr>
            <w:tcW w:type="dxa" w:w="576"/>
          </w:tcPr>
          <w:p>
            <w:pPr>
              <w:spacing w:after="40" w:before="40"/>
            </w:pPr>
            <w:r/>
            <w:r>
              <w:rPr>
                <w:rFonts w:ascii="Calibri" w:hAnsi="Calibri"/>
                <w:b w:val="0"/>
                <w:color w:val="222222"/>
                <w:sz w:val="20"/>
              </w:rPr>
              <w:t>7</w:t>
            </w:r>
          </w:p>
        </w:tc>
        <w:tc>
          <w:tcPr>
            <w:tcW w:type="dxa" w:w="3024"/>
          </w:tcPr>
          <w:p>
            <w:pPr>
              <w:spacing w:after="40" w:before="40"/>
            </w:pPr>
            <w:r/>
            <w:r>
              <w:rPr>
                <w:rFonts w:ascii="Calibri" w:hAnsi="Calibri"/>
                <w:b w:val="0"/>
                <w:color w:val="222222"/>
                <w:sz w:val="20"/>
              </w:rPr>
              <w:t>Extensibility shown</w:t>
            </w:r>
          </w:p>
        </w:tc>
        <w:tc>
          <w:tcPr>
            <w:tcW w:type="dxa" w:w="5760"/>
          </w:tcPr>
          <w:p>
            <w:pPr>
              <w:spacing w:after="40" w:before="40"/>
            </w:pPr>
            <w:r/>
            <w:r>
              <w:rPr>
                <w:rFonts w:ascii="Calibri" w:hAnsi="Calibri"/>
                <w:b w:val="0"/>
                <w:color w:val="222222"/>
                <w:sz w:val="20"/>
              </w:rPr>
              <w:t>Adding a new connector/domain demonstrated as configuration plus a small connector.</w:t>
            </w:r>
          </w:p>
        </w:tc>
      </w:tr>
      <w:tr>
        <w:tc>
          <w:tcPr>
            <w:tcW w:type="dxa" w:w="576"/>
            <w:shd w:val="clear" w:color="auto" w:fill="EAF1F8"/>
          </w:tcPr>
          <w:p>
            <w:pPr>
              <w:spacing w:after="40" w:before="40"/>
            </w:pPr>
            <w:r/>
            <w:r>
              <w:rPr>
                <w:rFonts w:ascii="Calibri" w:hAnsi="Calibri"/>
                <w:b w:val="0"/>
                <w:color w:val="222222"/>
                <w:sz w:val="20"/>
              </w:rPr>
              <w:t>8</w:t>
            </w:r>
          </w:p>
        </w:tc>
        <w:tc>
          <w:tcPr>
            <w:tcW w:type="dxa" w:w="3024"/>
            <w:shd w:val="clear" w:color="auto" w:fill="EAF1F8"/>
          </w:tcPr>
          <w:p>
            <w:pPr>
              <w:spacing w:after="40" w:before="40"/>
            </w:pPr>
            <w:r/>
            <w:r>
              <w:rPr>
                <w:rFonts w:ascii="Calibri" w:hAnsi="Calibri"/>
                <w:b w:val="0"/>
                <w:color w:val="222222"/>
                <w:sz w:val="20"/>
              </w:rPr>
              <w:t>Stakeholder validation</w:t>
            </w:r>
          </w:p>
        </w:tc>
        <w:tc>
          <w:tcPr>
            <w:tcW w:type="dxa" w:w="5760"/>
            <w:shd w:val="clear" w:color="auto" w:fill="EAF1F8"/>
          </w:tcPr>
          <w:p>
            <w:pPr>
              <w:spacing w:after="40" w:before="40"/>
            </w:pPr>
            <w:r/>
            <w:r>
              <w:rPr>
                <w:rFonts w:ascii="Calibri" w:hAnsi="Calibri"/>
                <w:b w:val="0"/>
                <w:color w:val="222222"/>
                <w:sz w:val="20"/>
              </w:rPr>
              <w:t>SMEs rate answers useful/accurate on a sample, with a positive majority.</w:t>
            </w:r>
          </w:p>
        </w:tc>
      </w:tr>
    </w:tbl>
    <w:p>
      <w:pPr>
        <w:spacing w:after="80"/>
      </w:pPr>
    </w:p>
    <w:p>
      <w:pPr>
        <w:pStyle w:val="Heading2"/>
      </w:pPr>
      <w:r>
        <w:t>4.5  Evaluation methodology</w:t>
      </w:r>
    </w:p>
    <w:p>
      <w:pPr>
        <w:pStyle w:val="ListBullet"/>
        <w:spacing w:after="60"/>
      </w:pPr>
      <w:r>
        <w:t>A benchmark of 50–150 real questions per domain, authored with SMEs, each with an expected answer and expected source documents.</w:t>
      </w:r>
    </w:p>
    <w:p>
      <w:pPr>
        <w:pStyle w:val="ListBullet"/>
        <w:spacing w:after="60"/>
      </w:pPr>
      <w:r>
        <w:t>Automated metrics for retrieval (recall@k, MRR, nDCG) and answers (groundedness, relevance, citation correctness, hallucination rate, correct refusals).</w:t>
      </w:r>
    </w:p>
    <w:p>
      <w:pPr>
        <w:pStyle w:val="ListBullet"/>
        <w:spacing w:after="60"/>
      </w:pPr>
      <w:r>
        <w:t>Human review of a sample by SMEs, plus in-product thumbs up/down feeding the loop.</w:t>
      </w:r>
    </w:p>
    <w:p>
      <w:pPr>
        <w:pStyle w:val="ListBullet"/>
        <w:spacing w:after="60"/>
      </w:pPr>
      <w:r>
        <w:t>Regression gating: changes to chunking, retrieval, prompts, or models are re-scored before adoption, with results on a single quality dashboard.</w:t>
      </w:r>
    </w:p>
    <w:p>
      <w:pPr>
        <w:pStyle w:val="Heading2"/>
      </w:pPr>
      <w:r>
        <w:t>4.6  What we need from the client</w:t>
      </w:r>
    </w:p>
    <w:tbl>
      <w:tblPr>
        <w:tblStyle w:val="TableGrid"/>
        <w:tblW w:type="auto" w:w="0"/>
        <w:jc w:val="center"/>
        <w:tblLayout w:type="autofit"/>
        <w:tblLook w:firstColumn="1" w:firstRow="1" w:lastColumn="0" w:lastRow="0" w:noHBand="0" w:noVBand="1" w:val="04A0"/>
      </w:tblPr>
      <w:tblGrid>
        <w:gridCol w:w="4680"/>
        <w:gridCol w:w="4680"/>
      </w:tblGrid>
      <w:tr>
        <w:tc>
          <w:tcPr>
            <w:tcW w:type="dxa" w:w="5328"/>
            <w:shd w:val="clear" w:color="auto" w:fill="1F3A5F"/>
          </w:tcPr>
          <w:p>
            <w:pPr>
              <w:spacing w:after="40" w:before="40"/>
            </w:pPr>
            <w:r/>
            <w:r>
              <w:rPr>
                <w:rFonts w:ascii="Calibri" w:hAnsi="Calibri"/>
                <w:b/>
                <w:color w:val="FFFFFF"/>
                <w:sz w:val="20"/>
              </w:rPr>
              <w:t>Need</w:t>
            </w:r>
          </w:p>
        </w:tc>
        <w:tc>
          <w:tcPr>
            <w:tcW w:type="dxa" w:w="4032"/>
            <w:shd w:val="clear" w:color="auto" w:fill="1F3A5F"/>
          </w:tcPr>
          <w:p>
            <w:pPr>
              <w:spacing w:after="40" w:before="40"/>
            </w:pPr>
            <w:r/>
            <w:r>
              <w:rPr>
                <w:rFonts w:ascii="Calibri" w:hAnsi="Calibri"/>
                <w:b/>
                <w:color w:val="FFFFFF"/>
                <w:sz w:val="20"/>
              </w:rPr>
              <w:t>Why</w:t>
            </w:r>
          </w:p>
        </w:tc>
      </w:tr>
      <w:tr>
        <w:tc>
          <w:tcPr>
            <w:tcW w:type="dxa" w:w="5328"/>
          </w:tcPr>
          <w:p>
            <w:pPr>
              <w:spacing w:after="40" w:before="40"/>
            </w:pPr>
            <w:r/>
            <w:r>
              <w:rPr>
                <w:rFonts w:ascii="Calibri" w:hAnsi="Calibri"/>
                <w:b w:val="0"/>
                <w:color w:val="222222"/>
                <w:sz w:val="20"/>
              </w:rPr>
              <w:t>Read access to 2–3 representative sources (service accounts)</w:t>
            </w:r>
          </w:p>
        </w:tc>
        <w:tc>
          <w:tcPr>
            <w:tcW w:type="dxa" w:w="4032"/>
          </w:tcPr>
          <w:p>
            <w:pPr>
              <w:spacing w:after="40" w:before="40"/>
            </w:pPr>
            <w:r/>
            <w:r>
              <w:rPr>
                <w:rFonts w:ascii="Calibri" w:hAnsi="Calibri"/>
                <w:b w:val="0"/>
                <w:color w:val="222222"/>
                <w:sz w:val="20"/>
              </w:rPr>
              <w:t>Ingestion.</w:t>
            </w:r>
          </w:p>
        </w:tc>
      </w:tr>
      <w:tr>
        <w:tc>
          <w:tcPr>
            <w:tcW w:type="dxa" w:w="5328"/>
            <w:shd w:val="clear" w:color="auto" w:fill="EAF1F8"/>
          </w:tcPr>
          <w:p>
            <w:pPr>
              <w:spacing w:after="40" w:before="40"/>
            </w:pPr>
            <w:r/>
            <w:r>
              <w:rPr>
                <w:rFonts w:ascii="Calibri" w:hAnsi="Calibri"/>
                <w:b w:val="0"/>
                <w:color w:val="222222"/>
                <w:sz w:val="20"/>
              </w:rPr>
              <w:t>Choice of 1–2 priority domains/projects</w:t>
            </w:r>
          </w:p>
        </w:tc>
        <w:tc>
          <w:tcPr>
            <w:tcW w:type="dxa" w:w="4032"/>
            <w:shd w:val="clear" w:color="auto" w:fill="EAF1F8"/>
          </w:tcPr>
          <w:p>
            <w:pPr>
              <w:spacing w:after="40" w:before="40"/>
            </w:pPr>
            <w:r/>
            <w:r>
              <w:rPr>
                <w:rFonts w:ascii="Calibri" w:hAnsi="Calibri"/>
                <w:b w:val="0"/>
                <w:color w:val="222222"/>
                <w:sz w:val="20"/>
              </w:rPr>
              <w:t>Focus and value.</w:t>
            </w:r>
          </w:p>
        </w:tc>
      </w:tr>
      <w:tr>
        <w:tc>
          <w:tcPr>
            <w:tcW w:type="dxa" w:w="5328"/>
          </w:tcPr>
          <w:p>
            <w:pPr>
              <w:spacing w:after="40" w:before="40"/>
            </w:pPr>
            <w:r/>
            <w:r>
              <w:rPr>
                <w:rFonts w:ascii="Calibri" w:hAnsi="Calibri"/>
                <w:b w:val="0"/>
                <w:color w:val="222222"/>
                <w:sz w:val="20"/>
              </w:rPr>
              <w:t>3–5 test users/groups with varied permissions</w:t>
            </w:r>
          </w:p>
        </w:tc>
        <w:tc>
          <w:tcPr>
            <w:tcW w:type="dxa" w:w="4032"/>
          </w:tcPr>
          <w:p>
            <w:pPr>
              <w:spacing w:after="40" w:before="40"/>
            </w:pPr>
            <w:r/>
            <w:r>
              <w:rPr>
                <w:rFonts w:ascii="Calibri" w:hAnsi="Calibri"/>
                <w:b w:val="0"/>
                <w:color w:val="222222"/>
                <w:sz w:val="20"/>
              </w:rPr>
              <w:t>Permission validation.</w:t>
            </w:r>
          </w:p>
        </w:tc>
      </w:tr>
      <w:tr>
        <w:tc>
          <w:tcPr>
            <w:tcW w:type="dxa" w:w="5328"/>
            <w:shd w:val="clear" w:color="auto" w:fill="EAF1F8"/>
          </w:tcPr>
          <w:p>
            <w:pPr>
              <w:spacing w:after="40" w:before="40"/>
            </w:pPr>
            <w:r/>
            <w:r>
              <w:rPr>
                <w:rFonts w:ascii="Calibri" w:hAnsi="Calibri"/>
                <w:b w:val="0"/>
                <w:color w:val="222222"/>
                <w:sz w:val="20"/>
              </w:rPr>
              <w:t>SME time for the benchmark and answer review</w:t>
            </w:r>
          </w:p>
        </w:tc>
        <w:tc>
          <w:tcPr>
            <w:tcW w:type="dxa" w:w="4032"/>
            <w:shd w:val="clear" w:color="auto" w:fill="EAF1F8"/>
          </w:tcPr>
          <w:p>
            <w:pPr>
              <w:spacing w:after="40" w:before="40"/>
            </w:pPr>
            <w:r/>
            <w:r>
              <w:rPr>
                <w:rFonts w:ascii="Calibri" w:hAnsi="Calibri"/>
                <w:b w:val="0"/>
                <w:color w:val="222222"/>
                <w:sz w:val="20"/>
              </w:rPr>
              <w:t>Quality measurement.</w:t>
            </w:r>
          </w:p>
        </w:tc>
      </w:tr>
      <w:tr>
        <w:tc>
          <w:tcPr>
            <w:tcW w:type="dxa" w:w="5328"/>
          </w:tcPr>
          <w:p>
            <w:pPr>
              <w:spacing w:after="40" w:before="40"/>
            </w:pPr>
            <w:r/>
            <w:r>
              <w:rPr>
                <w:rFonts w:ascii="Calibri" w:hAnsi="Calibri"/>
                <w:b w:val="0"/>
                <w:color w:val="222222"/>
                <w:sz w:val="20"/>
              </w:rPr>
              <w:t>Security/IT contact and an environment in the client VPC</w:t>
            </w:r>
          </w:p>
        </w:tc>
        <w:tc>
          <w:tcPr>
            <w:tcW w:type="dxa" w:w="4032"/>
          </w:tcPr>
          <w:p>
            <w:pPr>
              <w:spacing w:after="40" w:before="40"/>
            </w:pPr>
            <w:r/>
            <w:r>
              <w:rPr>
                <w:rFonts w:ascii="Calibri" w:hAnsi="Calibri"/>
                <w:b w:val="0"/>
                <w:color w:val="222222"/>
                <w:sz w:val="20"/>
              </w:rPr>
              <w:t>Secure deployment and review.</w:t>
            </w:r>
          </w:p>
        </w:tc>
      </w:tr>
      <w:tr>
        <w:tc>
          <w:tcPr>
            <w:tcW w:type="dxa" w:w="5328"/>
            <w:shd w:val="clear" w:color="auto" w:fill="EAF1F8"/>
          </w:tcPr>
          <w:p>
            <w:pPr>
              <w:spacing w:after="40" w:before="40"/>
            </w:pPr>
            <w:r/>
            <w:r>
              <w:rPr>
                <w:rFonts w:ascii="Calibri" w:hAnsi="Calibri"/>
                <w:b w:val="0"/>
                <w:color w:val="222222"/>
                <w:sz w:val="20"/>
              </w:rPr>
              <w:t>A product owner / sponsor</w:t>
            </w:r>
          </w:p>
        </w:tc>
        <w:tc>
          <w:tcPr>
            <w:tcW w:type="dxa" w:w="4032"/>
            <w:shd w:val="clear" w:color="auto" w:fill="EAF1F8"/>
          </w:tcPr>
          <w:p>
            <w:pPr>
              <w:spacing w:after="40" w:before="40"/>
            </w:pPr>
            <w:r/>
            <w:r>
              <w:rPr>
                <w:rFonts w:ascii="Calibri" w:hAnsi="Calibri"/>
                <w:b w:val="0"/>
                <w:color w:val="222222"/>
                <w:sz w:val="20"/>
              </w:rPr>
              <w:t>Decisions and prioritization.</w:t>
            </w:r>
          </w:p>
        </w:tc>
      </w:tr>
    </w:tbl>
    <w:p>
      <w:pPr>
        <w:spacing w:after="80"/>
      </w:pPr>
    </w:p>
    <w:p>
      <w:pPr>
        <w:pStyle w:val="Heading2"/>
      </w:pPr>
      <w:r>
        <w:t>4.7  Team model (lean POC)</w:t>
      </w:r>
    </w:p>
    <w:tbl>
      <w:tblPr>
        <w:tblStyle w:val="TableGrid"/>
        <w:tblW w:type="auto" w:w="0"/>
        <w:jc w:val="center"/>
        <w:tblLayout w:type="autofit"/>
        <w:tblLook w:firstColumn="1" w:firstRow="1" w:lastColumn="0" w:lastRow="0" w:noHBand="0" w:noVBand="1" w:val="04A0"/>
      </w:tblPr>
      <w:tblGrid>
        <w:gridCol w:w="4680"/>
        <w:gridCol w:w="4680"/>
      </w:tblGrid>
      <w:tr>
        <w:tc>
          <w:tcPr>
            <w:tcW w:type="dxa" w:w="3456"/>
            <w:shd w:val="clear" w:color="auto" w:fill="1F3A5F"/>
          </w:tcPr>
          <w:p>
            <w:pPr>
              <w:spacing w:after="40" w:before="40"/>
            </w:pPr>
            <w:r/>
            <w:r>
              <w:rPr>
                <w:rFonts w:ascii="Calibri" w:hAnsi="Calibri"/>
                <w:b/>
                <w:color w:val="FFFFFF"/>
                <w:sz w:val="20"/>
              </w:rPr>
              <w:t>Role</w:t>
            </w:r>
          </w:p>
        </w:tc>
        <w:tc>
          <w:tcPr>
            <w:tcW w:type="dxa" w:w="5904"/>
            <w:shd w:val="clear" w:color="auto" w:fill="1F3A5F"/>
          </w:tcPr>
          <w:p>
            <w:pPr>
              <w:spacing w:after="40" w:before="40"/>
            </w:pPr>
            <w:r/>
            <w:r>
              <w:rPr>
                <w:rFonts w:ascii="Calibri" w:hAnsi="Calibri"/>
                <w:b/>
                <w:color w:val="FFFFFF"/>
                <w:sz w:val="20"/>
              </w:rPr>
              <w:t>Responsibility</w:t>
            </w:r>
          </w:p>
        </w:tc>
      </w:tr>
      <w:tr>
        <w:tc>
          <w:tcPr>
            <w:tcW w:type="dxa" w:w="3456"/>
          </w:tcPr>
          <w:p>
            <w:pPr>
              <w:spacing w:after="40" w:before="40"/>
            </w:pPr>
            <w:r/>
            <w:r>
              <w:rPr>
                <w:rFonts w:ascii="Calibri" w:hAnsi="Calibri"/>
                <w:b w:val="0"/>
                <w:color w:val="222222"/>
                <w:sz w:val="20"/>
              </w:rPr>
              <w:t>Product owner (client)</w:t>
            </w:r>
          </w:p>
        </w:tc>
        <w:tc>
          <w:tcPr>
            <w:tcW w:type="dxa" w:w="5904"/>
          </w:tcPr>
          <w:p>
            <w:pPr>
              <w:spacing w:after="40" w:before="40"/>
            </w:pPr>
            <w:r/>
            <w:r>
              <w:rPr>
                <w:rFonts w:ascii="Calibri" w:hAnsi="Calibri"/>
                <w:b w:val="0"/>
                <w:color w:val="222222"/>
                <w:sz w:val="20"/>
              </w:rPr>
              <w:t>Priorities, scope decisions, stakeholder access.</w:t>
            </w:r>
          </w:p>
        </w:tc>
      </w:tr>
      <w:tr>
        <w:tc>
          <w:tcPr>
            <w:tcW w:type="dxa" w:w="3456"/>
            <w:shd w:val="clear" w:color="auto" w:fill="EAF1F8"/>
          </w:tcPr>
          <w:p>
            <w:pPr>
              <w:spacing w:after="40" w:before="40"/>
            </w:pPr>
            <w:r/>
            <w:r>
              <w:rPr>
                <w:rFonts w:ascii="Calibri" w:hAnsi="Calibri"/>
                <w:b w:val="0"/>
                <w:color w:val="222222"/>
                <w:sz w:val="20"/>
              </w:rPr>
              <w:t>Solution architect</w:t>
            </w:r>
          </w:p>
        </w:tc>
        <w:tc>
          <w:tcPr>
            <w:tcW w:type="dxa" w:w="5904"/>
            <w:shd w:val="clear" w:color="auto" w:fill="EAF1F8"/>
          </w:tcPr>
          <w:p>
            <w:pPr>
              <w:spacing w:after="40" w:before="40"/>
            </w:pPr>
            <w:r/>
            <w:r>
              <w:rPr>
                <w:rFonts w:ascii="Calibri" w:hAnsi="Calibri"/>
                <w:b w:val="0"/>
                <w:color w:val="222222"/>
                <w:sz w:val="20"/>
              </w:rPr>
              <w:t>Architecture, integration, and security alignment.</w:t>
            </w:r>
          </w:p>
        </w:tc>
      </w:tr>
      <w:tr>
        <w:tc>
          <w:tcPr>
            <w:tcW w:type="dxa" w:w="3456"/>
          </w:tcPr>
          <w:p>
            <w:pPr>
              <w:spacing w:after="40" w:before="40"/>
            </w:pPr>
            <w:r/>
            <w:r>
              <w:rPr>
                <w:rFonts w:ascii="Calibri" w:hAnsi="Calibri"/>
                <w:b w:val="0"/>
                <w:color w:val="222222"/>
                <w:sz w:val="20"/>
              </w:rPr>
              <w:t>ML/RAG engineer</w:t>
            </w:r>
          </w:p>
        </w:tc>
        <w:tc>
          <w:tcPr>
            <w:tcW w:type="dxa" w:w="5904"/>
          </w:tcPr>
          <w:p>
            <w:pPr>
              <w:spacing w:after="40" w:before="40"/>
            </w:pPr>
            <w:r/>
            <w:r>
              <w:rPr>
                <w:rFonts w:ascii="Calibri" w:hAnsi="Calibri"/>
                <w:b w:val="0"/>
                <w:color w:val="222222"/>
                <w:sz w:val="20"/>
              </w:rPr>
              <w:t>Retrieval, embeddings, synthesis, and evaluation.</w:t>
            </w:r>
          </w:p>
        </w:tc>
      </w:tr>
      <w:tr>
        <w:tc>
          <w:tcPr>
            <w:tcW w:type="dxa" w:w="3456"/>
            <w:shd w:val="clear" w:color="auto" w:fill="EAF1F8"/>
          </w:tcPr>
          <w:p>
            <w:pPr>
              <w:spacing w:after="40" w:before="40"/>
            </w:pPr>
            <w:r/>
            <w:r>
              <w:rPr>
                <w:rFonts w:ascii="Calibri" w:hAnsi="Calibri"/>
                <w:b w:val="0"/>
                <w:color w:val="222222"/>
                <w:sz w:val="20"/>
              </w:rPr>
              <w:t>Backend engineer</w:t>
            </w:r>
          </w:p>
        </w:tc>
        <w:tc>
          <w:tcPr>
            <w:tcW w:type="dxa" w:w="5904"/>
            <w:shd w:val="clear" w:color="auto" w:fill="EAF1F8"/>
          </w:tcPr>
          <w:p>
            <w:pPr>
              <w:spacing w:after="40" w:before="40"/>
            </w:pPr>
            <w:r/>
            <w:r>
              <w:rPr>
                <w:rFonts w:ascii="Calibri" w:hAnsi="Calibri"/>
                <w:b w:val="0"/>
                <w:color w:val="222222"/>
                <w:sz w:val="20"/>
              </w:rPr>
              <w:t>Connectors, pipeline, APIs, and stores.</w:t>
            </w:r>
          </w:p>
        </w:tc>
      </w:tr>
      <w:tr>
        <w:tc>
          <w:tcPr>
            <w:tcW w:type="dxa" w:w="3456"/>
          </w:tcPr>
          <w:p>
            <w:pPr>
              <w:spacing w:after="40" w:before="40"/>
            </w:pPr>
            <w:r/>
            <w:r>
              <w:rPr>
                <w:rFonts w:ascii="Calibri" w:hAnsi="Calibri"/>
                <w:b w:val="0"/>
                <w:color w:val="222222"/>
                <w:sz w:val="20"/>
              </w:rPr>
              <w:t>Frontend engineer (part-time)</w:t>
            </w:r>
          </w:p>
        </w:tc>
        <w:tc>
          <w:tcPr>
            <w:tcW w:type="dxa" w:w="5904"/>
          </w:tcPr>
          <w:p>
            <w:pPr>
              <w:spacing w:after="40" w:before="40"/>
            </w:pPr>
            <w:r/>
            <w:r>
              <w:rPr>
                <w:rFonts w:ascii="Calibri" w:hAnsi="Calibri"/>
                <w:b w:val="0"/>
                <w:color w:val="222222"/>
                <w:sz w:val="20"/>
              </w:rPr>
              <w:t>Chat/search UI.</w:t>
            </w:r>
          </w:p>
        </w:tc>
      </w:tr>
      <w:tr>
        <w:tc>
          <w:tcPr>
            <w:tcW w:type="dxa" w:w="3456"/>
            <w:shd w:val="clear" w:color="auto" w:fill="EAF1F8"/>
          </w:tcPr>
          <w:p>
            <w:pPr>
              <w:spacing w:after="40" w:before="40"/>
            </w:pPr>
            <w:r/>
            <w:r>
              <w:rPr>
                <w:rFonts w:ascii="Calibri" w:hAnsi="Calibri"/>
                <w:b w:val="0"/>
                <w:color w:val="222222"/>
                <w:sz w:val="20"/>
              </w:rPr>
              <w:t>Subject-matter expert(s) (client)</w:t>
            </w:r>
          </w:p>
        </w:tc>
        <w:tc>
          <w:tcPr>
            <w:tcW w:type="dxa" w:w="5904"/>
            <w:shd w:val="clear" w:color="auto" w:fill="EAF1F8"/>
          </w:tcPr>
          <w:p>
            <w:pPr>
              <w:spacing w:after="40" w:before="40"/>
            </w:pPr>
            <w:r/>
            <w:r>
              <w:rPr>
                <w:rFonts w:ascii="Calibri" w:hAnsi="Calibri"/>
                <w:b w:val="0"/>
                <w:color w:val="222222"/>
                <w:sz w:val="20"/>
              </w:rPr>
              <w:t>Domain validation and benchmark authoring.</w:t>
            </w:r>
          </w:p>
        </w:tc>
      </w:tr>
      <w:tr>
        <w:tc>
          <w:tcPr>
            <w:tcW w:type="dxa" w:w="3456"/>
          </w:tcPr>
          <w:p>
            <w:pPr>
              <w:spacing w:after="40" w:before="40"/>
            </w:pPr>
            <w:r/>
            <w:r>
              <w:rPr>
                <w:rFonts w:ascii="Calibri" w:hAnsi="Calibri"/>
                <w:b w:val="0"/>
                <w:color w:val="222222"/>
                <w:sz w:val="20"/>
              </w:rPr>
              <w:t>Security / IT (client)</w:t>
            </w:r>
          </w:p>
        </w:tc>
        <w:tc>
          <w:tcPr>
            <w:tcW w:type="dxa" w:w="5904"/>
          </w:tcPr>
          <w:p>
            <w:pPr>
              <w:spacing w:after="40" w:before="40"/>
            </w:pPr>
            <w:r/>
            <w:r>
              <w:rPr>
                <w:rFonts w:ascii="Calibri" w:hAnsi="Calibri"/>
                <w:b w:val="0"/>
                <w:color w:val="222222"/>
                <w:sz w:val="20"/>
              </w:rPr>
              <w:t>Access, deployment, and compliance review.</w:t>
            </w:r>
          </w:p>
        </w:tc>
      </w:tr>
    </w:tbl>
    <w:p>
      <w:pPr>
        <w:spacing w:after="80"/>
      </w:pPr>
    </w:p>
    <w:p>
      <w:pPr>
        <w:pStyle w:val="Heading2"/>
      </w:pPr>
      <w:r>
        <w:t>4.8  Cost considerations</w:t>
      </w:r>
    </w:p>
    <w:p>
      <w:pPr>
        <w:spacing w:after="160"/>
      </w:pPr>
      <w:r>
        <w:rPr>
          <w:b w:val="0"/>
          <w:i w:val="0"/>
          <w:color w:val="222222"/>
          <w:sz w:val="22"/>
        </w:rPr>
        <w:t>POC cost is modest and dominated by a small Kubernetes footprint plus stateful stores (which can run in the client’s existing cloud/VPC); model usage for embeddings and per-query synthesis, controlled via tiered models, caching, batching, and token budgeting; and the lean team above. Self-hosting models trades API cost for compute and removes egress concerns. A per-query and monthly estimate is provided after Phase 1, once corpus size and query volume are validated.</w:t>
      </w:r>
    </w:p>
    <w:p>
      <w:pPr>
        <w:pStyle w:val="Heading2"/>
      </w:pPr>
      <w:r>
        <w:t>4.9  Risks and mitigations</w:t>
      </w:r>
    </w:p>
    <w:tbl>
      <w:tblPr>
        <w:tblStyle w:val="TableGrid"/>
        <w:tblW w:type="auto" w:w="0"/>
        <w:jc w:val="center"/>
        <w:tblLayout w:type="autofit"/>
        <w:tblLook w:firstColumn="1" w:firstRow="1" w:lastColumn="0" w:lastRow="0" w:noHBand="0" w:noVBand="1" w:val="04A0"/>
      </w:tblPr>
      <w:tblGrid>
        <w:gridCol w:w="4680"/>
        <w:gridCol w:w="4680"/>
      </w:tblGrid>
      <w:tr>
        <w:tc>
          <w:tcPr>
            <w:tcW w:type="dxa" w:w="3600"/>
            <w:shd w:val="clear" w:color="auto" w:fill="1F3A5F"/>
          </w:tcPr>
          <w:p>
            <w:pPr>
              <w:spacing w:after="40" w:before="40"/>
            </w:pPr>
            <w:r/>
            <w:r>
              <w:rPr>
                <w:rFonts w:ascii="Calibri" w:hAnsi="Calibri"/>
                <w:b/>
                <w:color w:val="FFFFFF"/>
                <w:sz w:val="20"/>
              </w:rPr>
              <w:t>Risk</w:t>
            </w:r>
          </w:p>
        </w:tc>
        <w:tc>
          <w:tcPr>
            <w:tcW w:type="dxa" w:w="5760"/>
            <w:shd w:val="clear" w:color="auto" w:fill="1F3A5F"/>
          </w:tcPr>
          <w:p>
            <w:pPr>
              <w:spacing w:after="40" w:before="40"/>
            </w:pPr>
            <w:r/>
            <w:r>
              <w:rPr>
                <w:rFonts w:ascii="Calibri" w:hAnsi="Calibri"/>
                <w:b/>
                <w:color w:val="FFFFFF"/>
                <w:sz w:val="20"/>
              </w:rPr>
              <w:t>Mitigation</w:t>
            </w:r>
          </w:p>
        </w:tc>
      </w:tr>
      <w:tr>
        <w:tc>
          <w:tcPr>
            <w:tcW w:type="dxa" w:w="3600"/>
          </w:tcPr>
          <w:p>
            <w:pPr>
              <w:spacing w:after="40" w:before="40"/>
            </w:pPr>
            <w:r/>
            <w:r>
              <w:rPr>
                <w:rFonts w:ascii="Calibri" w:hAnsi="Calibri"/>
                <w:b w:val="0"/>
                <w:color w:val="222222"/>
                <w:sz w:val="20"/>
              </w:rPr>
              <w:t>Source access / API limits delay ingestion</w:t>
            </w:r>
          </w:p>
        </w:tc>
        <w:tc>
          <w:tcPr>
            <w:tcW w:type="dxa" w:w="5760"/>
          </w:tcPr>
          <w:p>
            <w:pPr>
              <w:spacing w:after="40" w:before="40"/>
            </w:pPr>
            <w:r/>
            <w:r>
              <w:rPr>
                <w:rFonts w:ascii="Calibri" w:hAnsi="Calibri"/>
                <w:b w:val="0"/>
                <w:color w:val="222222"/>
                <w:sz w:val="20"/>
              </w:rPr>
              <w:t>Start access requests in Phase 0; rate-limit-aware, resumable connectors.</w:t>
            </w:r>
          </w:p>
        </w:tc>
      </w:tr>
      <w:tr>
        <w:tc>
          <w:tcPr>
            <w:tcW w:type="dxa" w:w="3600"/>
            <w:shd w:val="clear" w:color="auto" w:fill="EAF1F8"/>
          </w:tcPr>
          <w:p>
            <w:pPr>
              <w:spacing w:after="40" w:before="40"/>
            </w:pPr>
            <w:r/>
            <w:r>
              <w:rPr>
                <w:rFonts w:ascii="Calibri" w:hAnsi="Calibri"/>
                <w:b w:val="0"/>
                <w:color w:val="222222"/>
                <w:sz w:val="20"/>
              </w:rPr>
              <w:t>Answer quality / hallucination below bar</w:t>
            </w:r>
          </w:p>
        </w:tc>
        <w:tc>
          <w:tcPr>
            <w:tcW w:type="dxa" w:w="5760"/>
            <w:shd w:val="clear" w:color="auto" w:fill="EAF1F8"/>
          </w:tcPr>
          <w:p>
            <w:pPr>
              <w:spacing w:after="40" w:before="40"/>
            </w:pPr>
            <w:r/>
            <w:r>
              <w:rPr>
                <w:rFonts w:ascii="Calibri" w:hAnsi="Calibri"/>
                <w:b w:val="0"/>
                <w:color w:val="222222"/>
                <w:sz w:val="20"/>
              </w:rPr>
              <w:t>Grounding, citations, refusal handling, citation verification, and evaluation gating; tune chunking and retrieval.</w:t>
            </w:r>
          </w:p>
        </w:tc>
      </w:tr>
      <w:tr>
        <w:tc>
          <w:tcPr>
            <w:tcW w:type="dxa" w:w="3600"/>
          </w:tcPr>
          <w:p>
            <w:pPr>
              <w:spacing w:after="40" w:before="40"/>
            </w:pPr>
            <w:r/>
            <w:r>
              <w:rPr>
                <w:rFonts w:ascii="Calibri" w:hAnsi="Calibri"/>
                <w:b w:val="0"/>
                <w:color w:val="222222"/>
                <w:sz w:val="20"/>
              </w:rPr>
              <w:t>Permission leakage (severe)</w:t>
            </w:r>
          </w:p>
        </w:tc>
        <w:tc>
          <w:tcPr>
            <w:tcW w:type="dxa" w:w="5760"/>
          </w:tcPr>
          <w:p>
            <w:pPr>
              <w:spacing w:after="40" w:before="40"/>
            </w:pPr>
            <w:r/>
            <w:r>
              <w:rPr>
                <w:rFonts w:ascii="Calibri" w:hAnsi="Calibri"/>
                <w:b w:val="0"/>
                <w:color w:val="222222"/>
                <w:sz w:val="20"/>
              </w:rPr>
              <w:t>Permission-aware retrieval as a core control; dedicated permission test suite; late-binding checks; audit logs.</w:t>
            </w:r>
          </w:p>
        </w:tc>
      </w:tr>
      <w:tr>
        <w:tc>
          <w:tcPr>
            <w:tcW w:type="dxa" w:w="3600"/>
            <w:shd w:val="clear" w:color="auto" w:fill="EAF1F8"/>
          </w:tcPr>
          <w:p>
            <w:pPr>
              <w:spacing w:after="40" w:before="40"/>
            </w:pPr>
            <w:r/>
            <w:r>
              <w:rPr>
                <w:rFonts w:ascii="Calibri" w:hAnsi="Calibri"/>
                <w:b w:val="0"/>
                <w:color w:val="222222"/>
                <w:sz w:val="20"/>
              </w:rPr>
              <w:t>Messy or inconsistent content</w:t>
            </w:r>
          </w:p>
        </w:tc>
        <w:tc>
          <w:tcPr>
            <w:tcW w:type="dxa" w:w="5760"/>
            <w:shd w:val="clear" w:color="auto" w:fill="EAF1F8"/>
          </w:tcPr>
          <w:p>
            <w:pPr>
              <w:spacing w:after="40" w:before="40"/>
            </w:pPr>
            <w:r/>
            <w:r>
              <w:rPr>
                <w:rFonts w:ascii="Calibri" w:hAnsi="Calibri"/>
                <w:b w:val="0"/>
                <w:color w:val="222222"/>
                <w:sz w:val="20"/>
              </w:rPr>
              <w:t>Deduplication, conflict flagging, and freshness signals; surface — not hide — disagreements.</w:t>
            </w:r>
          </w:p>
        </w:tc>
      </w:tr>
      <w:tr>
        <w:tc>
          <w:tcPr>
            <w:tcW w:type="dxa" w:w="3600"/>
          </w:tcPr>
          <w:p>
            <w:pPr>
              <w:spacing w:after="40" w:before="40"/>
            </w:pPr>
            <w:r/>
            <w:r>
              <w:rPr>
                <w:rFonts w:ascii="Calibri" w:hAnsi="Calibri"/>
                <w:b w:val="0"/>
                <w:color w:val="222222"/>
                <w:sz w:val="20"/>
              </w:rPr>
              <w:t>Data residency / privacy</w:t>
            </w:r>
          </w:p>
        </w:tc>
        <w:tc>
          <w:tcPr>
            <w:tcW w:type="dxa" w:w="5760"/>
          </w:tcPr>
          <w:p>
            <w:pPr>
              <w:spacing w:after="40" w:before="40"/>
            </w:pPr>
            <w:r/>
            <w:r>
              <w:rPr>
                <w:rFonts w:ascii="Calibri" w:hAnsi="Calibri"/>
                <w:b w:val="0"/>
                <w:color w:val="222222"/>
                <w:sz w:val="20"/>
              </w:rPr>
              <w:t>VPC/on-prem deployment; self-hostable models; PII detection/redaction; encryption and KMS.</w:t>
            </w:r>
          </w:p>
        </w:tc>
      </w:tr>
      <w:tr>
        <w:tc>
          <w:tcPr>
            <w:tcW w:type="dxa" w:w="3600"/>
            <w:shd w:val="clear" w:color="auto" w:fill="EAF1F8"/>
          </w:tcPr>
          <w:p>
            <w:pPr>
              <w:spacing w:after="40" w:before="40"/>
            </w:pPr>
            <w:r/>
            <w:r>
              <w:rPr>
                <w:rFonts w:ascii="Calibri" w:hAnsi="Calibri"/>
                <w:b w:val="0"/>
                <w:color w:val="222222"/>
                <w:sz w:val="20"/>
              </w:rPr>
              <w:t>Scope creep (connect everything now)</w:t>
            </w:r>
          </w:p>
        </w:tc>
        <w:tc>
          <w:tcPr>
            <w:tcW w:type="dxa" w:w="5760"/>
            <w:shd w:val="clear" w:color="auto" w:fill="EAF1F8"/>
          </w:tcPr>
          <w:p>
            <w:pPr>
              <w:spacing w:after="40" w:before="40"/>
            </w:pPr>
            <w:r/>
            <w:r>
              <w:rPr>
                <w:rFonts w:ascii="Calibri" w:hAnsi="Calibri"/>
                <w:b w:val="0"/>
                <w:color w:val="222222"/>
                <w:sz w:val="20"/>
              </w:rPr>
              <w:t>Strict POC scope; extensibility proven, full rollout phased afterwards.</w:t>
            </w:r>
          </w:p>
        </w:tc>
      </w:tr>
      <w:tr>
        <w:tc>
          <w:tcPr>
            <w:tcW w:type="dxa" w:w="3600"/>
          </w:tcPr>
          <w:p>
            <w:pPr>
              <w:spacing w:after="40" w:before="40"/>
            </w:pPr>
            <w:r/>
            <w:r>
              <w:rPr>
                <w:rFonts w:ascii="Calibri" w:hAnsi="Calibri"/>
                <w:b w:val="0"/>
                <w:color w:val="222222"/>
                <w:sz w:val="20"/>
              </w:rPr>
              <w:t>Cost surprises at scale</w:t>
            </w:r>
          </w:p>
        </w:tc>
        <w:tc>
          <w:tcPr>
            <w:tcW w:type="dxa" w:w="5760"/>
          </w:tcPr>
          <w:p>
            <w:pPr>
              <w:spacing w:after="40" w:before="40"/>
            </w:pPr>
            <w:r/>
            <w:r>
              <w:rPr>
                <w:rFonts w:ascii="Calibri" w:hAnsi="Calibri"/>
                <w:b w:val="0"/>
                <w:color w:val="222222"/>
                <w:sz w:val="20"/>
              </w:rPr>
              <w:t>Tiered models, caching, batching; cost estimate after Phase 1; cost dashboard.</w:t>
            </w:r>
          </w:p>
        </w:tc>
      </w:tr>
      <w:tr>
        <w:tc>
          <w:tcPr>
            <w:tcW w:type="dxa" w:w="3600"/>
            <w:shd w:val="clear" w:color="auto" w:fill="EAF1F8"/>
          </w:tcPr>
          <w:p>
            <w:pPr>
              <w:spacing w:after="40" w:before="40"/>
            </w:pPr>
            <w:r/>
            <w:r>
              <w:rPr>
                <w:rFonts w:ascii="Calibri" w:hAnsi="Calibri"/>
                <w:b w:val="0"/>
                <w:color w:val="222222"/>
                <w:sz w:val="20"/>
              </w:rPr>
              <w:t>Vendor / model lock-in</w:t>
            </w:r>
          </w:p>
        </w:tc>
        <w:tc>
          <w:tcPr>
            <w:tcW w:type="dxa" w:w="5760"/>
            <w:shd w:val="clear" w:color="auto" w:fill="EAF1F8"/>
          </w:tcPr>
          <w:p>
            <w:pPr>
              <w:spacing w:after="40" w:before="40"/>
            </w:pPr>
            <w:r/>
            <w:r>
              <w:rPr>
                <w:rFonts w:ascii="Calibri" w:hAnsi="Calibri"/>
                <w:b w:val="0"/>
                <w:color w:val="222222"/>
                <w:sz w:val="20"/>
              </w:rPr>
              <w:t>Model-agnostic interfaces; swappable stores, embeddings, and LLM.</w:t>
            </w:r>
          </w:p>
        </w:tc>
      </w:tr>
      <w:tr>
        <w:tc>
          <w:tcPr>
            <w:tcW w:type="dxa" w:w="3600"/>
          </w:tcPr>
          <w:p>
            <w:pPr>
              <w:spacing w:after="40" w:before="40"/>
            </w:pPr>
            <w:r/>
            <w:r>
              <w:rPr>
                <w:rFonts w:ascii="Calibri" w:hAnsi="Calibri"/>
                <w:b w:val="0"/>
                <w:color w:val="222222"/>
                <w:sz w:val="20"/>
              </w:rPr>
              <w:t>User adoption</w:t>
            </w:r>
          </w:p>
        </w:tc>
        <w:tc>
          <w:tcPr>
            <w:tcW w:type="dxa" w:w="5760"/>
          </w:tcPr>
          <w:p>
            <w:pPr>
              <w:spacing w:after="40" w:before="40"/>
            </w:pPr>
            <w:r/>
            <w:r>
              <w:rPr>
                <w:rFonts w:ascii="Calibri" w:hAnsi="Calibri"/>
                <w:b w:val="0"/>
                <w:color w:val="222222"/>
                <w:sz w:val="20"/>
              </w:rPr>
              <w:t>Polished UX; citations build trust; feedback loop; change management in rollout.</w:t>
            </w:r>
          </w:p>
        </w:tc>
      </w:tr>
    </w:tbl>
    <w:p>
      <w:pPr>
        <w:spacing w:after="80"/>
      </w:pPr>
    </w:p>
    <w:p>
      <w:pPr>
        <w:pStyle w:val="Heading2"/>
      </w:pPr>
      <w:r>
        <w:t>4.10  From POC to production</w:t>
      </w:r>
    </w:p>
    <w:p>
      <w:pPr>
        <w:spacing w:after="160"/>
      </w:pPr>
      <w:r>
        <w:rPr>
          <w:b w:val="0"/>
          <w:i w:val="0"/>
          <w:color w:val="222222"/>
          <w:sz w:val="22"/>
        </w:rPr>
        <w:t>Once the POC clears the go/no-go decision, the path to a durable, organization-wide knowledge asset is:</w:t>
      </w:r>
    </w:p>
    <w:p>
      <w:pPr>
        <w:spacing w:after="60"/>
        <w:ind w:left="432" w:hanging="432"/>
      </w:pPr>
      <w:r>
        <w:rPr>
          <w:b/>
        </w:rPr>
        <w:t>1.</w:t>
        <w:tab/>
      </w:r>
      <w:r>
        <w:t>broaden connectors and domains (configuration plus connectors), with per-source freshness and ACL policies;</w:t>
      </w:r>
    </w:p>
    <w:p>
      <w:pPr>
        <w:spacing w:after="60"/>
        <w:ind w:left="432" w:hanging="432"/>
      </w:pPr>
      <w:r>
        <w:rPr>
          <w:b/>
        </w:rPr>
        <w:t>2.</w:t>
        <w:tab/>
      </w:r>
      <w:r>
        <w:t>harden for scale — dedicated vector/keyword stores, more workers, autoscaling, multi-AZ, HA/DR, and backups;</w:t>
      </w:r>
    </w:p>
    <w:p>
      <w:pPr>
        <w:spacing w:after="60"/>
        <w:ind w:left="432" w:hanging="432"/>
      </w:pPr>
      <w:r>
        <w:rPr>
          <w:b/>
        </w:rPr>
        <w:t>3.</w:t>
        <w:tab/>
      </w:r>
      <w:r>
        <w:t>operationalize quality — continuous evaluation, regression gating, and feedback-driven improvement;</w:t>
      </w:r>
    </w:p>
    <w:p>
      <w:pPr>
        <w:spacing w:after="60"/>
        <w:ind w:left="432" w:hanging="432"/>
      </w:pPr>
      <w:r>
        <w:rPr>
          <w:b/>
        </w:rPr>
        <w:t>4.</w:t>
        <w:tab/>
      </w:r>
      <w:r>
        <w:t>expand surfaces — chat, Slack/Teams, IDE, and embedded widgets via the API-first design; and</w:t>
      </w:r>
    </w:p>
    <w:p>
      <w:pPr>
        <w:spacing w:after="60"/>
        <w:ind w:left="432" w:hanging="432"/>
      </w:pPr>
      <w:r>
        <w:rPr>
          <w:b/>
        </w:rPr>
        <w:t>5.</w:t>
        <w:tab/>
      </w:r>
      <w:r>
        <w:t>extend capabilities — comparison/table answers, multi-hop reasoning, scheduled briefings, and carefully governed agentic workflows.</w:t>
      </w:r>
    </w:p>
    <w:p>
      <w:r>
        <w:br w:type="page"/>
      </w:r>
    </w:p>
    <w:p>
      <w:pPr>
        <w:pStyle w:val="Heading1"/>
      </w:pPr>
      <w:r>
        <w:t>5.  Conclusion &amp; Recommendation</w:t>
      </w:r>
    </w:p>
    <w:p>
      <w:pPr>
        <w:spacing w:after="160"/>
      </w:pPr>
      <w:r>
        <w:rPr>
          <w:b w:val="0"/>
          <w:i w:val="0"/>
          <w:color w:val="222222"/>
          <w:sz w:val="22"/>
        </w:rPr>
        <w:t>Knowledge across the organization is valuable but fragmented, and the cost is paid every day in the manual effort of finding, reading, and reconciling documents. Atlas addresses this directly: a scalable, extensible platform that centralizes knowledge across domains and projects and lets people ask a question once and receive one clear, consolidated, cited answer — instead of reading documents one by one.</w:t>
      </w:r>
    </w:p>
    <w:p>
      <w:pPr>
        <w:spacing w:after="160"/>
      </w:pPr>
      <w:r>
        <w:rPr>
          <w:b w:val="0"/>
          <w:i w:val="0"/>
          <w:color w:val="222222"/>
          <w:sz w:val="22"/>
        </w:rPr>
        <w:t>The architecture is deliberately pragmatic: decoupled planes that scale independently, swappable components that avoid vendor lock-in, permission-aware retrieval that protects sensitive content, and a measured evaluation harness that makes answer quality a managed, observable property rather than a hope.</w:t>
      </w:r>
    </w:p>
    <w:p>
      <w:pPr>
        <w:spacing w:after="160"/>
      </w:pPr>
      <w:r>
        <w:rPr>
          <w:b/>
          <w:sz w:val="22"/>
        </w:rPr>
        <w:t xml:space="preserve">Recommendation: </w:t>
      </w:r>
      <w:r>
        <w:rPr>
          <w:b w:val="0"/>
          <w:sz w:val="22"/>
        </w:rPr>
        <w:t>proceed with the time-boxed proof of concept defined in Section 4. It is low-risk and high-signal — delivering a working demonstration, a measured quality report, and a production-ready reference architecture, and giving the client an evidence-based decision with a clear, phased path to full rollout.</w:t>
      </w:r>
    </w:p>
    <w:tbl>
      <w:tblPr>
        <w:tblW w:type="auto" w:w="0"/>
        <w:jc w:val="center"/>
        <w:tblLook w:firstColumn="1" w:firstRow="1" w:lastColumn="0" w:lastRow="0" w:noHBand="0" w:noVBand="1" w:val="04A0"/>
      </w:tblPr>
      <w:tblGrid>
        <w:gridCol w:w="9360"/>
      </w:tblGrid>
      <w:tr>
        <w:tc>
          <w:tcPr>
            <w:tcW w:type="dxa" w:w="9360"/>
            <w:shd w:val="clear" w:color="auto" w:fill="EAF1F8"/>
            <w:tcBorders>
              <w:left w:val="single" w:sz="24" w:space="0" w:color="C8A24B"/>
            </w:tcBorders>
          </w:tcPr>
          <w:p>
            <w:pPr>
              <w:spacing w:after="40" w:before="40"/>
            </w:pPr>
            <w:r>
              <w:rPr>
                <w:i/>
              </w:rPr>
            </w:r>
            <w:r>
              <w:rPr>
                <w:rFonts w:ascii="Calibri" w:hAnsi="Calibri"/>
                <w:b w:val="0"/>
                <w:color w:val="1F3A5F"/>
                <w:sz w:val="21"/>
              </w:rPr>
              <w:t>Ask once. Receive one clear, consolidated, trustworthy answer — across every domain and project.</w:t>
            </w:r>
          </w:p>
        </w:tc>
      </w:tr>
    </w:tbl>
    <w:p>
      <w:pPr>
        <w:spacing w:after="80"/>
      </w:pPr>
    </w:p>
    <w:p>
      <w:pPr>
        <w:pStyle w:val="Heading1"/>
      </w:pPr>
      <w:r>
        <w:t>Appendix A — Glossary</w:t>
      </w:r>
    </w:p>
    <w:tbl>
      <w:tblPr>
        <w:tblStyle w:val="TableGrid"/>
        <w:tblW w:type="auto" w:w="0"/>
        <w:jc w:val="center"/>
        <w:tblLayout w:type="autofit"/>
        <w:tblLook w:firstColumn="1" w:firstRow="1" w:lastColumn="0" w:lastRow="0" w:noHBand="0" w:noVBand="1" w:val="04A0"/>
      </w:tblPr>
      <w:tblGrid>
        <w:gridCol w:w="4680"/>
        <w:gridCol w:w="4680"/>
      </w:tblGrid>
      <w:tr>
        <w:tc>
          <w:tcPr>
            <w:tcW w:type="dxa" w:w="3168"/>
            <w:shd w:val="clear" w:color="auto" w:fill="1F3A5F"/>
          </w:tcPr>
          <w:p>
            <w:pPr>
              <w:spacing w:after="40" w:before="40"/>
            </w:pPr>
            <w:r/>
            <w:r>
              <w:rPr>
                <w:rFonts w:ascii="Calibri" w:hAnsi="Calibri"/>
                <w:b/>
                <w:color w:val="FFFFFF"/>
                <w:sz w:val="20"/>
              </w:rPr>
              <w:t>Term</w:t>
            </w:r>
          </w:p>
        </w:tc>
        <w:tc>
          <w:tcPr>
            <w:tcW w:type="dxa" w:w="6192"/>
            <w:shd w:val="clear" w:color="auto" w:fill="1F3A5F"/>
          </w:tcPr>
          <w:p>
            <w:pPr>
              <w:spacing w:after="40" w:before="40"/>
            </w:pPr>
            <w:r/>
            <w:r>
              <w:rPr>
                <w:rFonts w:ascii="Calibri" w:hAnsi="Calibri"/>
                <w:b/>
                <w:color w:val="FFFFFF"/>
                <w:sz w:val="20"/>
              </w:rPr>
              <w:t>Meaning</w:t>
            </w:r>
          </w:p>
        </w:tc>
      </w:tr>
      <w:tr>
        <w:tc>
          <w:tcPr>
            <w:tcW w:type="dxa" w:w="3168"/>
          </w:tcPr>
          <w:p>
            <w:pPr>
              <w:spacing w:after="40" w:before="40"/>
            </w:pPr>
            <w:r/>
            <w:r>
              <w:rPr>
                <w:rFonts w:ascii="Calibri" w:hAnsi="Calibri"/>
                <w:b w:val="0"/>
                <w:color w:val="222222"/>
                <w:sz w:val="20"/>
              </w:rPr>
              <w:t>RAG (retrieval-augmented generation)</w:t>
            </w:r>
          </w:p>
        </w:tc>
        <w:tc>
          <w:tcPr>
            <w:tcW w:type="dxa" w:w="6192"/>
          </w:tcPr>
          <w:p>
            <w:pPr>
              <w:spacing w:after="40" w:before="40"/>
            </w:pPr>
            <w:r/>
            <w:r>
              <w:rPr>
                <w:rFonts w:ascii="Calibri" w:hAnsi="Calibri"/>
                <w:b w:val="0"/>
                <w:color w:val="222222"/>
                <w:sz w:val="20"/>
              </w:rPr>
              <w:t>Retrieving relevant source passages and using a language model to synthesize a grounded answer from them.</w:t>
            </w:r>
          </w:p>
        </w:tc>
      </w:tr>
      <w:tr>
        <w:tc>
          <w:tcPr>
            <w:tcW w:type="dxa" w:w="3168"/>
            <w:shd w:val="clear" w:color="auto" w:fill="EAF1F8"/>
          </w:tcPr>
          <w:p>
            <w:pPr>
              <w:spacing w:after="40" w:before="40"/>
            </w:pPr>
            <w:r/>
            <w:r>
              <w:rPr>
                <w:rFonts w:ascii="Calibri" w:hAnsi="Calibri"/>
                <w:b w:val="0"/>
                <w:color w:val="222222"/>
                <w:sz w:val="20"/>
              </w:rPr>
              <w:t>Embedding</w:t>
            </w:r>
          </w:p>
        </w:tc>
        <w:tc>
          <w:tcPr>
            <w:tcW w:type="dxa" w:w="6192"/>
            <w:shd w:val="clear" w:color="auto" w:fill="EAF1F8"/>
          </w:tcPr>
          <w:p>
            <w:pPr>
              <w:spacing w:after="40" w:before="40"/>
            </w:pPr>
            <w:r/>
            <w:r>
              <w:rPr>
                <w:rFonts w:ascii="Calibri" w:hAnsi="Calibri"/>
                <w:b w:val="0"/>
                <w:color w:val="222222"/>
                <w:sz w:val="20"/>
              </w:rPr>
              <w:t>A numeric vector representing the meaning of text, enabling semantic similarity search.</w:t>
            </w:r>
          </w:p>
        </w:tc>
      </w:tr>
      <w:tr>
        <w:tc>
          <w:tcPr>
            <w:tcW w:type="dxa" w:w="3168"/>
          </w:tcPr>
          <w:p>
            <w:pPr>
              <w:spacing w:after="40" w:before="40"/>
            </w:pPr>
            <w:r/>
            <w:r>
              <w:rPr>
                <w:rFonts w:ascii="Calibri" w:hAnsi="Calibri"/>
                <w:b w:val="0"/>
                <w:color w:val="222222"/>
                <w:sz w:val="20"/>
              </w:rPr>
              <w:t>Vector index</w:t>
            </w:r>
          </w:p>
        </w:tc>
        <w:tc>
          <w:tcPr>
            <w:tcW w:type="dxa" w:w="6192"/>
          </w:tcPr>
          <w:p>
            <w:pPr>
              <w:spacing w:after="40" w:before="40"/>
            </w:pPr>
            <w:r/>
            <w:r>
              <w:rPr>
                <w:rFonts w:ascii="Calibri" w:hAnsi="Calibri"/>
                <w:b w:val="0"/>
                <w:color w:val="222222"/>
                <w:sz w:val="20"/>
              </w:rPr>
              <w:t>A store and search index for embeddings using approximate-nearest-neighbour algorithms.</w:t>
            </w:r>
          </w:p>
        </w:tc>
      </w:tr>
      <w:tr>
        <w:tc>
          <w:tcPr>
            <w:tcW w:type="dxa" w:w="3168"/>
            <w:shd w:val="clear" w:color="auto" w:fill="EAF1F8"/>
          </w:tcPr>
          <w:p>
            <w:pPr>
              <w:spacing w:after="40" w:before="40"/>
            </w:pPr>
            <w:r/>
            <w:r>
              <w:rPr>
                <w:rFonts w:ascii="Calibri" w:hAnsi="Calibri"/>
                <w:b w:val="0"/>
                <w:color w:val="222222"/>
                <w:sz w:val="20"/>
              </w:rPr>
              <w:t>Chunk</w:t>
            </w:r>
          </w:p>
        </w:tc>
        <w:tc>
          <w:tcPr>
            <w:tcW w:type="dxa" w:w="6192"/>
            <w:shd w:val="clear" w:color="auto" w:fill="EAF1F8"/>
          </w:tcPr>
          <w:p>
            <w:pPr>
              <w:spacing w:after="40" w:before="40"/>
            </w:pPr>
            <w:r/>
            <w:r>
              <w:rPr>
                <w:rFonts w:ascii="Calibri" w:hAnsi="Calibri"/>
                <w:b w:val="0"/>
                <w:color w:val="222222"/>
                <w:sz w:val="20"/>
              </w:rPr>
              <w:t>A bounded, structure-aware passage of a document used as the unit of retrieval and citation.</w:t>
            </w:r>
          </w:p>
        </w:tc>
      </w:tr>
      <w:tr>
        <w:tc>
          <w:tcPr>
            <w:tcW w:type="dxa" w:w="3168"/>
          </w:tcPr>
          <w:p>
            <w:pPr>
              <w:spacing w:after="40" w:before="40"/>
            </w:pPr>
            <w:r/>
            <w:r>
              <w:rPr>
                <w:rFonts w:ascii="Calibri" w:hAnsi="Calibri"/>
                <w:b w:val="0"/>
                <w:color w:val="222222"/>
                <w:sz w:val="20"/>
              </w:rPr>
              <w:t>Hybrid retrieval</w:t>
            </w:r>
          </w:p>
        </w:tc>
        <w:tc>
          <w:tcPr>
            <w:tcW w:type="dxa" w:w="6192"/>
          </w:tcPr>
          <w:p>
            <w:pPr>
              <w:spacing w:after="40" w:before="40"/>
            </w:pPr>
            <w:r/>
            <w:r>
              <w:rPr>
                <w:rFonts w:ascii="Calibri" w:hAnsi="Calibri"/>
                <w:b w:val="0"/>
                <w:color w:val="222222"/>
                <w:sz w:val="20"/>
              </w:rPr>
              <w:t>Combining semantic (vector) and keyword (BM25) search and fusing the results.</w:t>
            </w:r>
          </w:p>
        </w:tc>
      </w:tr>
      <w:tr>
        <w:tc>
          <w:tcPr>
            <w:tcW w:type="dxa" w:w="3168"/>
            <w:shd w:val="clear" w:color="auto" w:fill="EAF1F8"/>
          </w:tcPr>
          <w:p>
            <w:pPr>
              <w:spacing w:after="40" w:before="40"/>
            </w:pPr>
            <w:r/>
            <w:r>
              <w:rPr>
                <w:rFonts w:ascii="Calibri" w:hAnsi="Calibri"/>
                <w:b w:val="0"/>
                <w:color w:val="222222"/>
                <w:sz w:val="20"/>
              </w:rPr>
              <w:t>Reranker</w:t>
            </w:r>
          </w:p>
        </w:tc>
        <w:tc>
          <w:tcPr>
            <w:tcW w:type="dxa" w:w="6192"/>
            <w:shd w:val="clear" w:color="auto" w:fill="EAF1F8"/>
          </w:tcPr>
          <w:p>
            <w:pPr>
              <w:spacing w:after="40" w:before="40"/>
            </w:pPr>
            <w:r/>
            <w:r>
              <w:rPr>
                <w:rFonts w:ascii="Calibri" w:hAnsi="Calibri"/>
                <w:b w:val="0"/>
                <w:color w:val="222222"/>
                <w:sz w:val="20"/>
              </w:rPr>
              <w:t>A model that reorders retrieved candidates by their true relevance to the question.</w:t>
            </w:r>
          </w:p>
        </w:tc>
      </w:tr>
      <w:tr>
        <w:tc>
          <w:tcPr>
            <w:tcW w:type="dxa" w:w="3168"/>
          </w:tcPr>
          <w:p>
            <w:pPr>
              <w:spacing w:after="40" w:before="40"/>
            </w:pPr>
            <w:r/>
            <w:r>
              <w:rPr>
                <w:rFonts w:ascii="Calibri" w:hAnsi="Calibri"/>
                <w:b w:val="0"/>
                <w:color w:val="222222"/>
                <w:sz w:val="20"/>
              </w:rPr>
              <w:t>ACL (access-control list)</w:t>
            </w:r>
          </w:p>
        </w:tc>
        <w:tc>
          <w:tcPr>
            <w:tcW w:type="dxa" w:w="6192"/>
          </w:tcPr>
          <w:p>
            <w:pPr>
              <w:spacing w:after="40" w:before="40"/>
            </w:pPr>
            <w:r/>
            <w:r>
              <w:rPr>
                <w:rFonts w:ascii="Calibri" w:hAnsi="Calibri"/>
                <w:b w:val="0"/>
                <w:color w:val="222222"/>
                <w:sz w:val="20"/>
              </w:rPr>
              <w:t>The descriptor of who may read a document, captured at ingest and enforced at query time.</w:t>
            </w:r>
          </w:p>
        </w:tc>
      </w:tr>
      <w:tr>
        <w:tc>
          <w:tcPr>
            <w:tcW w:type="dxa" w:w="3168"/>
            <w:shd w:val="clear" w:color="auto" w:fill="EAF1F8"/>
          </w:tcPr>
          <w:p>
            <w:pPr>
              <w:spacing w:after="40" w:before="40"/>
            </w:pPr>
            <w:r/>
            <w:r>
              <w:rPr>
                <w:rFonts w:ascii="Calibri" w:hAnsi="Calibri"/>
                <w:b w:val="0"/>
                <w:color w:val="222222"/>
                <w:sz w:val="20"/>
              </w:rPr>
              <w:t>Groundedness</w:t>
            </w:r>
          </w:p>
        </w:tc>
        <w:tc>
          <w:tcPr>
            <w:tcW w:type="dxa" w:w="6192"/>
            <w:shd w:val="clear" w:color="auto" w:fill="EAF1F8"/>
          </w:tcPr>
          <w:p>
            <w:pPr>
              <w:spacing w:after="40" w:before="40"/>
            </w:pPr>
            <w:r/>
            <w:r>
              <w:rPr>
                <w:rFonts w:ascii="Calibri" w:hAnsi="Calibri"/>
                <w:b w:val="0"/>
                <w:color w:val="222222"/>
                <w:sz w:val="20"/>
              </w:rPr>
              <w:t>The degree to which an answer is supported by the retrieved source passages.</w:t>
            </w:r>
          </w:p>
        </w:tc>
      </w:tr>
      <w:tr>
        <w:tc>
          <w:tcPr>
            <w:tcW w:type="dxa" w:w="3168"/>
          </w:tcPr>
          <w:p>
            <w:pPr>
              <w:spacing w:after="40" w:before="40"/>
            </w:pPr>
            <w:r/>
            <w:r>
              <w:rPr>
                <w:rFonts w:ascii="Calibri" w:hAnsi="Calibri"/>
                <w:b w:val="0"/>
                <w:color w:val="222222"/>
                <w:sz w:val="20"/>
              </w:rPr>
              <w:t>Connector</w:t>
            </w:r>
          </w:p>
        </w:tc>
        <w:tc>
          <w:tcPr>
            <w:tcW w:type="dxa" w:w="6192"/>
          </w:tcPr>
          <w:p>
            <w:pPr>
              <w:spacing w:after="40" w:before="40"/>
            </w:pPr>
            <w:r/>
            <w:r>
              <w:rPr>
                <w:rFonts w:ascii="Calibri" w:hAnsi="Calibri"/>
                <w:b w:val="0"/>
                <w:color w:val="222222"/>
                <w:sz w:val="20"/>
              </w:rPr>
              <w:t>A pluggable component that ingests content and permissions from one source system.</w:t>
            </w:r>
          </w:p>
        </w:tc>
      </w:tr>
    </w:tbl>
    <w:p>
      <w:pPr>
        <w:spacing w:after="80"/>
      </w:pPr>
    </w:p>
    <w:sectPr w:rsidR="00FC693F" w:rsidRPr="0006063C" w:rsidSect="00034616">
      <w:footerReference w:type="default" r:id="rId15"/>
      <w:headerReference w:type="default" r:id="rId16"/>
      <w:footerReference w:type="first" r:id="rId17"/>
      <w:headerReference w:type="first" r:id="rId18"/>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right"/>
        <w:tab w:pos="9360" w:val="right"/>
      </w:tabs>
      <w:jc w:val="center"/>
    </w:pPr>
    <w:r/>
    <w:r>
      <w:rPr>
        <w:rFonts w:ascii="Calibri" w:hAnsi="Calibri"/>
        <w:color w:val="5B6470"/>
        <w:sz w:val="16"/>
      </w:rPr>
      <w:t>Atlas — Unified Knowledge Platform  ·  Technical &amp; Architectural POC</w:t>
      <w:tab/>
    </w:r>
    <w:r>
      <w:rPr>
        <w:color w:val="5B6470"/>
        <w:sz w:val="16"/>
      </w:rPr>
      <w:t xml:space="preserve">Page </w:t>
    </w:r>
    <w:r>
      <w:rPr>
        <w:sz w:val="16"/>
      </w:rPr>
      <w:fldChar w:fldCharType="begin"/>
      <w:instrText xml:space="preserve">PAGE</w:instrText>
      <w:fldChar w:fldCharType="separate"/>
      <w:t>1</w:t>
      <w:fldChar w:fldCharType="end"/>
    </w:r>
    <w:r>
      <w:rPr>
        <w:color w:val="5B6470"/>
        <w:sz w:val="16"/>
      </w:rPr>
      <w:t xml:space="preserve"> of </w:t>
    </w:r>
    <w:r>
      <w:rPr>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5B6470"/>
        <w:sz w:val="16"/>
      </w:rPr>
      <w:t>Atlas — Unified Knowledge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Light" w:hAnsi="Calibri Light"/>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Light" w:hAnsi="Calibri Light"/>
      <w:b/>
      <w:bCs/>
      <w:color w:val="2E5E8C"/>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Light" w:hAnsi="Calibri Light"/>
      <w:b/>
      <w:bCs/>
      <w:color w:val="2E5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Light" w:hAnsi="Calibri Light"/>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