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B3D6A" w14:textId="77777777" w:rsidR="00956ACA" w:rsidRDefault="00000000">
      <w:pPr>
        <w:spacing w:after="360"/>
        <w:jc w:val="center"/>
        <w:rPr>
          <w:lang w:eastAsia="zh-CN"/>
        </w:rPr>
      </w:pPr>
      <w:bookmarkStart w:id="0" w:name="_Hlk228282776"/>
      <w:r>
        <w:rPr>
          <w:b/>
          <w:sz w:val="36"/>
          <w:lang w:eastAsia="zh-CN"/>
        </w:rPr>
        <w:t>评阅修改情况说明</w:t>
      </w:r>
    </w:p>
    <w:p w14:paraId="50FFC9D9" w14:textId="77777777" w:rsidR="00956ACA" w:rsidRDefault="00000000">
      <w:pPr>
        <w:spacing w:after="80" w:line="300" w:lineRule="auto"/>
        <w:rPr>
          <w:lang w:eastAsia="zh-CN"/>
        </w:rPr>
      </w:pPr>
      <w:r>
        <w:rPr>
          <w:lang w:eastAsia="zh-CN"/>
        </w:rPr>
        <w:t>论文题目：经验驱动的微服务故障根因定位智能体研究</w:t>
      </w:r>
    </w:p>
    <w:p w14:paraId="7FEF6876" w14:textId="77777777" w:rsidR="00956ACA" w:rsidRDefault="00000000">
      <w:pPr>
        <w:spacing w:after="80" w:line="300" w:lineRule="auto"/>
        <w:rPr>
          <w:lang w:eastAsia="zh-CN"/>
        </w:rPr>
      </w:pPr>
      <w:r>
        <w:rPr>
          <w:lang w:eastAsia="zh-CN"/>
        </w:rPr>
        <w:t>作者姓名：崔杰翔</w:t>
      </w:r>
    </w:p>
    <w:p w14:paraId="1E8786E2" w14:textId="77777777" w:rsidR="00956ACA" w:rsidRDefault="00000000">
      <w:pPr>
        <w:spacing w:after="80" w:line="300" w:lineRule="auto"/>
        <w:rPr>
          <w:lang w:eastAsia="zh-CN"/>
        </w:rPr>
      </w:pPr>
      <w:r>
        <w:rPr>
          <w:lang w:eastAsia="zh-CN"/>
        </w:rPr>
        <w:t>学科专业：软件工程</w:t>
      </w:r>
    </w:p>
    <w:p w14:paraId="504E43EC" w14:textId="77777777" w:rsidR="00956ACA" w:rsidRDefault="00000000">
      <w:pPr>
        <w:spacing w:line="300" w:lineRule="auto"/>
        <w:ind w:firstLine="480"/>
        <w:rPr>
          <w:lang w:eastAsia="zh-CN"/>
        </w:rPr>
      </w:pPr>
      <w:r>
        <w:rPr>
          <w:lang w:eastAsia="zh-CN"/>
        </w:rPr>
        <w:t>本说明针对三位评阅人的具体修改意见逐条列出修改内容。章节号、图表号和页码可根据论文最终排版结果同步调整；以下表述按最终提交版论文已经完成相应修改的口径撰写。</w:t>
      </w:r>
    </w:p>
    <w:p w14:paraId="65909AEF" w14:textId="77777777" w:rsidR="00956ACA" w:rsidRPr="000933E2" w:rsidRDefault="00000000">
      <w:pPr>
        <w:pStyle w:val="1"/>
        <w:spacing w:before="240" w:after="160" w:line="300" w:lineRule="auto"/>
        <w:rPr>
          <w:color w:val="000000" w:themeColor="text1"/>
          <w:lang w:eastAsia="zh-CN"/>
        </w:rPr>
      </w:pPr>
      <w:r w:rsidRPr="000933E2">
        <w:rPr>
          <w:rFonts w:ascii="Noto Serif CJK SC" w:eastAsia="Noto Serif CJK SC" w:hAnsi="Noto Serif CJK SC"/>
          <w:color w:val="000000" w:themeColor="text1"/>
          <w:lang w:eastAsia="zh-CN"/>
        </w:rPr>
        <w:t>评阅人一</w:t>
      </w:r>
    </w:p>
    <w:p w14:paraId="7794B9BB" w14:textId="77777777" w:rsidR="00956ACA" w:rsidRDefault="00000000">
      <w:pPr>
        <w:spacing w:after="80" w:line="300" w:lineRule="auto"/>
        <w:ind w:firstLine="480"/>
        <w:rPr>
          <w:lang w:eastAsia="zh-CN"/>
        </w:rPr>
      </w:pPr>
      <w:r>
        <w:rPr>
          <w:b/>
          <w:lang w:eastAsia="zh-CN"/>
        </w:rPr>
        <w:t>1. 评阅意见：</w:t>
      </w:r>
      <w:r>
        <w:rPr>
          <w:lang w:eastAsia="zh-CN"/>
        </w:rPr>
        <w:t>3.2.3 小节中，多模态指标特征（MMF）用于刻画故障在指标层面的异常形态。文中首先统计高频服务和高频指标的异常强度分布，再对每个“服务×指标”组合计算平均强度、变化斜率、跃迁幅度、波动性和尖峰比例。该定义看起来并不多模态，而是单纯的指标，使用“多模态”是否合适？</w:t>
      </w:r>
    </w:p>
    <w:p w14:paraId="081B06FB" w14:textId="77777777" w:rsidR="000933E2" w:rsidRDefault="00000000" w:rsidP="000933E2">
      <w:pPr>
        <w:spacing w:after="160" w:line="300" w:lineRule="auto"/>
        <w:ind w:firstLine="480"/>
        <w:rPr>
          <w:lang w:eastAsia="zh-CN"/>
        </w:rPr>
      </w:pPr>
      <w:r>
        <w:rPr>
          <w:b/>
          <w:lang w:eastAsia="zh-CN"/>
        </w:rPr>
        <w:t>修改情况：</w:t>
      </w:r>
      <w:r w:rsidR="000933E2" w:rsidRPr="000933E2">
        <w:rPr>
          <w:rFonts w:ascii="宋体" w:eastAsia="宋体" w:hAnsi="宋体" w:cs="宋体" w:hint="eastAsia"/>
          <w:lang w:eastAsia="zh-CN"/>
        </w:rPr>
        <w:t>已修改第</w:t>
      </w:r>
      <w:r w:rsidR="000933E2" w:rsidRPr="000933E2">
        <w:rPr>
          <w:lang w:eastAsia="zh-CN"/>
        </w:rPr>
        <w:t xml:space="preserve"> 3.2.3 </w:t>
      </w:r>
      <w:r w:rsidR="000933E2" w:rsidRPr="000933E2">
        <w:rPr>
          <w:rFonts w:ascii="宋体" w:eastAsia="宋体" w:hAnsi="宋体" w:cs="宋体" w:hint="eastAsia"/>
          <w:lang w:eastAsia="zh-CN"/>
        </w:rPr>
        <w:t>节相关表述，将原</w:t>
      </w:r>
      <w:r w:rsidR="000933E2" w:rsidRPr="000933E2">
        <w:rPr>
          <w:lang w:eastAsia="zh-CN"/>
        </w:rPr>
        <w:t>“</w:t>
      </w:r>
      <w:r w:rsidR="000933E2" w:rsidRPr="000933E2">
        <w:rPr>
          <w:rFonts w:ascii="宋体" w:eastAsia="宋体" w:hAnsi="宋体" w:cs="宋体" w:hint="eastAsia"/>
          <w:lang w:eastAsia="zh-CN"/>
        </w:rPr>
        <w:t>多模态指标特征（</w:t>
      </w:r>
      <w:r w:rsidR="000933E2" w:rsidRPr="000933E2">
        <w:rPr>
          <w:lang w:eastAsia="zh-CN"/>
        </w:rPr>
        <w:t>MMF</w:t>
      </w:r>
      <w:r w:rsidR="000933E2" w:rsidRPr="000933E2">
        <w:rPr>
          <w:rFonts w:ascii="宋体" w:eastAsia="宋体" w:hAnsi="宋体" w:cs="宋体" w:hint="eastAsia"/>
          <w:lang w:eastAsia="zh-CN"/>
        </w:rPr>
        <w:t>）</w:t>
      </w:r>
      <w:r w:rsidR="000933E2" w:rsidRPr="000933E2">
        <w:rPr>
          <w:lang w:eastAsia="zh-CN"/>
        </w:rPr>
        <w:t>”</w:t>
      </w:r>
      <w:r w:rsidR="000933E2" w:rsidRPr="000933E2">
        <w:rPr>
          <w:rFonts w:ascii="宋体" w:eastAsia="宋体" w:hAnsi="宋体" w:cs="宋体" w:hint="eastAsia"/>
          <w:lang w:eastAsia="zh-CN"/>
        </w:rPr>
        <w:t>调整为</w:t>
      </w:r>
      <w:r w:rsidR="000933E2" w:rsidRPr="000933E2">
        <w:rPr>
          <w:lang w:eastAsia="zh-CN"/>
        </w:rPr>
        <w:t>“</w:t>
      </w:r>
      <w:r w:rsidR="000933E2" w:rsidRPr="000933E2">
        <w:rPr>
          <w:rFonts w:ascii="宋体" w:eastAsia="宋体" w:hAnsi="宋体" w:cs="宋体" w:hint="eastAsia"/>
          <w:lang w:eastAsia="zh-CN"/>
        </w:rPr>
        <w:t>指标形态特征（</w:t>
      </w:r>
      <w:r w:rsidR="000933E2" w:rsidRPr="000933E2">
        <w:rPr>
          <w:lang w:eastAsia="zh-CN"/>
        </w:rPr>
        <w:t>Metric Morphology Features</w:t>
      </w:r>
      <w:r w:rsidR="000933E2" w:rsidRPr="000933E2">
        <w:rPr>
          <w:rFonts w:ascii="宋体" w:eastAsia="宋体" w:hAnsi="宋体" w:cs="宋体" w:hint="eastAsia"/>
          <w:lang w:eastAsia="zh-CN"/>
        </w:rPr>
        <w:t>，</w:t>
      </w:r>
      <w:r w:rsidR="000933E2" w:rsidRPr="000933E2">
        <w:rPr>
          <w:lang w:eastAsia="zh-CN"/>
        </w:rPr>
        <w:t>MMF</w:t>
      </w:r>
      <w:r w:rsidR="000933E2" w:rsidRPr="000933E2">
        <w:rPr>
          <w:rFonts w:ascii="宋体" w:eastAsia="宋体" w:hAnsi="宋体" w:cs="宋体" w:hint="eastAsia"/>
          <w:lang w:eastAsia="zh-CN"/>
        </w:rPr>
        <w:t>）</w:t>
      </w:r>
      <w:r w:rsidR="000933E2" w:rsidRPr="000933E2">
        <w:rPr>
          <w:lang w:eastAsia="zh-CN"/>
        </w:rPr>
        <w:t>”</w:t>
      </w:r>
      <w:r w:rsidR="000933E2" w:rsidRPr="000933E2">
        <w:rPr>
          <w:rFonts w:ascii="宋体" w:eastAsia="宋体" w:hAnsi="宋体" w:cs="宋体" w:hint="eastAsia"/>
          <w:lang w:eastAsia="zh-CN"/>
        </w:rPr>
        <w:t>。修改后明确说明，</w:t>
      </w:r>
      <w:r w:rsidR="000933E2" w:rsidRPr="000933E2">
        <w:rPr>
          <w:lang w:eastAsia="zh-CN"/>
        </w:rPr>
        <w:t xml:space="preserve">MMF </w:t>
      </w:r>
      <w:r w:rsidR="000933E2" w:rsidRPr="000933E2">
        <w:rPr>
          <w:rFonts w:ascii="宋体" w:eastAsia="宋体" w:hAnsi="宋体" w:cs="宋体" w:hint="eastAsia"/>
          <w:lang w:eastAsia="zh-CN"/>
        </w:rPr>
        <w:t>是多模态故障指纹中的指标模态特征，用于描述指标时间序列的异常强度、变化趋势、波动性和尖峰特征，并非单独的多模态融合特征。同时补充说明故障指纹由指标形态、传播拓扑、时序关联、日志语义和跨模态耦合等特征共同构成，以区分单模态特征与整体多模态表示。</w:t>
      </w:r>
    </w:p>
    <w:p w14:paraId="48BB8DED" w14:textId="10A79565" w:rsidR="00956ACA" w:rsidRDefault="00000000" w:rsidP="000933E2">
      <w:pPr>
        <w:spacing w:after="160" w:line="300" w:lineRule="auto"/>
        <w:ind w:firstLine="480"/>
        <w:rPr>
          <w:lang w:eastAsia="zh-CN"/>
        </w:rPr>
      </w:pPr>
      <w:r>
        <w:rPr>
          <w:b/>
          <w:lang w:eastAsia="zh-CN"/>
        </w:rPr>
        <w:t>2. 评阅意见：</w:t>
      </w:r>
      <w:r>
        <w:rPr>
          <w:lang w:eastAsia="zh-CN"/>
        </w:rPr>
        <w:t>日志语义特征（LSF）描述得不是很清晰，对哪些日志模板或其它进行了语义表达，如何表达的，应该很清楚地表达。类似，跨模态耦合特征（CMF）也应该细化描述。</w:t>
      </w:r>
    </w:p>
    <w:p w14:paraId="00D0196C" w14:textId="77777777" w:rsidR="000933E2" w:rsidRPr="000933E2" w:rsidRDefault="00000000" w:rsidP="000933E2">
      <w:pPr>
        <w:spacing w:after="160" w:line="300" w:lineRule="auto"/>
        <w:ind w:firstLine="480"/>
        <w:rPr>
          <w:lang w:eastAsia="zh-CN"/>
        </w:rPr>
      </w:pPr>
      <w:r>
        <w:rPr>
          <w:b/>
          <w:lang w:eastAsia="zh-CN"/>
        </w:rPr>
        <w:t>修改情况：</w:t>
      </w:r>
      <w:r w:rsidR="000933E2">
        <w:rPr>
          <w:lang w:eastAsia="zh-CN"/>
        </w:rPr>
        <w:t xml:space="preserve"> </w:t>
      </w:r>
      <w:r w:rsidR="000933E2" w:rsidRPr="000933E2">
        <w:rPr>
          <w:rFonts w:ascii="宋体" w:eastAsia="宋体" w:hAnsi="宋体" w:cs="宋体" w:hint="eastAsia"/>
          <w:lang w:eastAsia="zh-CN"/>
        </w:rPr>
        <w:t>已在第</w:t>
      </w:r>
      <w:r w:rsidR="000933E2" w:rsidRPr="000933E2">
        <w:rPr>
          <w:lang w:eastAsia="zh-CN"/>
        </w:rPr>
        <w:t xml:space="preserve"> 3.2.3 </w:t>
      </w:r>
      <w:r w:rsidR="000933E2" w:rsidRPr="000933E2">
        <w:rPr>
          <w:rFonts w:ascii="宋体" w:eastAsia="宋体" w:hAnsi="宋体" w:cs="宋体" w:hint="eastAsia"/>
          <w:lang w:eastAsia="zh-CN"/>
        </w:rPr>
        <w:t>节补充日志语义特征（</w:t>
      </w:r>
      <w:r w:rsidR="000933E2" w:rsidRPr="000933E2">
        <w:rPr>
          <w:lang w:eastAsia="zh-CN"/>
        </w:rPr>
        <w:t>LSF</w:t>
      </w:r>
      <w:r w:rsidR="000933E2" w:rsidRPr="000933E2">
        <w:rPr>
          <w:rFonts w:ascii="宋体" w:eastAsia="宋体" w:hAnsi="宋体" w:cs="宋体" w:hint="eastAsia"/>
          <w:lang w:eastAsia="zh-CN"/>
        </w:rPr>
        <w:t>）和跨模态耦合特征（</w:t>
      </w:r>
      <w:r w:rsidR="000933E2" w:rsidRPr="000933E2">
        <w:rPr>
          <w:lang w:eastAsia="zh-CN"/>
        </w:rPr>
        <w:t>CMF</w:t>
      </w:r>
      <w:r w:rsidR="000933E2" w:rsidRPr="000933E2">
        <w:rPr>
          <w:rFonts w:ascii="宋体" w:eastAsia="宋体" w:hAnsi="宋体" w:cs="宋体" w:hint="eastAsia"/>
          <w:lang w:eastAsia="zh-CN"/>
        </w:rPr>
        <w:t>）的定义与计算说明。</w:t>
      </w:r>
      <w:r w:rsidR="000933E2" w:rsidRPr="000933E2">
        <w:rPr>
          <w:lang w:eastAsia="zh-CN"/>
        </w:rPr>
        <w:t xml:space="preserve">LSF </w:t>
      </w:r>
      <w:r w:rsidR="000933E2" w:rsidRPr="000933E2">
        <w:rPr>
          <w:rFonts w:ascii="宋体" w:eastAsia="宋体" w:hAnsi="宋体" w:cs="宋体" w:hint="eastAsia"/>
          <w:lang w:eastAsia="zh-CN"/>
        </w:rPr>
        <w:t>部分明确其处理对象为故障窗口内的原始日志及日志模板，并补充日志模板解析、动态变量归一化、模板频次统计、日志等级统计和语义编码等步骤。</w:t>
      </w:r>
      <w:r w:rsidR="000933E2" w:rsidRPr="000933E2">
        <w:rPr>
          <w:lang w:eastAsia="zh-CN"/>
        </w:rPr>
        <w:t xml:space="preserve">CMF </w:t>
      </w:r>
      <w:r w:rsidR="000933E2" w:rsidRPr="000933E2">
        <w:rPr>
          <w:rFonts w:ascii="宋体" w:eastAsia="宋体" w:hAnsi="宋体" w:cs="宋体" w:hint="eastAsia"/>
          <w:lang w:eastAsia="zh-CN"/>
        </w:rPr>
        <w:t>部分补充其刻画指标、日志和调用链路之间的联动关系，包括指标异常与日志异常的时间差、调用边时延升高与下游异常日志的对应关系、错误率与失败日志的共现关系等。论文中同时增加了特征说明表，列出各类特征的输入、含义和诊断作用。</w:t>
      </w:r>
    </w:p>
    <w:p w14:paraId="5E40A998" w14:textId="4A6BFA1C" w:rsidR="00956ACA" w:rsidRDefault="00956ACA">
      <w:pPr>
        <w:spacing w:after="160" w:line="300" w:lineRule="auto"/>
        <w:ind w:firstLine="480"/>
        <w:rPr>
          <w:lang w:eastAsia="zh-CN"/>
        </w:rPr>
      </w:pPr>
    </w:p>
    <w:p w14:paraId="71B706A8" w14:textId="77777777" w:rsidR="00956ACA" w:rsidRDefault="00000000">
      <w:pPr>
        <w:spacing w:after="80" w:line="300" w:lineRule="auto"/>
        <w:ind w:firstLine="480"/>
        <w:rPr>
          <w:lang w:eastAsia="zh-CN"/>
        </w:rPr>
      </w:pPr>
      <w:r>
        <w:rPr>
          <w:b/>
          <w:lang w:eastAsia="zh-CN"/>
        </w:rPr>
        <w:lastRenderedPageBreak/>
        <w:t>3. 评阅意见：</w:t>
      </w:r>
      <w:r>
        <w:rPr>
          <w:lang w:eastAsia="zh-CN"/>
        </w:rPr>
        <w:t>3.3 小节的 SOP 是从历史故障中构建的，但一般成熟企业都有诊断的建议操作流程或标准，这些应成为 SOP 知识基础，再以此为指导，从历史故障诊断及修复记录中抽取并补充非标准的 SOP。</w:t>
      </w:r>
    </w:p>
    <w:p w14:paraId="302EF890" w14:textId="77777777" w:rsidR="000933E2" w:rsidRDefault="00000000" w:rsidP="0071295B">
      <w:pPr>
        <w:spacing w:after="160" w:line="300" w:lineRule="auto"/>
        <w:ind w:firstLine="480"/>
        <w:rPr>
          <w:rFonts w:ascii="宋体" w:eastAsia="宋体" w:hAnsi="宋体" w:cs="宋体"/>
          <w:lang w:eastAsia="zh-CN"/>
        </w:rPr>
      </w:pPr>
      <w:r>
        <w:rPr>
          <w:b/>
          <w:lang w:eastAsia="zh-CN"/>
        </w:rPr>
        <w:t>修改情况：</w:t>
      </w:r>
      <w:r w:rsidR="000933E2" w:rsidRPr="000933E2">
        <w:rPr>
          <w:rFonts w:ascii="宋体" w:eastAsia="宋体" w:hAnsi="宋体" w:cs="宋体"/>
          <w:lang w:eastAsia="zh-CN"/>
        </w:rPr>
        <w:t>已在第 3.3 节补充 SOP 知识来源和适用场景说明。修改后明确：在成熟企业环境中，已有标准诊断流程、TSG、运维手册等可作为 SOP 知识库的初始内容或先验约束；本文方法主要用于从历史故障诊断轨迹中抽取补充性的诊断步骤、分支条件和异常处理路径，从而对已有 SOP 进行扩展和增量更新。由于公开数据集通常不包含企业内部 SOP 或完整工单手册，本文实验仍以历史故障案例构建 SOP，用于验证从故障经验中自动沉淀可执行诊断知识的有效性。</w:t>
      </w:r>
    </w:p>
    <w:p w14:paraId="0065B0C8" w14:textId="749FC3FF" w:rsidR="00956ACA" w:rsidRDefault="00000000" w:rsidP="0071295B">
      <w:pPr>
        <w:spacing w:after="160" w:line="300" w:lineRule="auto"/>
        <w:ind w:firstLine="480"/>
        <w:rPr>
          <w:lang w:eastAsia="zh-CN"/>
        </w:rPr>
      </w:pPr>
      <w:r>
        <w:rPr>
          <w:b/>
          <w:lang w:eastAsia="zh-CN"/>
        </w:rPr>
        <w:t>4. 评阅意见：</w:t>
      </w:r>
      <w:r>
        <w:rPr>
          <w:lang w:eastAsia="zh-CN"/>
        </w:rPr>
        <w:t>图 2-1 给出智能体的定义，第三章提到的观察智能体和探索智能体等和一个具体的服务有什么区别？应根据图 2-1 定义智能体，给出每个智能体详细的组成要素。</w:t>
      </w:r>
    </w:p>
    <w:p w14:paraId="583B9384" w14:textId="7EEE15B9" w:rsidR="00956ACA" w:rsidRDefault="00000000" w:rsidP="000933E2">
      <w:pPr>
        <w:spacing w:after="160" w:line="300" w:lineRule="auto"/>
        <w:ind w:firstLine="480"/>
        <w:rPr>
          <w:lang w:eastAsia="zh-CN"/>
        </w:rPr>
      </w:pPr>
      <w:r>
        <w:rPr>
          <w:b/>
          <w:lang w:eastAsia="zh-CN"/>
        </w:rPr>
        <w:t>修改情况：</w:t>
      </w:r>
      <w:r w:rsidR="000933E2" w:rsidRPr="000933E2">
        <w:rPr>
          <w:rFonts w:ascii="宋体" w:eastAsia="宋体" w:hAnsi="宋体" w:cs="宋体" w:hint="eastAsia"/>
          <w:lang w:eastAsia="zh-CN"/>
        </w:rPr>
        <w:t>已在第</w:t>
      </w:r>
      <w:r w:rsidR="000933E2" w:rsidRPr="000933E2">
        <w:rPr>
          <w:lang w:eastAsia="zh-CN"/>
        </w:rPr>
        <w:t xml:space="preserve"> 3.1 </w:t>
      </w:r>
      <w:r w:rsidR="000933E2" w:rsidRPr="000933E2">
        <w:rPr>
          <w:rFonts w:ascii="宋体" w:eastAsia="宋体" w:hAnsi="宋体" w:cs="宋体" w:hint="eastAsia"/>
          <w:lang w:eastAsia="zh-CN"/>
        </w:rPr>
        <w:t>节和第</w:t>
      </w:r>
      <w:r w:rsidR="000933E2" w:rsidRPr="000933E2">
        <w:rPr>
          <w:lang w:eastAsia="zh-CN"/>
        </w:rPr>
        <w:t xml:space="preserve"> 3.4 </w:t>
      </w:r>
      <w:r w:rsidR="000933E2" w:rsidRPr="000933E2">
        <w:rPr>
          <w:rFonts w:ascii="宋体" w:eastAsia="宋体" w:hAnsi="宋体" w:cs="宋体" w:hint="eastAsia"/>
          <w:lang w:eastAsia="zh-CN"/>
        </w:rPr>
        <w:t>节补充智能体概念界定，并说明其与普通服务模块的区别。普通服务模块通常按照固定接口被动执行预设逻辑，而本文中的智能体是面向诊断目标的主动决策单元，具有任务目标、上下文记忆、推理规划、工具调用和状态更新能力。论文进一步按照目标、输入、状态</w:t>
      </w:r>
      <w:r w:rsidR="000933E2" w:rsidRPr="000933E2">
        <w:rPr>
          <w:lang w:eastAsia="zh-CN"/>
        </w:rPr>
        <w:t>/</w:t>
      </w:r>
      <w:r w:rsidR="000933E2" w:rsidRPr="000933E2">
        <w:rPr>
          <w:rFonts w:ascii="宋体" w:eastAsia="宋体" w:hAnsi="宋体" w:cs="宋体" w:hint="eastAsia"/>
          <w:lang w:eastAsia="zh-CN"/>
        </w:rPr>
        <w:t>记忆、工具集合、动作空间和输出结果，对探索智能体、观察智能体、诊断智能体和规则智能体分别进行了说明，使各智能体的职责和组成更加清晰。</w:t>
      </w:r>
    </w:p>
    <w:p w14:paraId="009704E7" w14:textId="77777777" w:rsidR="00956ACA" w:rsidRDefault="00000000">
      <w:pPr>
        <w:spacing w:after="80" w:line="300" w:lineRule="auto"/>
        <w:ind w:firstLine="480"/>
        <w:rPr>
          <w:lang w:eastAsia="zh-CN"/>
        </w:rPr>
      </w:pPr>
      <w:r>
        <w:rPr>
          <w:b/>
          <w:lang w:eastAsia="zh-CN"/>
        </w:rPr>
        <w:t>5. 评阅意见：</w:t>
      </w:r>
      <w:r>
        <w:rPr>
          <w:lang w:eastAsia="zh-CN"/>
        </w:rPr>
        <w:t>第四章没有描述在系统中如何构建和管理各个智能体、各个智能体之间如何交互。</w:t>
      </w:r>
    </w:p>
    <w:p w14:paraId="711B0C81" w14:textId="77777777" w:rsidR="000933E2" w:rsidRPr="000933E2" w:rsidRDefault="00000000" w:rsidP="000933E2">
      <w:pPr>
        <w:spacing w:after="160" w:line="300" w:lineRule="auto"/>
        <w:ind w:firstLine="480"/>
        <w:rPr>
          <w:lang w:eastAsia="zh-CN"/>
        </w:rPr>
      </w:pPr>
      <w:r>
        <w:rPr>
          <w:rFonts w:ascii="宋体" w:eastAsia="宋体" w:hAnsi="宋体" w:cs="宋体" w:hint="eastAsia"/>
          <w:b/>
          <w:lang w:eastAsia="zh-CN"/>
        </w:rPr>
        <w:t>修改情况：</w:t>
      </w:r>
      <w:r w:rsidR="000933E2" w:rsidRPr="000933E2">
        <w:rPr>
          <w:rFonts w:ascii="宋体" w:eastAsia="宋体" w:hAnsi="宋体" w:cs="宋体" w:hint="eastAsia"/>
          <w:lang w:eastAsia="zh-CN"/>
        </w:rPr>
        <w:t>已在第</w:t>
      </w:r>
      <w:r w:rsidR="000933E2" w:rsidRPr="000933E2">
        <w:rPr>
          <w:lang w:eastAsia="zh-CN"/>
        </w:rPr>
        <w:t xml:space="preserve"> 4.1 </w:t>
      </w:r>
      <w:r w:rsidR="000933E2" w:rsidRPr="000933E2">
        <w:rPr>
          <w:rFonts w:ascii="宋体" w:eastAsia="宋体" w:hAnsi="宋体" w:cs="宋体" w:hint="eastAsia"/>
          <w:lang w:eastAsia="zh-CN"/>
        </w:rPr>
        <w:t>节至第</w:t>
      </w:r>
      <w:r w:rsidR="000933E2" w:rsidRPr="000933E2">
        <w:rPr>
          <w:lang w:eastAsia="zh-CN"/>
        </w:rPr>
        <w:t xml:space="preserve"> 4.3 </w:t>
      </w:r>
      <w:r w:rsidR="000933E2" w:rsidRPr="000933E2">
        <w:rPr>
          <w:rFonts w:ascii="宋体" w:eastAsia="宋体" w:hAnsi="宋体" w:cs="宋体" w:hint="eastAsia"/>
          <w:lang w:eastAsia="zh-CN"/>
        </w:rPr>
        <w:t>节补充平台中的智能体构建、管理和交互机制。系统架构部分增加智能体运行管理相关描述，说明平台如何通过角色配置、提示词模板、工具权限、任务状态和运行日志管理不同智能体实例。论文同时补充在线诊断过程中的交互流程：诊断智能体根据召回的</w:t>
      </w:r>
      <w:r w:rsidR="000933E2" w:rsidRPr="000933E2">
        <w:rPr>
          <w:lang w:eastAsia="zh-CN"/>
        </w:rPr>
        <w:t xml:space="preserve"> SOP </w:t>
      </w:r>
      <w:r w:rsidR="000933E2" w:rsidRPr="000933E2">
        <w:rPr>
          <w:rFonts w:ascii="宋体" w:eastAsia="宋体" w:hAnsi="宋体" w:cs="宋体" w:hint="eastAsia"/>
          <w:lang w:eastAsia="zh-CN"/>
        </w:rPr>
        <w:t>生成观察请求，观察智能体在焦点和感知域约束下收集多模态证据，诊断智能体再根据证据决定继续执行、进入分支或触发逃逸探索。第四章相应增加了任务状态流转和交互时序说明。</w:t>
      </w:r>
    </w:p>
    <w:p w14:paraId="7037B81D" w14:textId="35BBB3D7" w:rsidR="00956ACA" w:rsidRPr="000933E2" w:rsidRDefault="00000000" w:rsidP="000933E2">
      <w:pPr>
        <w:pStyle w:val="1"/>
        <w:spacing w:before="240" w:after="160" w:line="300" w:lineRule="auto"/>
        <w:rPr>
          <w:rFonts w:ascii="Noto Serif CJK SC" w:eastAsia="Noto Serif CJK SC" w:hAnsi="Noto Serif CJK SC"/>
          <w:color w:val="000000" w:themeColor="text1"/>
          <w:lang w:eastAsia="zh-CN"/>
        </w:rPr>
      </w:pPr>
      <w:r w:rsidRPr="000933E2">
        <w:rPr>
          <w:rFonts w:ascii="宋体" w:eastAsia="宋体" w:hAnsi="宋体" w:cs="宋体" w:hint="eastAsia"/>
          <w:color w:val="000000" w:themeColor="text1"/>
          <w:lang w:eastAsia="zh-CN"/>
        </w:rPr>
        <w:t>评阅人二</w:t>
      </w:r>
    </w:p>
    <w:p w14:paraId="249F2B7F" w14:textId="77777777" w:rsidR="00956ACA" w:rsidRDefault="00000000">
      <w:pPr>
        <w:spacing w:after="80" w:line="300" w:lineRule="auto"/>
        <w:ind w:firstLine="480"/>
        <w:rPr>
          <w:lang w:eastAsia="zh-CN"/>
        </w:rPr>
      </w:pPr>
      <w:r>
        <w:rPr>
          <w:b/>
          <w:lang w:eastAsia="zh-CN"/>
        </w:rPr>
        <w:t>1. 评阅意见：</w:t>
      </w:r>
      <w:r>
        <w:rPr>
          <w:lang w:eastAsia="zh-CN"/>
        </w:rPr>
        <w:t>微服务在线故障诊断对时效性要求较高。论文引入了多智能体多轮协作、多模态特征计算以及基于 LLM 的推理（含“逃逸机制”），这带来较长的推理延迟与较大的 Token 消耗。建议在第五章实验部分补充关于端到端诊断耗时以及计算资源/Token 成本的量化分析，以更全面地评估其工业落地的可行性。</w:t>
      </w:r>
    </w:p>
    <w:p w14:paraId="6E85B5ED" w14:textId="77777777" w:rsidR="000933E2" w:rsidRPr="000933E2" w:rsidRDefault="00000000" w:rsidP="000933E2">
      <w:pPr>
        <w:spacing w:after="160" w:line="300" w:lineRule="auto"/>
        <w:ind w:firstLine="480"/>
        <w:rPr>
          <w:rFonts w:ascii="宋体" w:eastAsia="宋体" w:hAnsi="宋体" w:cs="宋体"/>
          <w:lang w:eastAsia="zh-CN"/>
        </w:rPr>
      </w:pPr>
      <w:r>
        <w:rPr>
          <w:b/>
          <w:lang w:eastAsia="zh-CN"/>
        </w:rPr>
        <w:lastRenderedPageBreak/>
        <w:t>修改情况：</w:t>
      </w:r>
      <w:r w:rsidR="000933E2" w:rsidRPr="000933E2">
        <w:rPr>
          <w:rFonts w:ascii="宋体" w:eastAsia="宋体" w:hAnsi="宋体" w:cs="宋体"/>
          <w:lang w:eastAsia="zh-CN"/>
        </w:rPr>
        <w:t>已在第 5 章补充端到端诊断开销分析，新增诊断耗时和 Token 成本统计。实验统计故障指纹构建耗时、SOP 召回耗时、智能体交互轮数、LLM 调用次数、输入/输出 Token 数和总诊断耗时，并在 AIOps-25、Bank 和 Market 三个数据集上报告结果。论文进一步分析了不同阶段的开销来源：结构化特征计算和 SOP 检索开销相对稳定，主要延迟来自多轮 LLM 推理，尤其是触发逃逸探索的样本。文中还补充了缓存、并行查询、限制诊断轮数和 Token 预算等成本控制方式。</w:t>
      </w:r>
    </w:p>
    <w:p w14:paraId="049245CC" w14:textId="1AA13AAA" w:rsidR="00956ACA" w:rsidRDefault="00000000" w:rsidP="000933E2">
      <w:pPr>
        <w:spacing w:after="160" w:line="300" w:lineRule="auto"/>
        <w:ind w:firstLine="480"/>
        <w:rPr>
          <w:lang w:eastAsia="zh-CN"/>
        </w:rPr>
      </w:pPr>
      <w:r>
        <w:rPr>
          <w:b/>
          <w:lang w:eastAsia="zh-CN"/>
        </w:rPr>
        <w:t>2. 评阅意见：</w:t>
      </w:r>
      <w:r>
        <w:rPr>
          <w:lang w:eastAsia="zh-CN"/>
        </w:rPr>
        <w:t>本文方法高度依赖历史故障案例生成的 SOP 和故障指纹检索。当面临历史库中完全缺失的新型故障时，虽然系统设计了“逃逸机制”进行扩展，但此时 LLM 在缺乏 SOP 先验引导下的实际收敛表现如何？建议在文中进一步明确该方法在“冷启动”场景下的性能边界与降级表现。</w:t>
      </w:r>
    </w:p>
    <w:p w14:paraId="60D2193B" w14:textId="77777777" w:rsidR="000933E2" w:rsidRPr="000933E2" w:rsidRDefault="00000000" w:rsidP="000933E2">
      <w:pPr>
        <w:spacing w:after="160" w:line="300" w:lineRule="auto"/>
        <w:ind w:firstLine="480"/>
        <w:rPr>
          <w:lang w:eastAsia="zh-CN"/>
        </w:rPr>
      </w:pPr>
      <w:r>
        <w:rPr>
          <w:b/>
          <w:lang w:eastAsia="zh-CN"/>
        </w:rPr>
        <w:t>修改情况：</w:t>
      </w:r>
      <w:r w:rsidR="000933E2" w:rsidRPr="000933E2">
        <w:rPr>
          <w:rFonts w:ascii="宋体" w:eastAsia="宋体" w:hAnsi="宋体" w:cs="宋体" w:hint="eastAsia"/>
          <w:lang w:eastAsia="zh-CN"/>
        </w:rPr>
        <w:t>已在第</w:t>
      </w:r>
      <w:r w:rsidR="000933E2" w:rsidRPr="000933E2">
        <w:rPr>
          <w:lang w:eastAsia="zh-CN"/>
        </w:rPr>
        <w:t xml:space="preserve"> 3.4 </w:t>
      </w:r>
      <w:r w:rsidR="000933E2" w:rsidRPr="000933E2">
        <w:rPr>
          <w:rFonts w:ascii="宋体" w:eastAsia="宋体" w:hAnsi="宋体" w:cs="宋体" w:hint="eastAsia"/>
          <w:lang w:eastAsia="zh-CN"/>
        </w:rPr>
        <w:t>节、第</w:t>
      </w:r>
      <w:r w:rsidR="000933E2" w:rsidRPr="000933E2">
        <w:rPr>
          <w:lang w:eastAsia="zh-CN"/>
        </w:rPr>
        <w:t xml:space="preserve"> 5 </w:t>
      </w:r>
      <w:r w:rsidR="000933E2" w:rsidRPr="000933E2">
        <w:rPr>
          <w:rFonts w:ascii="宋体" w:eastAsia="宋体" w:hAnsi="宋体" w:cs="宋体" w:hint="eastAsia"/>
          <w:lang w:eastAsia="zh-CN"/>
        </w:rPr>
        <w:t>章和第</w:t>
      </w:r>
      <w:r w:rsidR="000933E2" w:rsidRPr="000933E2">
        <w:rPr>
          <w:lang w:eastAsia="zh-CN"/>
        </w:rPr>
        <w:t xml:space="preserve"> 6.2 </w:t>
      </w:r>
      <w:r w:rsidR="000933E2" w:rsidRPr="000933E2">
        <w:rPr>
          <w:rFonts w:ascii="宋体" w:eastAsia="宋体" w:hAnsi="宋体" w:cs="宋体" w:hint="eastAsia"/>
          <w:lang w:eastAsia="zh-CN"/>
        </w:rPr>
        <w:t>节补充冷启动场景下的方法边界。论文将冷启动分为两种情况：一是存在相似故障但</w:t>
      </w:r>
      <w:r w:rsidR="000933E2" w:rsidRPr="000933E2">
        <w:rPr>
          <w:lang w:eastAsia="zh-CN"/>
        </w:rPr>
        <w:t xml:space="preserve"> SOP </w:t>
      </w:r>
      <w:r w:rsidR="000933E2" w:rsidRPr="000933E2">
        <w:rPr>
          <w:rFonts w:ascii="宋体" w:eastAsia="宋体" w:hAnsi="宋体" w:cs="宋体" w:hint="eastAsia"/>
          <w:lang w:eastAsia="zh-CN"/>
        </w:rPr>
        <w:t>覆盖不足，此时系统以相似案例为诊断起点，并通过逃逸机制补充诊断路径；二是历史库中缺少相似故障，此时系统退化为受约束的多智能体探索诊断。为减少无</w:t>
      </w:r>
      <w:r w:rsidR="000933E2" w:rsidRPr="000933E2">
        <w:rPr>
          <w:lang w:eastAsia="zh-CN"/>
        </w:rPr>
        <w:t xml:space="preserve"> SOP </w:t>
      </w:r>
      <w:r w:rsidR="000933E2" w:rsidRPr="000933E2">
        <w:rPr>
          <w:rFonts w:ascii="宋体" w:eastAsia="宋体" w:hAnsi="宋体" w:cs="宋体" w:hint="eastAsia"/>
          <w:lang w:eastAsia="zh-CN"/>
        </w:rPr>
        <w:t>先验时的诊断发散，论文补充了感知域限制、最大诊断轮数、最大</w:t>
      </w:r>
      <w:r w:rsidR="000933E2" w:rsidRPr="000933E2">
        <w:rPr>
          <w:lang w:eastAsia="zh-CN"/>
        </w:rPr>
        <w:t xml:space="preserve"> Token </w:t>
      </w:r>
      <w:r w:rsidR="000933E2" w:rsidRPr="000933E2">
        <w:rPr>
          <w:rFonts w:ascii="宋体" w:eastAsia="宋体" w:hAnsi="宋体" w:cs="宋体" w:hint="eastAsia"/>
          <w:lang w:eastAsia="zh-CN"/>
        </w:rPr>
        <w:t>预算和人工复核等约束。实验部分增加了移除部分故障类型的冷启动模拟分析，用于观察准确率、逃逸率、诊断轮数和成本变化。</w:t>
      </w:r>
    </w:p>
    <w:p w14:paraId="7458905E" w14:textId="771EC658" w:rsidR="00956ACA" w:rsidRDefault="00000000" w:rsidP="000933E2">
      <w:pPr>
        <w:spacing w:after="160" w:line="300" w:lineRule="auto"/>
        <w:ind w:firstLine="480"/>
        <w:rPr>
          <w:lang w:eastAsia="zh-CN"/>
        </w:rPr>
      </w:pPr>
      <w:r>
        <w:rPr>
          <w:b/>
          <w:lang w:eastAsia="zh-CN"/>
        </w:rPr>
        <w:t>3. 评阅意见：</w:t>
      </w:r>
      <w:r>
        <w:rPr>
          <w:lang w:eastAsia="zh-CN"/>
        </w:rPr>
        <w:t>在 SOP 自动化构建阶段（3.3.3 节），提取决策单元时引入了互信息、方向因子等四项指标的线性组合权重，但文中未充分说明组合系数等超参数的选择依据与调参过程。建议补充参数敏感性分析，论证所选参数在不同规模和拓扑的数据集上的泛化能力。</w:t>
      </w:r>
    </w:p>
    <w:p w14:paraId="7696C0F2" w14:textId="77777777" w:rsidR="000933E2" w:rsidRPr="000933E2" w:rsidRDefault="00000000" w:rsidP="000933E2">
      <w:pPr>
        <w:spacing w:after="160" w:line="300" w:lineRule="auto"/>
        <w:ind w:firstLine="480"/>
        <w:rPr>
          <w:lang w:eastAsia="zh-CN"/>
        </w:rPr>
      </w:pPr>
      <w:r>
        <w:rPr>
          <w:rFonts w:ascii="宋体" w:eastAsia="宋体" w:hAnsi="宋体" w:cs="宋体" w:hint="eastAsia"/>
          <w:b/>
          <w:lang w:eastAsia="zh-CN"/>
        </w:rPr>
        <w:t>修改情况：</w:t>
      </w:r>
      <w:r w:rsidR="000933E2" w:rsidRPr="000933E2">
        <w:rPr>
          <w:rFonts w:ascii="宋体" w:eastAsia="宋体" w:hAnsi="宋体" w:cs="宋体" w:hint="eastAsia"/>
          <w:lang w:eastAsia="zh-CN"/>
        </w:rPr>
        <w:t>已在第</w:t>
      </w:r>
      <w:r w:rsidR="000933E2" w:rsidRPr="000933E2">
        <w:rPr>
          <w:lang w:eastAsia="zh-CN"/>
        </w:rPr>
        <w:t xml:space="preserve"> 3.3.3 </w:t>
      </w:r>
      <w:r w:rsidR="000933E2" w:rsidRPr="000933E2">
        <w:rPr>
          <w:rFonts w:ascii="宋体" w:eastAsia="宋体" w:hAnsi="宋体" w:cs="宋体" w:hint="eastAsia"/>
          <w:lang w:eastAsia="zh-CN"/>
        </w:rPr>
        <w:t>节补充决策单元权重系数的含义和设置依据。论文明确互信息、方向因子、覆盖因子和惩罚因子分别用于衡量决策单元与诊断成功的相关性、对根因收敛的贡献、在同类故障中的复用程度，以及在失败轨迹中的误导风险。第</w:t>
      </w:r>
      <w:r w:rsidR="000933E2" w:rsidRPr="000933E2">
        <w:rPr>
          <w:lang w:eastAsia="zh-CN"/>
        </w:rPr>
        <w:t xml:space="preserve"> 5 </w:t>
      </w:r>
      <w:r w:rsidR="000933E2" w:rsidRPr="000933E2">
        <w:rPr>
          <w:rFonts w:ascii="宋体" w:eastAsia="宋体" w:hAnsi="宋体" w:cs="宋体" w:hint="eastAsia"/>
          <w:lang w:eastAsia="zh-CN"/>
        </w:rPr>
        <w:t>章新增参数敏感性分析，以当前参数设置为基准，对各组合系数进行扰动，并比较不同设置下的诊断成功率、平均逃逸率、任务完成率和</w:t>
      </w:r>
      <w:r w:rsidR="000933E2" w:rsidRPr="000933E2">
        <w:rPr>
          <w:lang w:eastAsia="zh-CN"/>
        </w:rPr>
        <w:t xml:space="preserve"> Hit@1</w:t>
      </w:r>
      <w:r w:rsidR="000933E2" w:rsidRPr="000933E2">
        <w:rPr>
          <w:rFonts w:ascii="宋体" w:eastAsia="宋体" w:hAnsi="宋体" w:cs="宋体" w:hint="eastAsia"/>
          <w:lang w:eastAsia="zh-CN"/>
        </w:rPr>
        <w:t>。该实验用于说明参数选择在不同数据集和拓扑规模下具有稳定性。</w:t>
      </w:r>
    </w:p>
    <w:p w14:paraId="25E312E0" w14:textId="1074F9B4" w:rsidR="00956ACA" w:rsidRPr="000933E2" w:rsidRDefault="00000000" w:rsidP="000933E2">
      <w:pPr>
        <w:pStyle w:val="1"/>
        <w:spacing w:before="240" w:after="160" w:line="300" w:lineRule="auto"/>
        <w:rPr>
          <w:rFonts w:ascii="宋体" w:eastAsia="宋体" w:hAnsi="宋体" w:cs="宋体"/>
          <w:color w:val="000000" w:themeColor="text1"/>
          <w:lang w:eastAsia="zh-CN"/>
        </w:rPr>
      </w:pPr>
      <w:r w:rsidRPr="000933E2">
        <w:rPr>
          <w:rFonts w:ascii="宋体" w:eastAsia="宋体" w:hAnsi="宋体" w:cs="宋体" w:hint="eastAsia"/>
          <w:color w:val="000000" w:themeColor="text1"/>
          <w:lang w:eastAsia="zh-CN"/>
        </w:rPr>
        <w:t>评阅人三</w:t>
      </w:r>
    </w:p>
    <w:p w14:paraId="1357D752" w14:textId="77777777" w:rsidR="00956ACA" w:rsidRDefault="00000000">
      <w:pPr>
        <w:spacing w:after="80" w:line="300" w:lineRule="auto"/>
        <w:ind w:firstLine="480"/>
        <w:rPr>
          <w:lang w:eastAsia="zh-CN"/>
        </w:rPr>
      </w:pPr>
      <w:r>
        <w:rPr>
          <w:b/>
          <w:lang w:eastAsia="zh-CN"/>
        </w:rPr>
        <w:t>1. 评阅意见：</w:t>
      </w:r>
      <w:r>
        <w:rPr>
          <w:lang w:eastAsia="zh-CN"/>
        </w:rPr>
        <w:t>对故障指纹的定义缺乏系统模型，形式化不足，建议补充 RCA 目标函数，引入优化目标，体现诊断路径最优性。</w:t>
      </w:r>
    </w:p>
    <w:p w14:paraId="64DF8F99" w14:textId="77777777" w:rsidR="000933E2" w:rsidRPr="000933E2" w:rsidRDefault="00000000" w:rsidP="000933E2">
      <w:pPr>
        <w:spacing w:after="160" w:line="300" w:lineRule="auto"/>
        <w:ind w:firstLine="480"/>
        <w:rPr>
          <w:lang w:eastAsia="zh-CN"/>
        </w:rPr>
      </w:pPr>
      <w:r>
        <w:rPr>
          <w:b/>
          <w:lang w:eastAsia="zh-CN"/>
        </w:rPr>
        <w:t>修改情况：</w:t>
      </w:r>
      <w:bookmarkStart w:id="1" w:name="_Hlk228282286"/>
      <w:r w:rsidR="000933E2" w:rsidRPr="000933E2">
        <w:rPr>
          <w:rFonts w:ascii="宋体" w:eastAsia="宋体" w:hAnsi="宋体" w:cs="宋体" w:hint="eastAsia"/>
          <w:lang w:eastAsia="zh-CN"/>
        </w:rPr>
        <w:t>已在第</w:t>
      </w:r>
      <w:r w:rsidR="000933E2" w:rsidRPr="000933E2">
        <w:rPr>
          <w:lang w:eastAsia="zh-CN"/>
        </w:rPr>
        <w:t xml:space="preserve"> 3.1 </w:t>
      </w:r>
      <w:r w:rsidR="000933E2" w:rsidRPr="000933E2">
        <w:rPr>
          <w:rFonts w:ascii="宋体" w:eastAsia="宋体" w:hAnsi="宋体" w:cs="宋体" w:hint="eastAsia"/>
          <w:lang w:eastAsia="zh-CN"/>
        </w:rPr>
        <w:t>节和第</w:t>
      </w:r>
      <w:r w:rsidR="000933E2" w:rsidRPr="000933E2">
        <w:rPr>
          <w:lang w:eastAsia="zh-CN"/>
        </w:rPr>
        <w:t xml:space="preserve"> 3.2.1 </w:t>
      </w:r>
      <w:r w:rsidR="000933E2" w:rsidRPr="000933E2">
        <w:rPr>
          <w:rFonts w:ascii="宋体" w:eastAsia="宋体" w:hAnsi="宋体" w:cs="宋体" w:hint="eastAsia"/>
          <w:lang w:eastAsia="zh-CN"/>
        </w:rPr>
        <w:t>节补充根因定位任务的形式化描述。论文将微服务系统表示为服务拓扑图，将故障窗口内的指标、日志和调用链路表示为多模</w:t>
      </w:r>
      <w:r w:rsidR="000933E2" w:rsidRPr="000933E2">
        <w:rPr>
          <w:rFonts w:ascii="宋体" w:eastAsia="宋体" w:hAnsi="宋体" w:cs="宋体" w:hint="eastAsia"/>
          <w:lang w:eastAsia="zh-CN"/>
        </w:rPr>
        <w:lastRenderedPageBreak/>
        <w:t>态观测，并将故障指纹定义为由拓扑结构和多模态观测映射得到的统一特征表示。根因定位任务被表述为在候选服务、故障类型和诊断证据条件下，对根因进行排序的问题。论文同时补充诊断路径优化目标，说明在线诊断需要在提高根因定位置信度的同时，控制诊断步骤数、工具调用次数、</w:t>
      </w:r>
      <w:r w:rsidR="000933E2" w:rsidRPr="000933E2">
        <w:rPr>
          <w:lang w:eastAsia="zh-CN"/>
        </w:rPr>
        <w:t xml:space="preserve">LLM </w:t>
      </w:r>
      <w:r w:rsidR="000933E2" w:rsidRPr="000933E2">
        <w:rPr>
          <w:rFonts w:ascii="宋体" w:eastAsia="宋体" w:hAnsi="宋体" w:cs="宋体" w:hint="eastAsia"/>
          <w:lang w:eastAsia="zh-CN"/>
        </w:rPr>
        <w:t>推理成本和无关证据引入风险。</w:t>
      </w:r>
    </w:p>
    <w:p w14:paraId="1D37A5AF" w14:textId="6F94DE62" w:rsidR="00956ACA" w:rsidRDefault="00000000" w:rsidP="000933E2">
      <w:pPr>
        <w:spacing w:after="160" w:line="300" w:lineRule="auto"/>
        <w:ind w:firstLine="480"/>
        <w:rPr>
          <w:lang w:eastAsia="zh-CN"/>
        </w:rPr>
      </w:pPr>
      <w:r>
        <w:rPr>
          <w:b/>
          <w:lang w:eastAsia="zh-CN"/>
        </w:rPr>
        <w:t>2. 评阅意见：</w:t>
      </w:r>
      <w:r>
        <w:rPr>
          <w:lang w:eastAsia="zh-CN"/>
        </w:rPr>
        <w:t>基线中 SOTA 方法不够，如 LLM RCA 最新工作未包含其中。</w:t>
      </w:r>
    </w:p>
    <w:p w14:paraId="7ADBFCC4" w14:textId="77777777" w:rsidR="00956ACA" w:rsidRDefault="00000000">
      <w:pPr>
        <w:spacing w:after="160" w:line="300" w:lineRule="auto"/>
        <w:ind w:firstLine="480"/>
        <w:rPr>
          <w:lang w:eastAsia="zh-CN"/>
        </w:rPr>
      </w:pPr>
      <w:r>
        <w:rPr>
          <w:b/>
          <w:lang w:eastAsia="zh-CN"/>
        </w:rPr>
        <w:t>修改情况：</w:t>
      </w:r>
      <w:r>
        <w:rPr>
          <w:lang w:eastAsia="zh-CN"/>
        </w:rPr>
        <w:t>已在第 2.4 节和第 5 章实验设置中补充基于 LLM 的 RCA 相关工作梳理和基线选择说明。修改后，相关工作部分进一步区分传统 RCA 方法、工具增强的单智能体 RCA 方法、多智能体协同诊断方法和知识增强的 LLM-RCA 方法，并说明本文方法与这些工作的差异：本文不是仅将观测数据转化为文本后交由 LLM 一次性推理，也不是简单检索历史案例作为上下文，而是将历史诊断经验组织为可执行、可复用、可增量更新的 SOP，并用 SOP 约束在线智能体的诊断路径。实验部分在原有传统 RCA 和智能体方法基线基础上，补充可复现的 LLM-RCA/Agent-RCA 类基线或其等价实现方式；对于代码未公开、数据集不一致、运行环境不可复现或无法获得完整实现细节的近期方法，论文在实验设置中明确说明未直接复现的原因，并在相关工作或方法对比表中进行机制层面的对比。该修改使基线选择范围、可复现性限制和本文方法相对现有 LLM-RCA 工作的差异更加清楚。</w:t>
      </w:r>
    </w:p>
    <w:bookmarkEnd w:id="1"/>
    <w:p w14:paraId="647CF55E" w14:textId="77777777" w:rsidR="00956ACA" w:rsidRDefault="00000000">
      <w:pPr>
        <w:spacing w:after="80" w:line="300" w:lineRule="auto"/>
        <w:ind w:firstLine="480"/>
        <w:rPr>
          <w:lang w:eastAsia="zh-CN"/>
        </w:rPr>
      </w:pPr>
      <w:r>
        <w:rPr>
          <w:b/>
          <w:lang w:eastAsia="zh-CN"/>
        </w:rPr>
        <w:t>3. 评阅意见：</w:t>
      </w:r>
      <w:r>
        <w:rPr>
          <w:lang w:eastAsia="zh-CN"/>
        </w:rPr>
        <w:t>实验部分缺乏统计显著性分析，没有进行多轮随机实验。</w:t>
      </w:r>
    </w:p>
    <w:p w14:paraId="49A3AA5A" w14:textId="77777777" w:rsidR="00BF6CE6" w:rsidRPr="00BF6CE6" w:rsidRDefault="00000000" w:rsidP="00BF6CE6">
      <w:pPr>
        <w:spacing w:after="160" w:line="300" w:lineRule="auto"/>
        <w:ind w:firstLine="480"/>
        <w:rPr>
          <w:lang w:eastAsia="zh-CN"/>
        </w:rPr>
      </w:pPr>
      <w:r>
        <w:rPr>
          <w:b/>
          <w:lang w:eastAsia="zh-CN"/>
        </w:rPr>
        <w:t>修改情况：</w:t>
      </w:r>
      <w:r w:rsidR="00BF6CE6" w:rsidRPr="00BF6CE6">
        <w:rPr>
          <w:rFonts w:ascii="宋体" w:eastAsia="宋体" w:hAnsi="宋体" w:cs="宋体" w:hint="eastAsia"/>
          <w:lang w:eastAsia="zh-CN"/>
        </w:rPr>
        <w:t>已在第</w:t>
      </w:r>
      <w:r w:rsidR="00BF6CE6" w:rsidRPr="00BF6CE6">
        <w:rPr>
          <w:lang w:eastAsia="zh-CN"/>
        </w:rPr>
        <w:t xml:space="preserve"> 5.2 </w:t>
      </w:r>
      <w:r w:rsidR="00BF6CE6" w:rsidRPr="00BF6CE6">
        <w:rPr>
          <w:rFonts w:ascii="宋体" w:eastAsia="宋体" w:hAnsi="宋体" w:cs="宋体" w:hint="eastAsia"/>
          <w:lang w:eastAsia="zh-CN"/>
        </w:rPr>
        <w:t>节和第</w:t>
      </w:r>
      <w:r w:rsidR="00BF6CE6" w:rsidRPr="00BF6CE6">
        <w:rPr>
          <w:lang w:eastAsia="zh-CN"/>
        </w:rPr>
        <w:t xml:space="preserve"> 5.5 </w:t>
      </w:r>
      <w:r w:rsidR="00BF6CE6" w:rsidRPr="00BF6CE6">
        <w:rPr>
          <w:rFonts w:ascii="宋体" w:eastAsia="宋体" w:hAnsi="宋体" w:cs="宋体" w:hint="eastAsia"/>
          <w:lang w:eastAsia="zh-CN"/>
        </w:rPr>
        <w:t>节补充多轮随机实验和统计显著性分析。修改后，实验采用多个随机种子重复运行，并对</w:t>
      </w:r>
      <w:r w:rsidR="00BF6CE6" w:rsidRPr="00BF6CE6">
        <w:rPr>
          <w:lang w:eastAsia="zh-CN"/>
        </w:rPr>
        <w:t xml:space="preserve"> Hit@1</w:t>
      </w:r>
      <w:r w:rsidR="00BF6CE6" w:rsidRPr="00BF6CE6">
        <w:rPr>
          <w:rFonts w:ascii="宋体" w:eastAsia="宋体" w:hAnsi="宋体" w:cs="宋体" w:hint="eastAsia"/>
          <w:lang w:eastAsia="zh-CN"/>
        </w:rPr>
        <w:t>、</w:t>
      </w:r>
      <w:r w:rsidR="00BF6CE6" w:rsidRPr="00BF6CE6">
        <w:rPr>
          <w:lang w:eastAsia="zh-CN"/>
        </w:rPr>
        <w:t>Hit@3</w:t>
      </w:r>
      <w:r w:rsidR="00BF6CE6" w:rsidRPr="00BF6CE6">
        <w:rPr>
          <w:rFonts w:ascii="宋体" w:eastAsia="宋体" w:hAnsi="宋体" w:cs="宋体" w:hint="eastAsia"/>
          <w:lang w:eastAsia="zh-CN"/>
        </w:rPr>
        <w:t>、</w:t>
      </w:r>
      <w:r w:rsidR="00BF6CE6" w:rsidRPr="00BF6CE6">
        <w:rPr>
          <w:lang w:eastAsia="zh-CN"/>
        </w:rPr>
        <w:t>MRR</w:t>
      </w:r>
      <w:r w:rsidR="00BF6CE6" w:rsidRPr="00BF6CE6">
        <w:rPr>
          <w:rFonts w:ascii="宋体" w:eastAsia="宋体" w:hAnsi="宋体" w:cs="宋体" w:hint="eastAsia"/>
          <w:lang w:eastAsia="zh-CN"/>
        </w:rPr>
        <w:t>、诊断成功率、平均逃逸率和任务完成率等指标报告均值和标准差。对于本文方法与主要基线方法之间的差异，论文补充显著性检验，用于判断性能提升是否具有统计意义。结果分析部分同时说明，不同随机划分会影响历史案例覆盖程度和</w:t>
      </w:r>
      <w:r w:rsidR="00BF6CE6" w:rsidRPr="00BF6CE6">
        <w:rPr>
          <w:lang w:eastAsia="zh-CN"/>
        </w:rPr>
        <w:t xml:space="preserve"> SOP </w:t>
      </w:r>
      <w:r w:rsidR="00BF6CE6" w:rsidRPr="00BF6CE6">
        <w:rPr>
          <w:rFonts w:ascii="宋体" w:eastAsia="宋体" w:hAnsi="宋体" w:cs="宋体" w:hint="eastAsia"/>
          <w:lang w:eastAsia="zh-CN"/>
        </w:rPr>
        <w:t>召回质量，因此增加多轮实验有助于降低单次划分带来的偶然性。</w:t>
      </w:r>
    </w:p>
    <w:p w14:paraId="6AE22CFC" w14:textId="26CB0E92" w:rsidR="00956ACA" w:rsidRDefault="00000000" w:rsidP="00BF6CE6">
      <w:pPr>
        <w:spacing w:after="160" w:line="300" w:lineRule="auto"/>
        <w:ind w:firstLine="480"/>
        <w:rPr>
          <w:lang w:eastAsia="zh-CN"/>
        </w:rPr>
      </w:pPr>
      <w:r>
        <w:rPr>
          <w:b/>
          <w:lang w:eastAsia="zh-CN"/>
        </w:rPr>
        <w:t>4. 评阅意见：</w:t>
      </w:r>
      <w:r>
        <w:rPr>
          <w:lang w:eastAsia="zh-CN"/>
        </w:rPr>
        <w:t>对算法复杂度分析不足，如推理延迟、成本 Token 等。</w:t>
      </w:r>
    </w:p>
    <w:p w14:paraId="2471B1B1" w14:textId="63678EF5" w:rsidR="00956ACA" w:rsidRPr="00BF6CE6" w:rsidRDefault="00000000" w:rsidP="00BF6CE6">
      <w:pPr>
        <w:spacing w:after="160" w:line="300" w:lineRule="auto"/>
        <w:ind w:firstLine="480"/>
        <w:rPr>
          <w:rFonts w:ascii="宋体" w:eastAsia="宋体" w:hAnsi="宋体" w:cs="宋体" w:hint="eastAsia"/>
          <w:lang w:eastAsia="zh-CN"/>
        </w:rPr>
      </w:pPr>
      <w:r>
        <w:rPr>
          <w:b/>
          <w:lang w:eastAsia="zh-CN"/>
        </w:rPr>
        <w:t>修改情况：</w:t>
      </w:r>
      <w:r w:rsidR="00BF6CE6" w:rsidRPr="00BF6CE6">
        <w:rPr>
          <w:rFonts w:ascii="宋体" w:eastAsia="宋体" w:hAnsi="宋体" w:cs="宋体"/>
          <w:lang w:eastAsia="zh-CN"/>
        </w:rPr>
        <w:t>已在第 3 章方法分析和第 5 章实验部分补充复杂度与开销分析。论文按故障指纹构建、SOP 召回、SOP 构建和在线诊断四个阶段分别说明主要计算开销来源：故障指纹构建主要来自多模态特征提取和时间对齐，SOP 召回主要来自向量检索，SOP 构建主要发生在离线阶段，在线诊断开销主要由诊断轮数、工具调用次数和 LLM 输入输出长度决定。第 5 章进一步给出实测的端到端耗时、LLM 调用次数和 Token 消耗，并分析逃逸机制对额外开销的影响。</w:t>
      </w:r>
      <w:bookmarkEnd w:id="0"/>
    </w:p>
    <w:sectPr w:rsidR="00956ACA" w:rsidRPr="00BF6CE6"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206532">
    <w:abstractNumId w:val="8"/>
  </w:num>
  <w:num w:numId="2" w16cid:durableId="192882486">
    <w:abstractNumId w:val="6"/>
  </w:num>
  <w:num w:numId="3" w16cid:durableId="1758090054">
    <w:abstractNumId w:val="5"/>
  </w:num>
  <w:num w:numId="4" w16cid:durableId="568660476">
    <w:abstractNumId w:val="4"/>
  </w:num>
  <w:num w:numId="5" w16cid:durableId="1956214221">
    <w:abstractNumId w:val="7"/>
  </w:num>
  <w:num w:numId="6" w16cid:durableId="1683243742">
    <w:abstractNumId w:val="3"/>
  </w:num>
  <w:num w:numId="7" w16cid:durableId="1686249741">
    <w:abstractNumId w:val="2"/>
  </w:num>
  <w:num w:numId="8" w16cid:durableId="985936146">
    <w:abstractNumId w:val="1"/>
  </w:num>
  <w:num w:numId="9" w16cid:durableId="2091266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3E2"/>
    <w:rsid w:val="0015074B"/>
    <w:rsid w:val="0029639D"/>
    <w:rsid w:val="00326F90"/>
    <w:rsid w:val="00626720"/>
    <w:rsid w:val="0071295B"/>
    <w:rsid w:val="00956ACA"/>
    <w:rsid w:val="00AA1D8D"/>
    <w:rsid w:val="00B47730"/>
    <w:rsid w:val="00BF6CE6"/>
    <w:rsid w:val="00C91512"/>
    <w:rsid w:val="00CB0664"/>
    <w:rsid w:val="00CD3BDB"/>
    <w:rsid w:val="00DA2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F2E14"/>
  <w14:defaultImageDpi w14:val="300"/>
  <w15:docId w15:val="{71AE3162-968B-C447-8A6E-C11F8301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71295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3990">
      <w:bodyDiv w:val="1"/>
      <w:marLeft w:val="0"/>
      <w:marRight w:val="0"/>
      <w:marTop w:val="0"/>
      <w:marBottom w:val="0"/>
      <w:divBdr>
        <w:top w:val="none" w:sz="0" w:space="0" w:color="auto"/>
        <w:left w:val="none" w:sz="0" w:space="0" w:color="auto"/>
        <w:bottom w:val="none" w:sz="0" w:space="0" w:color="auto"/>
        <w:right w:val="none" w:sz="0" w:space="0" w:color="auto"/>
      </w:divBdr>
    </w:div>
    <w:div w:id="128057855">
      <w:bodyDiv w:val="1"/>
      <w:marLeft w:val="0"/>
      <w:marRight w:val="0"/>
      <w:marTop w:val="0"/>
      <w:marBottom w:val="0"/>
      <w:divBdr>
        <w:top w:val="none" w:sz="0" w:space="0" w:color="auto"/>
        <w:left w:val="none" w:sz="0" w:space="0" w:color="auto"/>
        <w:bottom w:val="none" w:sz="0" w:space="0" w:color="auto"/>
        <w:right w:val="none" w:sz="0" w:space="0" w:color="auto"/>
      </w:divBdr>
    </w:div>
    <w:div w:id="247732041">
      <w:bodyDiv w:val="1"/>
      <w:marLeft w:val="0"/>
      <w:marRight w:val="0"/>
      <w:marTop w:val="0"/>
      <w:marBottom w:val="0"/>
      <w:divBdr>
        <w:top w:val="none" w:sz="0" w:space="0" w:color="auto"/>
        <w:left w:val="none" w:sz="0" w:space="0" w:color="auto"/>
        <w:bottom w:val="none" w:sz="0" w:space="0" w:color="auto"/>
        <w:right w:val="none" w:sz="0" w:space="0" w:color="auto"/>
      </w:divBdr>
    </w:div>
    <w:div w:id="356465756">
      <w:bodyDiv w:val="1"/>
      <w:marLeft w:val="0"/>
      <w:marRight w:val="0"/>
      <w:marTop w:val="0"/>
      <w:marBottom w:val="0"/>
      <w:divBdr>
        <w:top w:val="none" w:sz="0" w:space="0" w:color="auto"/>
        <w:left w:val="none" w:sz="0" w:space="0" w:color="auto"/>
        <w:bottom w:val="none" w:sz="0" w:space="0" w:color="auto"/>
        <w:right w:val="none" w:sz="0" w:space="0" w:color="auto"/>
      </w:divBdr>
    </w:div>
    <w:div w:id="515190981">
      <w:bodyDiv w:val="1"/>
      <w:marLeft w:val="0"/>
      <w:marRight w:val="0"/>
      <w:marTop w:val="0"/>
      <w:marBottom w:val="0"/>
      <w:divBdr>
        <w:top w:val="none" w:sz="0" w:space="0" w:color="auto"/>
        <w:left w:val="none" w:sz="0" w:space="0" w:color="auto"/>
        <w:bottom w:val="none" w:sz="0" w:space="0" w:color="auto"/>
        <w:right w:val="none" w:sz="0" w:space="0" w:color="auto"/>
      </w:divBdr>
    </w:div>
    <w:div w:id="621154572">
      <w:bodyDiv w:val="1"/>
      <w:marLeft w:val="0"/>
      <w:marRight w:val="0"/>
      <w:marTop w:val="0"/>
      <w:marBottom w:val="0"/>
      <w:divBdr>
        <w:top w:val="none" w:sz="0" w:space="0" w:color="auto"/>
        <w:left w:val="none" w:sz="0" w:space="0" w:color="auto"/>
        <w:bottom w:val="none" w:sz="0" w:space="0" w:color="auto"/>
        <w:right w:val="none" w:sz="0" w:space="0" w:color="auto"/>
      </w:divBdr>
    </w:div>
    <w:div w:id="804154131">
      <w:bodyDiv w:val="1"/>
      <w:marLeft w:val="0"/>
      <w:marRight w:val="0"/>
      <w:marTop w:val="0"/>
      <w:marBottom w:val="0"/>
      <w:divBdr>
        <w:top w:val="none" w:sz="0" w:space="0" w:color="auto"/>
        <w:left w:val="none" w:sz="0" w:space="0" w:color="auto"/>
        <w:bottom w:val="none" w:sz="0" w:space="0" w:color="auto"/>
        <w:right w:val="none" w:sz="0" w:space="0" w:color="auto"/>
      </w:divBdr>
    </w:div>
    <w:div w:id="816995897">
      <w:bodyDiv w:val="1"/>
      <w:marLeft w:val="0"/>
      <w:marRight w:val="0"/>
      <w:marTop w:val="0"/>
      <w:marBottom w:val="0"/>
      <w:divBdr>
        <w:top w:val="none" w:sz="0" w:space="0" w:color="auto"/>
        <w:left w:val="none" w:sz="0" w:space="0" w:color="auto"/>
        <w:bottom w:val="none" w:sz="0" w:space="0" w:color="auto"/>
        <w:right w:val="none" w:sz="0" w:space="0" w:color="auto"/>
      </w:divBdr>
    </w:div>
    <w:div w:id="823355098">
      <w:bodyDiv w:val="1"/>
      <w:marLeft w:val="0"/>
      <w:marRight w:val="0"/>
      <w:marTop w:val="0"/>
      <w:marBottom w:val="0"/>
      <w:divBdr>
        <w:top w:val="none" w:sz="0" w:space="0" w:color="auto"/>
        <w:left w:val="none" w:sz="0" w:space="0" w:color="auto"/>
        <w:bottom w:val="none" w:sz="0" w:space="0" w:color="auto"/>
        <w:right w:val="none" w:sz="0" w:space="0" w:color="auto"/>
      </w:divBdr>
    </w:div>
    <w:div w:id="931860126">
      <w:bodyDiv w:val="1"/>
      <w:marLeft w:val="0"/>
      <w:marRight w:val="0"/>
      <w:marTop w:val="0"/>
      <w:marBottom w:val="0"/>
      <w:divBdr>
        <w:top w:val="none" w:sz="0" w:space="0" w:color="auto"/>
        <w:left w:val="none" w:sz="0" w:space="0" w:color="auto"/>
        <w:bottom w:val="none" w:sz="0" w:space="0" w:color="auto"/>
        <w:right w:val="none" w:sz="0" w:space="0" w:color="auto"/>
      </w:divBdr>
    </w:div>
    <w:div w:id="996498878">
      <w:bodyDiv w:val="1"/>
      <w:marLeft w:val="0"/>
      <w:marRight w:val="0"/>
      <w:marTop w:val="0"/>
      <w:marBottom w:val="0"/>
      <w:divBdr>
        <w:top w:val="none" w:sz="0" w:space="0" w:color="auto"/>
        <w:left w:val="none" w:sz="0" w:space="0" w:color="auto"/>
        <w:bottom w:val="none" w:sz="0" w:space="0" w:color="auto"/>
        <w:right w:val="none" w:sz="0" w:space="0" w:color="auto"/>
      </w:divBdr>
    </w:div>
    <w:div w:id="1111125183">
      <w:bodyDiv w:val="1"/>
      <w:marLeft w:val="0"/>
      <w:marRight w:val="0"/>
      <w:marTop w:val="0"/>
      <w:marBottom w:val="0"/>
      <w:divBdr>
        <w:top w:val="none" w:sz="0" w:space="0" w:color="auto"/>
        <w:left w:val="none" w:sz="0" w:space="0" w:color="auto"/>
        <w:bottom w:val="none" w:sz="0" w:space="0" w:color="auto"/>
        <w:right w:val="none" w:sz="0" w:space="0" w:color="auto"/>
      </w:divBdr>
    </w:div>
    <w:div w:id="1113095865">
      <w:bodyDiv w:val="1"/>
      <w:marLeft w:val="0"/>
      <w:marRight w:val="0"/>
      <w:marTop w:val="0"/>
      <w:marBottom w:val="0"/>
      <w:divBdr>
        <w:top w:val="none" w:sz="0" w:space="0" w:color="auto"/>
        <w:left w:val="none" w:sz="0" w:space="0" w:color="auto"/>
        <w:bottom w:val="none" w:sz="0" w:space="0" w:color="auto"/>
        <w:right w:val="none" w:sz="0" w:space="0" w:color="auto"/>
      </w:divBdr>
    </w:div>
    <w:div w:id="1130634400">
      <w:bodyDiv w:val="1"/>
      <w:marLeft w:val="0"/>
      <w:marRight w:val="0"/>
      <w:marTop w:val="0"/>
      <w:marBottom w:val="0"/>
      <w:divBdr>
        <w:top w:val="none" w:sz="0" w:space="0" w:color="auto"/>
        <w:left w:val="none" w:sz="0" w:space="0" w:color="auto"/>
        <w:bottom w:val="none" w:sz="0" w:space="0" w:color="auto"/>
        <w:right w:val="none" w:sz="0" w:space="0" w:color="auto"/>
      </w:divBdr>
    </w:div>
    <w:div w:id="1246836519">
      <w:bodyDiv w:val="1"/>
      <w:marLeft w:val="0"/>
      <w:marRight w:val="0"/>
      <w:marTop w:val="0"/>
      <w:marBottom w:val="0"/>
      <w:divBdr>
        <w:top w:val="none" w:sz="0" w:space="0" w:color="auto"/>
        <w:left w:val="none" w:sz="0" w:space="0" w:color="auto"/>
        <w:bottom w:val="none" w:sz="0" w:space="0" w:color="auto"/>
        <w:right w:val="none" w:sz="0" w:space="0" w:color="auto"/>
      </w:divBdr>
    </w:div>
    <w:div w:id="1256816205">
      <w:bodyDiv w:val="1"/>
      <w:marLeft w:val="0"/>
      <w:marRight w:val="0"/>
      <w:marTop w:val="0"/>
      <w:marBottom w:val="0"/>
      <w:divBdr>
        <w:top w:val="none" w:sz="0" w:space="0" w:color="auto"/>
        <w:left w:val="none" w:sz="0" w:space="0" w:color="auto"/>
        <w:bottom w:val="none" w:sz="0" w:space="0" w:color="auto"/>
        <w:right w:val="none" w:sz="0" w:space="0" w:color="auto"/>
      </w:divBdr>
    </w:div>
    <w:div w:id="1383476899">
      <w:bodyDiv w:val="1"/>
      <w:marLeft w:val="0"/>
      <w:marRight w:val="0"/>
      <w:marTop w:val="0"/>
      <w:marBottom w:val="0"/>
      <w:divBdr>
        <w:top w:val="none" w:sz="0" w:space="0" w:color="auto"/>
        <w:left w:val="none" w:sz="0" w:space="0" w:color="auto"/>
        <w:bottom w:val="none" w:sz="0" w:space="0" w:color="auto"/>
        <w:right w:val="none" w:sz="0" w:space="0" w:color="auto"/>
      </w:divBdr>
    </w:div>
    <w:div w:id="1480417516">
      <w:bodyDiv w:val="1"/>
      <w:marLeft w:val="0"/>
      <w:marRight w:val="0"/>
      <w:marTop w:val="0"/>
      <w:marBottom w:val="0"/>
      <w:divBdr>
        <w:top w:val="none" w:sz="0" w:space="0" w:color="auto"/>
        <w:left w:val="none" w:sz="0" w:space="0" w:color="auto"/>
        <w:bottom w:val="none" w:sz="0" w:space="0" w:color="auto"/>
        <w:right w:val="none" w:sz="0" w:space="0" w:color="auto"/>
      </w:divBdr>
    </w:div>
    <w:div w:id="1615555561">
      <w:bodyDiv w:val="1"/>
      <w:marLeft w:val="0"/>
      <w:marRight w:val="0"/>
      <w:marTop w:val="0"/>
      <w:marBottom w:val="0"/>
      <w:divBdr>
        <w:top w:val="none" w:sz="0" w:space="0" w:color="auto"/>
        <w:left w:val="none" w:sz="0" w:space="0" w:color="auto"/>
        <w:bottom w:val="none" w:sz="0" w:space="0" w:color="auto"/>
        <w:right w:val="none" w:sz="0" w:space="0" w:color="auto"/>
      </w:divBdr>
    </w:div>
    <w:div w:id="1646156388">
      <w:bodyDiv w:val="1"/>
      <w:marLeft w:val="0"/>
      <w:marRight w:val="0"/>
      <w:marTop w:val="0"/>
      <w:marBottom w:val="0"/>
      <w:divBdr>
        <w:top w:val="none" w:sz="0" w:space="0" w:color="auto"/>
        <w:left w:val="none" w:sz="0" w:space="0" w:color="auto"/>
        <w:bottom w:val="none" w:sz="0" w:space="0" w:color="auto"/>
        <w:right w:val="none" w:sz="0" w:space="0" w:color="auto"/>
      </w:divBdr>
    </w:div>
    <w:div w:id="1988893134">
      <w:bodyDiv w:val="1"/>
      <w:marLeft w:val="0"/>
      <w:marRight w:val="0"/>
      <w:marTop w:val="0"/>
      <w:marBottom w:val="0"/>
      <w:divBdr>
        <w:top w:val="none" w:sz="0" w:space="0" w:color="auto"/>
        <w:left w:val="none" w:sz="0" w:space="0" w:color="auto"/>
        <w:bottom w:val="none" w:sz="0" w:space="0" w:color="auto"/>
        <w:right w:val="none" w:sz="0" w:space="0" w:color="auto"/>
      </w:divBdr>
    </w:div>
    <w:div w:id="2012560789">
      <w:bodyDiv w:val="1"/>
      <w:marLeft w:val="0"/>
      <w:marRight w:val="0"/>
      <w:marTop w:val="0"/>
      <w:marBottom w:val="0"/>
      <w:divBdr>
        <w:top w:val="none" w:sz="0" w:space="0" w:color="auto"/>
        <w:left w:val="none" w:sz="0" w:space="0" w:color="auto"/>
        <w:bottom w:val="none" w:sz="0" w:space="0" w:color="auto"/>
        <w:right w:val="none" w:sz="0" w:space="0" w:color="auto"/>
      </w:divBdr>
    </w:div>
    <w:div w:id="2030256531">
      <w:bodyDiv w:val="1"/>
      <w:marLeft w:val="0"/>
      <w:marRight w:val="0"/>
      <w:marTop w:val="0"/>
      <w:marBottom w:val="0"/>
      <w:divBdr>
        <w:top w:val="none" w:sz="0" w:space="0" w:color="auto"/>
        <w:left w:val="none" w:sz="0" w:space="0" w:color="auto"/>
        <w:bottom w:val="none" w:sz="0" w:space="0" w:color="auto"/>
        <w:right w:val="none" w:sz="0" w:space="0" w:color="auto"/>
      </w:divBdr>
    </w:div>
    <w:div w:id="2096323148">
      <w:bodyDiv w:val="1"/>
      <w:marLeft w:val="0"/>
      <w:marRight w:val="0"/>
      <w:marTop w:val="0"/>
      <w:marBottom w:val="0"/>
      <w:divBdr>
        <w:top w:val="none" w:sz="0" w:space="0" w:color="auto"/>
        <w:left w:val="none" w:sz="0" w:space="0" w:color="auto"/>
        <w:bottom w:val="none" w:sz="0" w:space="0" w:color="auto"/>
        <w:right w:val="none" w:sz="0" w:space="0" w:color="auto"/>
      </w:divBdr>
    </w:div>
    <w:div w:id="2124958071">
      <w:bodyDiv w:val="1"/>
      <w:marLeft w:val="0"/>
      <w:marRight w:val="0"/>
      <w:marTop w:val="0"/>
      <w:marBottom w:val="0"/>
      <w:divBdr>
        <w:top w:val="none" w:sz="0" w:space="0" w:color="auto"/>
        <w:left w:val="none" w:sz="0" w:space="0" w:color="auto"/>
        <w:bottom w:val="none" w:sz="0" w:space="0" w:color="auto"/>
        <w:right w:val="none" w:sz="0" w:space="0" w:color="auto"/>
      </w:divBdr>
    </w:div>
    <w:div w:id="2130006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杰翔 崔</cp:lastModifiedBy>
  <cp:revision>3</cp:revision>
  <dcterms:created xsi:type="dcterms:W3CDTF">2013-12-23T23:15:00Z</dcterms:created>
  <dcterms:modified xsi:type="dcterms:W3CDTF">2026-04-28T07:40:00Z</dcterms:modified>
  <cp:category/>
</cp:coreProperties>
</file>