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2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0"/>
        <w:gridCol w:w="4364"/>
        <w:tblGridChange w:id="0">
          <w:tblGrid>
            <w:gridCol w:w="5860"/>
            <w:gridCol w:w="4364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Date: </w:t>
            </w:r>
            <w:r w:rsidDel="00000000" w:rsidR="00000000" w:rsidRPr="00000000">
              <w:rPr>
                <w:color w:val="1f497d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/0</w:t>
            </w:r>
            <w:r w:rsidDel="00000000" w:rsidR="00000000" w:rsidRPr="00000000">
              <w:rPr>
                <w:color w:val="1f497d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/2022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Time: 1600 </w:t>
            </w:r>
            <w:r w:rsidDel="00000000" w:rsidR="00000000" w:rsidRPr="00000000">
              <w:rPr>
                <w:color w:val="1f497d"/>
                <w:rtl w:val="0"/>
              </w:rPr>
              <w:t xml:space="preserve">HRS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Location: EIT (C217)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Inguanzo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Harris, Carl Inguanzo,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f497d"/>
                <w:highlight w:val="white"/>
                <w:rtl w:val="0"/>
              </w:rPr>
              <w:t xml:space="preserve">Patrick Siddels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Laptop, pen &amp; paper, Iteration 1 outcomes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Group meeting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Gantt Chart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1f497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Stakeholders register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1f497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Resource requirements list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1f497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Test upload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Group meeting report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Matthew Harris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2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We discussed how what we are going to do  throughout the 2nd iteration and what is required for us to do for it</w:t>
      </w:r>
    </w:p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rtl w:val="0"/>
        </w:rPr>
        <w:t xml:space="preserve">Conclusions: </w:t>
      </w:r>
    </w:p>
    <w:p w:rsidR="00000000" w:rsidDel="00000000" w:rsidP="00000000" w:rsidRDefault="00000000" w:rsidRPr="00000000" w14:paraId="0000003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We came up with a plan on how we are going to tackle the gantt chart and the stakeholder register and what it will cover</w:t>
      </w:r>
    </w:p>
    <w:tbl>
      <w:tblPr>
        <w:tblStyle w:val="Table4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75"/>
        <w:gridCol w:w="1845"/>
        <w:tblGridChange w:id="0">
          <w:tblGrid>
            <w:gridCol w:w="5310"/>
            <w:gridCol w:w="3075"/>
            <w:gridCol w:w="184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5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Make Reports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Inguanzo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20/03/2022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Note </w:t>
            </w: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taker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20/03/2022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Pattrick Siddels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20/03/2022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Gantt Chart</w:t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Carl Henry Inguanzo 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we have done on the Gantt Chart, we work it out how we done our iteration 2</w:t>
      </w:r>
    </w:p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We helped each other with how we started the report and collaborated with each other.</w:t>
      </w:r>
    </w:p>
    <w:tbl>
      <w:tblPr>
        <w:tblStyle w:val="Table6"/>
        <w:tblW w:w="1023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45"/>
        <w:gridCol w:w="1875"/>
        <w:tblGridChange w:id="0">
          <w:tblGrid>
            <w:gridCol w:w="5310"/>
            <w:gridCol w:w="3045"/>
            <w:gridCol w:w="187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B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Start date and end date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Patrick Siddels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02/04/2022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Iteration 1, 2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Matthew Harris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02/04/2022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task requirements and complete by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Henry Inguanzo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02/04/2022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Stakeholder Register</w:t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Carl Iguanzo</w:t>
            </w:r>
          </w:p>
        </w:tc>
      </w:tr>
    </w:tbl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We done our parts on Stakeholders Register</w:t>
      </w:r>
    </w:p>
    <w:p w:rsidR="00000000" w:rsidDel="00000000" w:rsidP="00000000" w:rsidRDefault="00000000" w:rsidRPr="00000000" w14:paraId="0000005E">
      <w:pPr>
        <w:pStyle w:val="Heading4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Conclusions:</w:t>
      </w:r>
    </w:p>
    <w:p w:rsidR="00000000" w:rsidDel="00000000" w:rsidP="00000000" w:rsidRDefault="00000000" w:rsidRPr="00000000" w14:paraId="0000005F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We did individual work on the Stakeholder Register report</w:t>
      </w:r>
    </w:p>
    <w:tbl>
      <w:tblPr>
        <w:tblStyle w:val="Table8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pStyle w:val="Heading2"/>
              <w:spacing w:after="8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Accountant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Patrick Siddels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09/04/2022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Senior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Mathew Harris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09/04/2022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Security Manager and CEO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Henry Inguanzo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09/04/2022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24.0" w:type="dxa"/>
        <w:jc w:val="left"/>
        <w:tblInd w:w="0.0" w:type="pc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Style w:val="Heading2"/>
              <w:spacing w:after="0" w:before="120" w:line="264" w:lineRule="auto"/>
              <w:rPr/>
            </w:pPr>
            <w:r w:rsidDel="00000000" w:rsidR="00000000" w:rsidRPr="00000000">
              <w:rPr>
                <w:rtl w:val="0"/>
              </w:rPr>
              <w:t xml:space="preserve">Agenda Item 4: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before="120" w:line="264" w:lineRule="auto"/>
              <w:rPr/>
            </w:pPr>
            <w:r w:rsidDel="00000000" w:rsidR="00000000" w:rsidRPr="00000000">
              <w:rPr>
                <w:rtl w:val="0"/>
              </w:rPr>
              <w:t xml:space="preserve">Resource Requirement List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2"/>
              <w:spacing w:after="0" w:before="120" w:line="264" w:lineRule="auto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120" w:line="264" w:lineRule="auto"/>
              <w:rPr/>
            </w:pPr>
            <w:r w:rsidDel="00000000" w:rsidR="00000000" w:rsidRPr="00000000">
              <w:rPr>
                <w:rtl w:val="0"/>
              </w:rPr>
              <w:t xml:space="preserve">Matthew Harris</w:t>
            </w:r>
          </w:p>
        </w:tc>
      </w:tr>
    </w:tbl>
    <w:p w:rsidR="00000000" w:rsidDel="00000000" w:rsidP="00000000" w:rsidRDefault="00000000" w:rsidRPr="00000000" w14:paraId="00000071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Discussed and created base layouts of customer back of business .</w:t>
      </w:r>
    </w:p>
    <w:p w:rsidR="00000000" w:rsidDel="00000000" w:rsidP="00000000" w:rsidRDefault="00000000" w:rsidRPr="00000000" w14:paraId="00000073">
      <w:pPr>
        <w:pStyle w:val="Heading4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Conclusions:</w:t>
      </w:r>
    </w:p>
    <w:p w:rsidR="00000000" w:rsidDel="00000000" w:rsidP="00000000" w:rsidRDefault="00000000" w:rsidRPr="00000000" w14:paraId="00000074">
      <w:pPr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Enter conclusions here.</w:t>
      </w:r>
    </w:p>
    <w:tbl>
      <w:tblPr>
        <w:tblStyle w:val="Table10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pStyle w:val="Heading2"/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pStyle w:val="Heading2"/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pStyle w:val="Heading2"/>
              <w:spacing w:before="120" w:line="264" w:lineRule="auto"/>
              <w:rPr>
                <w:color w:val="1f497d"/>
              </w:rPr>
            </w:pPr>
            <w:bookmarkStart w:colFirst="0" w:colLast="0" w:name="_heading=h.f66v1kn9hhqe" w:id="4"/>
            <w:bookmarkEnd w:id="4"/>
            <w:r w:rsidDel="00000000" w:rsidR="00000000" w:rsidRPr="00000000">
              <w:rPr>
                <w:color w:val="1f497d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Group meeting template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Patrick Siddels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12/04/2022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Gantt Chart template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Mathew Harris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12/04/2022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Stakeholder register template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360"/>
              <w:rPr>
                <w:color w:val="1f497d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Resource requirement list template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80">
            <w:pPr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Carl Henry Inguanzo</w:t>
            </w:r>
          </w:p>
          <w:p w:rsidR="00000000" w:rsidDel="00000000" w:rsidP="00000000" w:rsidRDefault="00000000" w:rsidRPr="00000000" w14:paraId="00000081">
            <w:pPr>
              <w:spacing w:before="120" w:line="264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Mathew Harris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12/04/2022</w:t>
            </w:r>
          </w:p>
          <w:p w:rsidR="00000000" w:rsidDel="00000000" w:rsidP="00000000" w:rsidRDefault="00000000" w:rsidRPr="00000000" w14:paraId="00000083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12/04/2022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Enter resources here.</w:t>
      </w:r>
    </w:p>
    <w:p w:rsidR="00000000" w:rsidDel="00000000" w:rsidP="00000000" w:rsidRDefault="00000000" w:rsidRPr="00000000" w14:paraId="00000087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22/02/2022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9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yRy1Z/iFA/NFL2HTAloHCFyXOg==">AMUW2mWDjq8Jn0lF5qK5ym55bcp8YQJDEv0jhRidFAGLSU+pHV0TUtEhuh3+wCWHC0CGdCX2IwubN1X3BV6quDmvthQaV4r7tn+rFLk1Xrjop5/q2b+4Vp18UbFcR1M7lSZmwIAoBejNwq/qtswCjndvEBKJHtUBgxq90SQdgDDbDKsHYKwoogl5fTtyMhF5QlYOhemd/h1y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