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1681"/>
        <w:gridCol w:w="1585"/>
        <w:gridCol w:w="1639"/>
        <w:gridCol w:w="2359"/>
        <w:gridCol w:w="5631"/>
      </w:tblGrid>
      <w:tr w:rsidR="00967A39" w14:paraId="5C3E1B53" w14:textId="77777777" w:rsidTr="00262029">
        <w:tc>
          <w:tcPr>
            <w:tcW w:w="1053" w:type="dxa"/>
          </w:tcPr>
          <w:p w14:paraId="79B1DAA1" w14:textId="3835B8E6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miRNA</w:t>
            </w:r>
          </w:p>
        </w:tc>
        <w:tc>
          <w:tcPr>
            <w:tcW w:w="1681" w:type="dxa"/>
          </w:tcPr>
          <w:p w14:paraId="371D3ED6" w14:textId="3BFB6076" w:rsidR="00967A39" w:rsidRPr="009524CB" w:rsidRDefault="00967A39" w:rsidP="009524CB">
            <w:pPr>
              <w:rPr>
                <w:b/>
                <w:bCs/>
              </w:rPr>
            </w:pPr>
            <w:r w:rsidRPr="00967A39">
              <w:rPr>
                <w:b/>
                <w:bCs/>
              </w:rPr>
              <w:t>Biological process / function</w:t>
            </w:r>
          </w:p>
        </w:tc>
        <w:tc>
          <w:tcPr>
            <w:tcW w:w="1585" w:type="dxa"/>
          </w:tcPr>
          <w:p w14:paraId="7800643E" w14:textId="72DC815A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Disease / context</w:t>
            </w:r>
          </w:p>
        </w:tc>
        <w:tc>
          <w:tcPr>
            <w:tcW w:w="1639" w:type="dxa"/>
          </w:tcPr>
          <w:p w14:paraId="71A0D8F9" w14:textId="348A060A" w:rsidR="00967A39" w:rsidRDefault="00967A39" w:rsidP="009524CB">
            <w:pPr>
              <w:rPr>
                <w:b/>
                <w:bCs/>
              </w:rPr>
            </w:pPr>
            <w:r>
              <w:rPr>
                <w:b/>
                <w:bCs/>
              </w:rPr>
              <w:t>Search Keyword</w:t>
            </w:r>
          </w:p>
        </w:tc>
        <w:tc>
          <w:tcPr>
            <w:tcW w:w="2359" w:type="dxa"/>
          </w:tcPr>
          <w:p w14:paraId="2FBF8DE1" w14:textId="296AB299" w:rsidR="00967A39" w:rsidRPr="009524CB" w:rsidRDefault="00967A39" w:rsidP="009524CB">
            <w:pPr>
              <w:rPr>
                <w:b/>
                <w:bCs/>
              </w:rPr>
            </w:pPr>
            <w:r w:rsidRPr="00967A39">
              <w:rPr>
                <w:b/>
                <w:bCs/>
              </w:rPr>
              <w:t>Summary of reported findings</w:t>
            </w:r>
          </w:p>
        </w:tc>
        <w:tc>
          <w:tcPr>
            <w:tcW w:w="5631" w:type="dxa"/>
          </w:tcPr>
          <w:p w14:paraId="421289D2" w14:textId="36BDF07C" w:rsidR="00967A39" w:rsidRPr="009524CB" w:rsidRDefault="00967A39" w:rsidP="009524CB">
            <w:pPr>
              <w:rPr>
                <w:b/>
                <w:bCs/>
              </w:rPr>
            </w:pPr>
            <w:r w:rsidRPr="009524CB">
              <w:rPr>
                <w:b/>
                <w:bCs/>
              </w:rPr>
              <w:t>Reference(s)</w:t>
            </w:r>
          </w:p>
        </w:tc>
      </w:tr>
      <w:tr w:rsidR="00967A39" w14:paraId="4BA03D64" w14:textId="77777777" w:rsidTr="00262029">
        <w:tc>
          <w:tcPr>
            <w:tcW w:w="1053" w:type="dxa"/>
          </w:tcPr>
          <w:p w14:paraId="55AB176B" w14:textId="2FA09B24" w:rsidR="00967A39" w:rsidRDefault="00E439DE" w:rsidP="009524CB">
            <w:r w:rsidRPr="00C42BE1">
              <w:rPr>
                <w:rFonts w:ascii="Aptos" w:eastAsia="Times New Roman" w:hAnsi="Aptos" w:cs="Calibri"/>
                <w:color w:val="000000"/>
                <w:lang w:eastAsia="en-GB"/>
              </w:rPr>
              <w:t>miR-574-5p</w:t>
            </w:r>
          </w:p>
        </w:tc>
        <w:tc>
          <w:tcPr>
            <w:tcW w:w="1681" w:type="dxa"/>
          </w:tcPr>
          <w:p w14:paraId="1FAE3CAA" w14:textId="639E8E79" w:rsidR="00967A39" w:rsidRDefault="00E439DE" w:rsidP="009524CB">
            <w:r>
              <w:t>Immune regulation</w:t>
            </w:r>
          </w:p>
        </w:tc>
        <w:tc>
          <w:tcPr>
            <w:tcW w:w="1585" w:type="dxa"/>
          </w:tcPr>
          <w:p w14:paraId="7A5A0299" w14:textId="1AE0A5AB" w:rsidR="00967A39" w:rsidRDefault="00E439DE" w:rsidP="009524CB">
            <w:r>
              <w:t>Toll-like receptor</w:t>
            </w:r>
          </w:p>
        </w:tc>
        <w:tc>
          <w:tcPr>
            <w:tcW w:w="1639" w:type="dxa"/>
          </w:tcPr>
          <w:p w14:paraId="131D2C6C" w14:textId="4271618E" w:rsidR="00967A39" w:rsidRDefault="00E439DE" w:rsidP="009524CB">
            <w:r>
              <w:t>Immune</w:t>
            </w:r>
            <w:r w:rsidR="00D5221A">
              <w:t>, inflammation</w:t>
            </w:r>
          </w:p>
        </w:tc>
        <w:tc>
          <w:tcPr>
            <w:tcW w:w="2359" w:type="dxa"/>
          </w:tcPr>
          <w:p w14:paraId="4CE7CA4C" w14:textId="61442790" w:rsidR="00E439DE" w:rsidRDefault="00E439DE" w:rsidP="00E128E4">
            <w:pPr>
              <w:rPr>
                <w:rFonts w:ascii="Aptos" w:eastAsia="Times New Roman" w:hAnsi="Aptos" w:cs="Calibri"/>
                <w:color w:val="000000"/>
                <w:lang w:eastAsia="en-GB"/>
              </w:rPr>
            </w:pPr>
            <w:r w:rsidRPr="00C42BE1">
              <w:rPr>
                <w:rFonts w:ascii="Aptos" w:eastAsia="Times New Roman" w:hAnsi="Aptos" w:cs="Calibri"/>
                <w:color w:val="000000"/>
                <w:lang w:eastAsia="en-GB"/>
              </w:rPr>
              <w:t>miR-574-5p</w:t>
            </w:r>
            <w:r>
              <w:rPr>
                <w:rFonts w:ascii="Aptos" w:eastAsia="Times New Roman" w:hAnsi="Aptos" w:cs="Calibri"/>
                <w:color w:val="000000"/>
                <w:lang w:eastAsia="en-GB"/>
              </w:rPr>
              <w:t xml:space="preserve"> regulates TLR8/7, with signalling abnormalities associated with autoimmune diseases (e.g., lupus) and inflammation-related cancers</w:t>
            </w:r>
            <w:r w:rsidR="00D5221A">
              <w:rPr>
                <w:rFonts w:ascii="Aptos" w:eastAsia="Times New Roman" w:hAnsi="Aptos" w:cs="Calibri"/>
                <w:color w:val="000000"/>
                <w:lang w:eastAsia="en-GB"/>
              </w:rPr>
              <w:t xml:space="preserve">, and neonatal respiratory distress syndrome via interactions with </w:t>
            </w:r>
            <w:r w:rsidR="00D5221A" w:rsidRPr="00D5221A">
              <w:rPr>
                <w:rFonts w:ascii="Aptos" w:eastAsia="Times New Roman" w:hAnsi="Aptos" w:cs="Calibri"/>
                <w:color w:val="000000"/>
                <w:lang w:eastAsia="en-GB"/>
              </w:rPr>
              <w:t>RAB10</w:t>
            </w:r>
            <w:r w:rsidR="00D5221A">
              <w:rPr>
                <w:rFonts w:ascii="Aptos" w:eastAsia="Times New Roman" w:hAnsi="Aptos" w:cs="Calibri"/>
                <w:color w:val="000000"/>
                <w:lang w:eastAsia="en-GB"/>
              </w:rPr>
              <w:t>.</w:t>
            </w:r>
          </w:p>
          <w:p w14:paraId="11E54814" w14:textId="77777777" w:rsidR="00E439DE" w:rsidRDefault="00E439DE" w:rsidP="00E128E4">
            <w:pPr>
              <w:rPr>
                <w:rFonts w:ascii="Aptos" w:eastAsia="Times New Roman" w:hAnsi="Aptos" w:cs="Calibri"/>
                <w:color w:val="000000"/>
                <w:lang w:eastAsia="en-GB"/>
              </w:rPr>
            </w:pPr>
          </w:p>
          <w:p w14:paraId="7D82FEEC" w14:textId="1C48E61A" w:rsidR="00967A39" w:rsidRDefault="00967A39" w:rsidP="00D5221A"/>
        </w:tc>
        <w:tc>
          <w:tcPr>
            <w:tcW w:w="5631" w:type="dxa"/>
          </w:tcPr>
          <w:p w14:paraId="6A22944D" w14:textId="17662013" w:rsidR="00725268" w:rsidRDefault="00725268" w:rsidP="009524CB">
            <w:r>
              <w:t>Yang, 2024; Wang et al., 2024; Ji et al., 2026</w:t>
            </w:r>
          </w:p>
        </w:tc>
      </w:tr>
      <w:tr w:rsidR="005A17DF" w14:paraId="465D15F5" w14:textId="77777777" w:rsidTr="00262029">
        <w:tc>
          <w:tcPr>
            <w:tcW w:w="1053" w:type="dxa"/>
          </w:tcPr>
          <w:p w14:paraId="6109097D" w14:textId="4C9E535C" w:rsidR="005A17DF" w:rsidRDefault="00D5221A" w:rsidP="009524CB">
            <w:r w:rsidRPr="00C42BE1">
              <w:rPr>
                <w:rFonts w:ascii="Aptos" w:eastAsia="Times New Roman" w:hAnsi="Aptos" w:cs="Calibri"/>
                <w:color w:val="000000"/>
                <w:lang w:eastAsia="en-GB"/>
              </w:rPr>
              <w:t>miR-574-5p</w:t>
            </w:r>
          </w:p>
        </w:tc>
        <w:tc>
          <w:tcPr>
            <w:tcW w:w="1681" w:type="dxa"/>
          </w:tcPr>
          <w:p w14:paraId="32BDECE8" w14:textId="0AA861CB" w:rsidR="005A17DF" w:rsidRDefault="00D5221A" w:rsidP="009524CB">
            <w:r>
              <w:t xml:space="preserve">Regulation of epithelial-mesenchymal transition </w:t>
            </w:r>
          </w:p>
        </w:tc>
        <w:tc>
          <w:tcPr>
            <w:tcW w:w="1585" w:type="dxa"/>
          </w:tcPr>
          <w:p w14:paraId="3B365AB8" w14:textId="59A65760" w:rsidR="005A17DF" w:rsidRDefault="00D5221A" w:rsidP="009524CB">
            <w:r>
              <w:t>Small cell lung cancer</w:t>
            </w:r>
          </w:p>
        </w:tc>
        <w:tc>
          <w:tcPr>
            <w:tcW w:w="1639" w:type="dxa"/>
          </w:tcPr>
          <w:p w14:paraId="2F4327E6" w14:textId="72B8F643" w:rsidR="005A17DF" w:rsidRDefault="00D5221A" w:rsidP="009524CB">
            <w:r>
              <w:t>Epithelial</w:t>
            </w:r>
          </w:p>
        </w:tc>
        <w:tc>
          <w:tcPr>
            <w:tcW w:w="2359" w:type="dxa"/>
          </w:tcPr>
          <w:p w14:paraId="3E5E8157" w14:textId="0152CF5C" w:rsidR="005A17DF" w:rsidRDefault="00D5221A" w:rsidP="00E128E4">
            <w:r w:rsidRPr="00C42BE1">
              <w:rPr>
                <w:rFonts w:ascii="Aptos" w:eastAsia="Times New Roman" w:hAnsi="Aptos" w:cs="Calibri"/>
                <w:color w:val="000000"/>
                <w:lang w:eastAsia="en-GB"/>
              </w:rPr>
              <w:t>miR-574-5p</w:t>
            </w:r>
            <w:r>
              <w:rPr>
                <w:rFonts w:ascii="Aptos" w:eastAsia="Times New Roman" w:hAnsi="Aptos" w:cs="Calibri"/>
                <w:color w:val="000000"/>
                <w:lang w:eastAsia="en-GB"/>
              </w:rPr>
              <w:t xml:space="preserve"> binds directly to vimentin to potentially mediate the epithelial-mesenchymal transition in small cell lung cancer.</w:t>
            </w:r>
          </w:p>
        </w:tc>
        <w:tc>
          <w:tcPr>
            <w:tcW w:w="5631" w:type="dxa"/>
          </w:tcPr>
          <w:p w14:paraId="4A94B7D4" w14:textId="64DD4DEE" w:rsidR="00725268" w:rsidRPr="005A6B1F" w:rsidRDefault="00725268" w:rsidP="009524CB">
            <w:r>
              <w:t>Sun et al., 2021</w:t>
            </w:r>
          </w:p>
        </w:tc>
      </w:tr>
      <w:tr w:rsidR="00D5221A" w14:paraId="6C600EE2" w14:textId="77777777" w:rsidTr="00262029">
        <w:tc>
          <w:tcPr>
            <w:tcW w:w="1053" w:type="dxa"/>
          </w:tcPr>
          <w:p w14:paraId="25CBE8F1" w14:textId="70F0BD98" w:rsidR="00D5221A" w:rsidRDefault="00D5221A" w:rsidP="00D5221A">
            <w:r w:rsidRPr="00C42BE1">
              <w:rPr>
                <w:rFonts w:ascii="Aptos" w:eastAsia="Times New Roman" w:hAnsi="Aptos" w:cs="Calibri"/>
                <w:color w:val="000000"/>
                <w:lang w:eastAsia="en-GB"/>
              </w:rPr>
              <w:t>miR-574-5p</w:t>
            </w:r>
          </w:p>
        </w:tc>
        <w:tc>
          <w:tcPr>
            <w:tcW w:w="1681" w:type="dxa"/>
          </w:tcPr>
          <w:p w14:paraId="1AB43BF2" w14:textId="7B2BEDD7" w:rsidR="00D5221A" w:rsidRDefault="00D5221A" w:rsidP="00D5221A">
            <w:r>
              <w:t>Extracellular vesicle signalling</w:t>
            </w:r>
          </w:p>
        </w:tc>
        <w:tc>
          <w:tcPr>
            <w:tcW w:w="1585" w:type="dxa"/>
          </w:tcPr>
          <w:p w14:paraId="0F6C76F4" w14:textId="5F50446B" w:rsidR="00D5221A" w:rsidRDefault="00D5221A" w:rsidP="00D5221A">
            <w:r>
              <w:t>Extracellular vesicles</w:t>
            </w:r>
          </w:p>
        </w:tc>
        <w:tc>
          <w:tcPr>
            <w:tcW w:w="1639" w:type="dxa"/>
          </w:tcPr>
          <w:p w14:paraId="4F1C1F6B" w14:textId="0A3915EF" w:rsidR="00D5221A" w:rsidRDefault="00D5221A" w:rsidP="00D5221A">
            <w:r>
              <w:t>Extracellular vesicle</w:t>
            </w:r>
          </w:p>
        </w:tc>
        <w:tc>
          <w:tcPr>
            <w:tcW w:w="2359" w:type="dxa"/>
          </w:tcPr>
          <w:p w14:paraId="04EE2F3B" w14:textId="214F3193" w:rsidR="00D5221A" w:rsidRPr="00EC2505" w:rsidRDefault="00EC2505" w:rsidP="00D5221A">
            <w:r>
              <w:t xml:space="preserve">Small extracellular vesicles transfer </w:t>
            </w:r>
            <w:r w:rsidRPr="00EC2505">
              <w:t>miR</w:t>
            </w:r>
            <w:r w:rsidRPr="00EC2505">
              <w:rPr>
                <w:rFonts w:ascii="Cambria Math" w:hAnsi="Cambria Math" w:cs="Cambria Math"/>
              </w:rPr>
              <w:t>‐</w:t>
            </w:r>
            <w:r w:rsidRPr="00EC2505">
              <w:t>574</w:t>
            </w:r>
            <w:r w:rsidRPr="00EC2505">
              <w:rPr>
                <w:rFonts w:ascii="Cambria Math" w:hAnsi="Cambria Math" w:cs="Cambria Math"/>
              </w:rPr>
              <w:t>‐</w:t>
            </w:r>
            <w:r w:rsidRPr="00EC2505">
              <w:t>5p</w:t>
            </w:r>
            <w:r>
              <w:t xml:space="preserve"> to </w:t>
            </w:r>
            <w:r>
              <w:lastRenderedPageBreak/>
              <w:t xml:space="preserve">activate </w:t>
            </w:r>
            <w:r w:rsidR="00554D5A">
              <w:t>TLR</w:t>
            </w:r>
            <w:r>
              <w:t>7/8 and regulate prostaglandin E</w:t>
            </w:r>
            <w:r>
              <w:rPr>
                <w:vertAlign w:val="subscript"/>
              </w:rPr>
              <w:t>2</w:t>
            </w:r>
            <w:r>
              <w:t xml:space="preserve"> in adenocarcinoma.</w:t>
            </w:r>
          </w:p>
        </w:tc>
        <w:tc>
          <w:tcPr>
            <w:tcW w:w="5631" w:type="dxa"/>
          </w:tcPr>
          <w:p w14:paraId="4096985D" w14:textId="3CC53E76" w:rsidR="00725268" w:rsidRPr="005A6B1F" w:rsidRDefault="00725268" w:rsidP="00D5221A">
            <w:r>
              <w:lastRenderedPageBreak/>
              <w:t>Donzelli et al., 2021</w:t>
            </w:r>
          </w:p>
        </w:tc>
      </w:tr>
    </w:tbl>
    <w:p w14:paraId="29DB5795" w14:textId="77777777" w:rsidR="00D323D5" w:rsidRDefault="00D323D5" w:rsidP="009524CB"/>
    <w:p w14:paraId="5F56E5E6" w14:textId="77777777" w:rsidR="009A09E8" w:rsidRDefault="009A09E8" w:rsidP="009524CB"/>
    <w:p w14:paraId="5A5DAE4F" w14:textId="77777777" w:rsidR="009A09E8" w:rsidRDefault="009A09E8" w:rsidP="009524CB"/>
    <w:p w14:paraId="3C1AB668" w14:textId="2BDD93A1" w:rsidR="00604D1A" w:rsidRPr="009524CB" w:rsidRDefault="00604D1A" w:rsidP="009524CB"/>
    <w:sectPr w:rsidR="00604D1A" w:rsidRPr="009524CB" w:rsidSect="009524C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05450"/>
    <w:multiLevelType w:val="hybridMultilevel"/>
    <w:tmpl w:val="2086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01556"/>
    <w:multiLevelType w:val="hybridMultilevel"/>
    <w:tmpl w:val="E398B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80BB6"/>
    <w:multiLevelType w:val="hybridMultilevel"/>
    <w:tmpl w:val="29587E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B3C58"/>
    <w:multiLevelType w:val="hybridMultilevel"/>
    <w:tmpl w:val="58808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D7EC4"/>
    <w:multiLevelType w:val="hybridMultilevel"/>
    <w:tmpl w:val="EB2CB4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A5C0A"/>
    <w:multiLevelType w:val="hybridMultilevel"/>
    <w:tmpl w:val="50DEA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226515">
    <w:abstractNumId w:val="5"/>
  </w:num>
  <w:num w:numId="2" w16cid:durableId="1589264645">
    <w:abstractNumId w:val="3"/>
  </w:num>
  <w:num w:numId="3" w16cid:durableId="840973285">
    <w:abstractNumId w:val="0"/>
  </w:num>
  <w:num w:numId="4" w16cid:durableId="1755858828">
    <w:abstractNumId w:val="1"/>
  </w:num>
  <w:num w:numId="5" w16cid:durableId="1017923284">
    <w:abstractNumId w:val="4"/>
  </w:num>
  <w:num w:numId="6" w16cid:durableId="1992445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83"/>
    <w:rsid w:val="00001138"/>
    <w:rsid w:val="00004A7B"/>
    <w:rsid w:val="000062C5"/>
    <w:rsid w:val="000075EF"/>
    <w:rsid w:val="0001038A"/>
    <w:rsid w:val="00014F98"/>
    <w:rsid w:val="0002196B"/>
    <w:rsid w:val="00023CAE"/>
    <w:rsid w:val="00030347"/>
    <w:rsid w:val="00047129"/>
    <w:rsid w:val="00053687"/>
    <w:rsid w:val="00063712"/>
    <w:rsid w:val="0006745F"/>
    <w:rsid w:val="00087674"/>
    <w:rsid w:val="000A2124"/>
    <w:rsid w:val="000A2214"/>
    <w:rsid w:val="000A412F"/>
    <w:rsid w:val="000B4FFF"/>
    <w:rsid w:val="000C0C98"/>
    <w:rsid w:val="000C37ED"/>
    <w:rsid w:val="000C3A2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3173A"/>
    <w:rsid w:val="0013211E"/>
    <w:rsid w:val="00135299"/>
    <w:rsid w:val="00136AD8"/>
    <w:rsid w:val="00142A6D"/>
    <w:rsid w:val="00151ADF"/>
    <w:rsid w:val="00164445"/>
    <w:rsid w:val="00186C80"/>
    <w:rsid w:val="0019269E"/>
    <w:rsid w:val="00194B2E"/>
    <w:rsid w:val="001961BF"/>
    <w:rsid w:val="001A19CE"/>
    <w:rsid w:val="001C1675"/>
    <w:rsid w:val="001E0E43"/>
    <w:rsid w:val="001E357F"/>
    <w:rsid w:val="002154B7"/>
    <w:rsid w:val="0023299A"/>
    <w:rsid w:val="00243F62"/>
    <w:rsid w:val="002564F5"/>
    <w:rsid w:val="0026102C"/>
    <w:rsid w:val="00262029"/>
    <w:rsid w:val="00263D1F"/>
    <w:rsid w:val="00297183"/>
    <w:rsid w:val="002A09C9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E67EF"/>
    <w:rsid w:val="002F0646"/>
    <w:rsid w:val="002F083A"/>
    <w:rsid w:val="002F27D0"/>
    <w:rsid w:val="0030365D"/>
    <w:rsid w:val="003121FA"/>
    <w:rsid w:val="00314F62"/>
    <w:rsid w:val="003151AB"/>
    <w:rsid w:val="0033757A"/>
    <w:rsid w:val="003531C6"/>
    <w:rsid w:val="00353EBB"/>
    <w:rsid w:val="003548AD"/>
    <w:rsid w:val="00361B9E"/>
    <w:rsid w:val="003705A4"/>
    <w:rsid w:val="003808DD"/>
    <w:rsid w:val="00384E01"/>
    <w:rsid w:val="00397E4D"/>
    <w:rsid w:val="003A7BB1"/>
    <w:rsid w:val="003B038C"/>
    <w:rsid w:val="003B0808"/>
    <w:rsid w:val="003B459C"/>
    <w:rsid w:val="003C2804"/>
    <w:rsid w:val="003C7AAA"/>
    <w:rsid w:val="003D2EEB"/>
    <w:rsid w:val="003D4F05"/>
    <w:rsid w:val="003F128A"/>
    <w:rsid w:val="003F27D5"/>
    <w:rsid w:val="003F4098"/>
    <w:rsid w:val="004011A9"/>
    <w:rsid w:val="00405032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5768"/>
    <w:rsid w:val="0051170F"/>
    <w:rsid w:val="00517147"/>
    <w:rsid w:val="00517496"/>
    <w:rsid w:val="005200FF"/>
    <w:rsid w:val="005227DE"/>
    <w:rsid w:val="0053658F"/>
    <w:rsid w:val="00541A6D"/>
    <w:rsid w:val="005465FF"/>
    <w:rsid w:val="005505AC"/>
    <w:rsid w:val="005508BC"/>
    <w:rsid w:val="005524A2"/>
    <w:rsid w:val="00553F9E"/>
    <w:rsid w:val="00554D5A"/>
    <w:rsid w:val="0055642F"/>
    <w:rsid w:val="0056176D"/>
    <w:rsid w:val="0056269E"/>
    <w:rsid w:val="00576C23"/>
    <w:rsid w:val="005870FD"/>
    <w:rsid w:val="005A17DF"/>
    <w:rsid w:val="005A26A8"/>
    <w:rsid w:val="005A6B1F"/>
    <w:rsid w:val="005B1175"/>
    <w:rsid w:val="005B192A"/>
    <w:rsid w:val="005B44CB"/>
    <w:rsid w:val="005B467C"/>
    <w:rsid w:val="005C453C"/>
    <w:rsid w:val="005C6D20"/>
    <w:rsid w:val="005D6DD8"/>
    <w:rsid w:val="005D7547"/>
    <w:rsid w:val="005E3D8D"/>
    <w:rsid w:val="006019A9"/>
    <w:rsid w:val="00604D1A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3796"/>
    <w:rsid w:val="006B651A"/>
    <w:rsid w:val="006C1EC5"/>
    <w:rsid w:val="006E0112"/>
    <w:rsid w:val="006E1EA2"/>
    <w:rsid w:val="00703510"/>
    <w:rsid w:val="007073B3"/>
    <w:rsid w:val="0071689B"/>
    <w:rsid w:val="0072080D"/>
    <w:rsid w:val="00725268"/>
    <w:rsid w:val="00727835"/>
    <w:rsid w:val="00727F9B"/>
    <w:rsid w:val="00731925"/>
    <w:rsid w:val="0075162F"/>
    <w:rsid w:val="00756FD1"/>
    <w:rsid w:val="00757A2B"/>
    <w:rsid w:val="00760F8C"/>
    <w:rsid w:val="0076122F"/>
    <w:rsid w:val="00770812"/>
    <w:rsid w:val="00773A5E"/>
    <w:rsid w:val="007866AF"/>
    <w:rsid w:val="0079323E"/>
    <w:rsid w:val="00793829"/>
    <w:rsid w:val="00793E26"/>
    <w:rsid w:val="007A17DB"/>
    <w:rsid w:val="007A69D7"/>
    <w:rsid w:val="007B23E1"/>
    <w:rsid w:val="007B4EC7"/>
    <w:rsid w:val="007B6B0E"/>
    <w:rsid w:val="007B74C6"/>
    <w:rsid w:val="007C22C0"/>
    <w:rsid w:val="007D0F2F"/>
    <w:rsid w:val="007D626D"/>
    <w:rsid w:val="007E59F2"/>
    <w:rsid w:val="00801A1C"/>
    <w:rsid w:val="00801F1B"/>
    <w:rsid w:val="00803352"/>
    <w:rsid w:val="008115BC"/>
    <w:rsid w:val="00815CA4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51BC7"/>
    <w:rsid w:val="009524CB"/>
    <w:rsid w:val="0095447A"/>
    <w:rsid w:val="009576F0"/>
    <w:rsid w:val="0096091F"/>
    <w:rsid w:val="00967A39"/>
    <w:rsid w:val="00970B83"/>
    <w:rsid w:val="00974CDA"/>
    <w:rsid w:val="00985C20"/>
    <w:rsid w:val="00987476"/>
    <w:rsid w:val="009924B2"/>
    <w:rsid w:val="00992996"/>
    <w:rsid w:val="009A09E8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565B"/>
    <w:rsid w:val="00A26B58"/>
    <w:rsid w:val="00A344BE"/>
    <w:rsid w:val="00A3711B"/>
    <w:rsid w:val="00A37372"/>
    <w:rsid w:val="00A5596B"/>
    <w:rsid w:val="00A61375"/>
    <w:rsid w:val="00A727E1"/>
    <w:rsid w:val="00A80D9F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3780C"/>
    <w:rsid w:val="00B46D3C"/>
    <w:rsid w:val="00B54B2E"/>
    <w:rsid w:val="00B659D7"/>
    <w:rsid w:val="00B802C8"/>
    <w:rsid w:val="00B81155"/>
    <w:rsid w:val="00B863A7"/>
    <w:rsid w:val="00BA14F3"/>
    <w:rsid w:val="00BA3714"/>
    <w:rsid w:val="00BB0819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98A"/>
    <w:rsid w:val="00BF635B"/>
    <w:rsid w:val="00BF7533"/>
    <w:rsid w:val="00C122AF"/>
    <w:rsid w:val="00C31296"/>
    <w:rsid w:val="00C343FA"/>
    <w:rsid w:val="00C41726"/>
    <w:rsid w:val="00C555DA"/>
    <w:rsid w:val="00C72A9B"/>
    <w:rsid w:val="00C80DFB"/>
    <w:rsid w:val="00C80E01"/>
    <w:rsid w:val="00C8684D"/>
    <w:rsid w:val="00C91136"/>
    <w:rsid w:val="00CA01FB"/>
    <w:rsid w:val="00CB5EC7"/>
    <w:rsid w:val="00CB7B3A"/>
    <w:rsid w:val="00CC1BE7"/>
    <w:rsid w:val="00CC2C6F"/>
    <w:rsid w:val="00CC76FF"/>
    <w:rsid w:val="00CD34DA"/>
    <w:rsid w:val="00CF70B9"/>
    <w:rsid w:val="00D051AB"/>
    <w:rsid w:val="00D0537F"/>
    <w:rsid w:val="00D05438"/>
    <w:rsid w:val="00D065B4"/>
    <w:rsid w:val="00D0708D"/>
    <w:rsid w:val="00D323D5"/>
    <w:rsid w:val="00D42336"/>
    <w:rsid w:val="00D45457"/>
    <w:rsid w:val="00D512B2"/>
    <w:rsid w:val="00D5221A"/>
    <w:rsid w:val="00D53A0E"/>
    <w:rsid w:val="00D61F79"/>
    <w:rsid w:val="00D65E35"/>
    <w:rsid w:val="00D743BD"/>
    <w:rsid w:val="00D75CF5"/>
    <w:rsid w:val="00D90D02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8E4"/>
    <w:rsid w:val="00E12FCA"/>
    <w:rsid w:val="00E20685"/>
    <w:rsid w:val="00E20B1B"/>
    <w:rsid w:val="00E300CA"/>
    <w:rsid w:val="00E35CD6"/>
    <w:rsid w:val="00E42A10"/>
    <w:rsid w:val="00E439DE"/>
    <w:rsid w:val="00E6521C"/>
    <w:rsid w:val="00E71E2C"/>
    <w:rsid w:val="00E827FE"/>
    <w:rsid w:val="00E82E65"/>
    <w:rsid w:val="00E85DB3"/>
    <w:rsid w:val="00E93267"/>
    <w:rsid w:val="00EA6DF6"/>
    <w:rsid w:val="00EA7097"/>
    <w:rsid w:val="00EB675A"/>
    <w:rsid w:val="00EC12B9"/>
    <w:rsid w:val="00EC2505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0813"/>
  <w15:chartTrackingRefBased/>
  <w15:docId w15:val="{009786E5-8E14-9B4D-A429-A68E30A2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B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0B83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D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25</cp:revision>
  <dcterms:created xsi:type="dcterms:W3CDTF">2026-05-22T16:09:00Z</dcterms:created>
  <dcterms:modified xsi:type="dcterms:W3CDTF">2026-07-20T14:59:00Z</dcterms:modified>
</cp:coreProperties>
</file>