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48E69D" w14:textId="4668645D" w:rsidR="003C1A01" w:rsidRDefault="003C1A01" w:rsidP="000A37C7">
      <w:pPr>
        <w:rPr>
          <w:b/>
          <w:bCs/>
        </w:rPr>
      </w:pPr>
      <w:r w:rsidRPr="003C1A01">
        <w:rPr>
          <w:b/>
          <w:bCs/>
        </w:rPr>
        <w:t>Paragraph 1</w:t>
      </w:r>
    </w:p>
    <w:p w14:paraId="092AE559" w14:textId="237B6350" w:rsidR="00A60B91" w:rsidRDefault="00A60B91" w:rsidP="00A60B91">
      <w:r>
        <w:t>Allergy-induced respiratory diseases constitute a significant health burden, with an estimated 260 million cases of asthma existing worldwide in 2021 (</w:t>
      </w:r>
      <w:hyperlink r:id="rId5" w:history="1">
        <w:r w:rsidRPr="00B2661E">
          <w:rPr>
            <w:rStyle w:val="Hyperlink"/>
          </w:rPr>
          <w:t>https://pmc.ncbi.nlm.nih.gov/articles/PMC11993038/</w:t>
        </w:r>
      </w:hyperlink>
      <w:r>
        <w:t>). Environmental and genetic factors during development drive the prevalence of chronic airway inflammation diseases such as asthma (</w:t>
      </w:r>
      <w:hyperlink r:id="rId6" w:history="1">
        <w:r w:rsidRPr="00B2661E">
          <w:rPr>
            <w:rStyle w:val="Hyperlink"/>
          </w:rPr>
          <w:t>https://www.sciencedirect.com/science/article/pii/S0091674919307535?via%3Dihub</w:t>
        </w:r>
      </w:hyperlink>
      <w:r>
        <w:t>).</w:t>
      </w:r>
      <w:r w:rsidR="00BC0E6F">
        <w:t xml:space="preserve"> </w:t>
      </w:r>
      <w:r>
        <w:t xml:space="preserve">The airway epithelial barrier </w:t>
      </w:r>
      <w:r w:rsidR="00BC0E6F">
        <w:t xml:space="preserve">(AEB) </w:t>
      </w:r>
      <w:r>
        <w:t>constitutes the primary line of defence against inhaled allergens in healthy individuals (</w:t>
      </w:r>
      <w:hyperlink r:id="rId7" w:history="1">
        <w:r w:rsidRPr="00B2661E">
          <w:rPr>
            <w:rStyle w:val="Hyperlink"/>
          </w:rPr>
          <w:t>https://pmc.ncbi.nlm.nih.gov/articles/PMC7118214/</w:t>
        </w:r>
      </w:hyperlink>
      <w:r>
        <w:t>). The barrier consists of [state variety of cells] and is in consistent communication with immune cells [such as].</w:t>
      </w:r>
      <w:r w:rsidR="00BC0E6F">
        <w:t xml:space="preserve"> </w:t>
      </w:r>
      <w:r>
        <w:t>Disruptions to barrier integrity is indicated in many respiratory diseases [references].</w:t>
      </w:r>
      <w:r w:rsidR="00BC0E6F">
        <w:t xml:space="preserve"> </w:t>
      </w:r>
      <w:r>
        <w:t xml:space="preserve">Extracellular </w:t>
      </w:r>
      <w:proofErr w:type="spellStart"/>
      <w:r>
        <w:t>vesicles</w:t>
      </w:r>
      <w:proofErr w:type="spellEnd"/>
      <w:r>
        <w:t xml:space="preserve"> (EVs) have been demonstrated to be involved in key cellular processes necessary for the maintenance of homeostasis</w:t>
      </w:r>
      <w:r w:rsidR="00BC0E6F">
        <w:t>, including in the AEB</w:t>
      </w:r>
      <w:r>
        <w:t xml:space="preserve"> (</w:t>
      </w:r>
      <w:hyperlink r:id="rId8" w:history="1">
        <w:r w:rsidRPr="00E73D08">
          <w:rPr>
            <w:rStyle w:val="Hyperlink"/>
          </w:rPr>
          <w:t>https://link.springer.com/article/10.1007/s11033-023-08624-w</w:t>
        </w:r>
      </w:hyperlink>
      <w:r>
        <w:t>)</w:t>
      </w:r>
      <w:r w:rsidR="00BC0E6F" w:rsidRPr="00BC0E6F">
        <w:t xml:space="preserve"> </w:t>
      </w:r>
      <w:r w:rsidR="00BC0E6F">
        <w:t>[references from GH’s paper]</w:t>
      </w:r>
      <w:r>
        <w:t>.</w:t>
      </w:r>
      <w:r w:rsidR="00BC0E6F">
        <w:t xml:space="preserve"> </w:t>
      </w:r>
      <w:r>
        <w:t>It is thought EVs have the potential to disrupt the epithelial barrier and propagate airway inflammation [references from GH’s paper].</w:t>
      </w:r>
    </w:p>
    <w:p w14:paraId="4544F31B" w14:textId="77777777" w:rsidR="00B369F0" w:rsidRDefault="00B369F0" w:rsidP="000A37C7">
      <w:pPr>
        <w:rPr>
          <w:b/>
          <w:bCs/>
        </w:rPr>
      </w:pPr>
    </w:p>
    <w:p w14:paraId="079D4754" w14:textId="77777777" w:rsidR="00B369F0" w:rsidRDefault="00B369F0" w:rsidP="000A37C7">
      <w:pPr>
        <w:rPr>
          <w:b/>
          <w:bCs/>
        </w:rPr>
      </w:pPr>
    </w:p>
    <w:p w14:paraId="455F6E9A" w14:textId="77777777" w:rsidR="00B369F0" w:rsidRPr="003C1A01" w:rsidRDefault="00B369F0" w:rsidP="000A37C7">
      <w:pPr>
        <w:rPr>
          <w:b/>
          <w:bCs/>
        </w:rPr>
      </w:pPr>
    </w:p>
    <w:p w14:paraId="5B816025" w14:textId="5187E941" w:rsidR="003C1A01" w:rsidRPr="003C1A01" w:rsidRDefault="003C1A01" w:rsidP="000A37C7">
      <w:pPr>
        <w:rPr>
          <w:b/>
          <w:bCs/>
        </w:rPr>
      </w:pPr>
      <w:r w:rsidRPr="003C1A01">
        <w:rPr>
          <w:b/>
          <w:bCs/>
        </w:rPr>
        <w:t>Paragraph 2</w:t>
      </w:r>
    </w:p>
    <w:p w14:paraId="359E678A" w14:textId="026EBBB7" w:rsidR="00680C47" w:rsidRDefault="00675767" w:rsidP="000A37C7">
      <w:r>
        <w:t>EVs are small lipid bilayer-enclosed particles, released almost ubiquitously among human cells, responsible for intercellular communication via transfer of their bioactive cargo to recipient cells (</w:t>
      </w:r>
      <w:r w:rsidRPr="002061DA">
        <w:tab/>
      </w:r>
      <w:hyperlink r:id="rId9" w:history="1">
        <w:r w:rsidRPr="00B2661E">
          <w:rPr>
            <w:rStyle w:val="Hyperlink"/>
          </w:rPr>
          <w:t>https://pmc.ncbi.nlm.nih.gov/articles/PMC11238361/</w:t>
        </w:r>
      </w:hyperlink>
      <w:r>
        <w:t>,</w:t>
      </w:r>
      <w:r w:rsidRPr="002061DA">
        <w:tab/>
      </w:r>
      <w:hyperlink r:id="rId10" w:history="1">
        <w:r w:rsidRPr="00B2661E">
          <w:rPr>
            <w:rStyle w:val="Hyperlink"/>
          </w:rPr>
          <w:t>https://isevjournals.onlinelibrary.wiley.com/doi/10.1002/jev2.12124</w:t>
        </w:r>
      </w:hyperlink>
      <w:r>
        <w:t>,</w:t>
      </w:r>
      <w:r w:rsidRPr="002061DA">
        <w:tab/>
      </w:r>
      <w:hyperlink r:id="rId11" w:history="1">
        <w:r w:rsidRPr="00B2661E">
          <w:rPr>
            <w:rStyle w:val="Hyperlink"/>
          </w:rPr>
          <w:t>https://www.nature.com/articles/s42003-024-06197-3</w:t>
        </w:r>
      </w:hyperlink>
      <w:r>
        <w:t>).</w:t>
      </w:r>
      <w:r w:rsidR="009130D7">
        <w:t xml:space="preserve"> </w:t>
      </w:r>
      <w:r>
        <w:t>This cargo consists of various biomolecules including microRNAs (miRNAs), small non-coding RNAs, approximately 18-30nt, that exercise gene silencing through post-transcriptional degradation of mRNAs (</w:t>
      </w:r>
      <w:hyperlink r:id="rId12" w:history="1">
        <w:r w:rsidRPr="00E73D08">
          <w:rPr>
            <w:rStyle w:val="Hyperlink"/>
          </w:rPr>
          <w:t>https://pmc.ncbi.nlm.nih.gov/articles/PMC4013392/</w:t>
        </w:r>
      </w:hyperlink>
      <w:r>
        <w:t>).</w:t>
      </w:r>
      <w:r w:rsidR="009130D7">
        <w:t xml:space="preserve"> </w:t>
      </w:r>
      <w:r>
        <w:t>Lung epithelial cells readily generate EVs during lung inflammation, which can be commonly triggered through allergen exposure. (</w:t>
      </w:r>
      <w:hyperlink r:id="rId13" w:history="1">
        <w:r w:rsidRPr="00E73D08">
          <w:rPr>
            <w:rStyle w:val="Hyperlink"/>
          </w:rPr>
          <w:t>https://onlinelibrary.wiley.com/doi/full/10.1111/cea.13562</w:t>
        </w:r>
      </w:hyperlink>
      <w:r>
        <w:t xml:space="preserve">, </w:t>
      </w:r>
      <w:hyperlink r:id="rId14" w:history="1">
        <w:r w:rsidRPr="00E73D08">
          <w:rPr>
            <w:rStyle w:val="Hyperlink"/>
          </w:rPr>
          <w:t>https://www.nature.com/articles/s12276-020-0450-9</w:t>
        </w:r>
      </w:hyperlink>
      <w:r>
        <w:t xml:space="preserve">). Common allergens include house dust mite (HDM), dog allergens and protease enzyme allergens, found in many household cleaning products. EV miRNA cargo </w:t>
      </w:r>
      <w:r w:rsidR="009D5EA7">
        <w:t>can change upon allergen exposure and between healthy individuals and respiratory disease sufferers (</w:t>
      </w:r>
      <w:hyperlink r:id="rId15" w:history="1">
        <w:r w:rsidR="009D5EA7" w:rsidRPr="00E73D08">
          <w:rPr>
            <w:rStyle w:val="Hyperlink"/>
          </w:rPr>
          <w:t>https://onlinelibrary.wiley.com/doi/10.1111/all.14008</w:t>
        </w:r>
      </w:hyperlink>
      <w:r w:rsidR="009D5EA7">
        <w:t xml:space="preserve">, </w:t>
      </w:r>
      <w:hyperlink r:id="rId16" w:history="1">
        <w:r w:rsidR="009D5EA7" w:rsidRPr="00E73D08">
          <w:rPr>
            <w:rStyle w:val="Hyperlink"/>
          </w:rPr>
          <w:t>https://pubmed.ncbi.nlm.nih.gov/23333113/</w:t>
        </w:r>
      </w:hyperlink>
      <w:r w:rsidR="009D5EA7">
        <w:t xml:space="preserve">, </w:t>
      </w:r>
      <w:hyperlink r:id="rId17" w:history="1">
        <w:r w:rsidR="009D5EA7" w:rsidRPr="00E73D08">
          <w:rPr>
            <w:rStyle w:val="Hyperlink"/>
          </w:rPr>
          <w:t>https://onlinelibrary.wiley.com/doi/full/10.1111/cea.13016</w:t>
        </w:r>
      </w:hyperlink>
      <w:r w:rsidR="009D5EA7">
        <w:t>).</w:t>
      </w:r>
      <w:r w:rsidR="009130D7">
        <w:t xml:space="preserve"> </w:t>
      </w:r>
      <w:r w:rsidR="00272848">
        <w:t xml:space="preserve">Transcriptomics have been </w:t>
      </w:r>
      <w:r w:rsidR="00D4145C">
        <w:t>proven to be a valuable tool</w:t>
      </w:r>
      <w:r w:rsidR="00272848">
        <w:t>, alongside optimised small RNA sequencing technologies, to quantify the expression levels of miRNAs inside EVs</w:t>
      </w:r>
      <w:r w:rsidR="00D4145C">
        <w:t xml:space="preserve">, enabling differential expression analysis and subsequently pathway enrichment analysis. </w:t>
      </w:r>
      <w:r w:rsidR="00867288">
        <w:t>Although</w:t>
      </w:r>
      <w:r w:rsidR="00D4145C">
        <w:t xml:space="preserve"> many methods</w:t>
      </w:r>
      <w:r w:rsidR="00867288">
        <w:t xml:space="preserve"> (e.g., target gene-level and miRNA-level approaches)</w:t>
      </w:r>
      <w:r w:rsidR="00D4145C">
        <w:t xml:space="preserve"> and databases</w:t>
      </w:r>
      <w:r w:rsidR="00E03BB8">
        <w:t xml:space="preserve"> (e.g., KEGG</w:t>
      </w:r>
      <w:r w:rsidR="00867288">
        <w:t xml:space="preserve"> and</w:t>
      </w:r>
      <w:r w:rsidR="00E03BB8">
        <w:t xml:space="preserve"> </w:t>
      </w:r>
      <w:proofErr w:type="spellStart"/>
      <w:r w:rsidR="00E03BB8">
        <w:t>Reactome</w:t>
      </w:r>
      <w:proofErr w:type="spellEnd"/>
      <w:r w:rsidR="00E03BB8">
        <w:t>)</w:t>
      </w:r>
      <w:r w:rsidR="00D4145C">
        <w:t xml:space="preserve"> </w:t>
      </w:r>
      <w:r w:rsidR="00867288">
        <w:t>are available</w:t>
      </w:r>
      <w:r w:rsidR="00D4145C">
        <w:t xml:space="preserve"> </w:t>
      </w:r>
      <w:r w:rsidR="00867288">
        <w:t>for</w:t>
      </w:r>
      <w:r w:rsidR="00D4145C">
        <w:t xml:space="preserve"> pathway enrichment analysis, </w:t>
      </w:r>
      <w:r w:rsidR="00867288">
        <w:t>there is currently no consensus on the optimal approach</w:t>
      </w:r>
      <w:r w:rsidR="00E03BB8">
        <w:t>,</w:t>
      </w:r>
      <w:r w:rsidR="005F62DD">
        <w:t xml:space="preserve"> </w:t>
      </w:r>
      <w:r w:rsidR="00867288">
        <w:t>and many closed-source, proprietary software tools and services have emerged.</w:t>
      </w:r>
    </w:p>
    <w:p w14:paraId="72CDED6B" w14:textId="77777777" w:rsidR="00846803" w:rsidRDefault="00846803" w:rsidP="00846803">
      <w:pPr>
        <w:rPr>
          <w:b/>
          <w:bCs/>
        </w:rPr>
      </w:pPr>
    </w:p>
    <w:p w14:paraId="5DECEE69" w14:textId="65832276" w:rsidR="00846803" w:rsidRDefault="00846803" w:rsidP="00846803">
      <w:pPr>
        <w:rPr>
          <w:b/>
          <w:bCs/>
        </w:rPr>
      </w:pPr>
      <w:r w:rsidRPr="003C1A01">
        <w:rPr>
          <w:b/>
          <w:bCs/>
        </w:rPr>
        <w:t xml:space="preserve">Paragraph </w:t>
      </w:r>
      <w:r>
        <w:rPr>
          <w:b/>
          <w:bCs/>
        </w:rPr>
        <w:t>3</w:t>
      </w:r>
    </w:p>
    <w:p w14:paraId="6970315E" w14:textId="1E01AB07" w:rsidR="00783DD2" w:rsidRDefault="00783DD2" w:rsidP="00846803">
      <w:r>
        <w:t>Recent a</w:t>
      </w:r>
      <w:r w:rsidRPr="00783DD2">
        <w:t xml:space="preserve">dvances in nebuliser </w:t>
      </w:r>
      <w:r>
        <w:t>technologies have enhanced allergen studies due to aerosolised dosing more closely reflecting</w:t>
      </w:r>
      <w:r w:rsidR="00A92DCC">
        <w:t xml:space="preserve"> </w:t>
      </w:r>
      <w:r w:rsidR="00167ED2">
        <w:t xml:space="preserve">the </w:t>
      </w:r>
      <w:r w:rsidRPr="00A92DCC">
        <w:t>mechanism</w:t>
      </w:r>
      <w:r>
        <w:t xml:space="preserve"> of airway epithelial cell exposure to allergens </w:t>
      </w:r>
      <w:r w:rsidR="00A92DCC">
        <w:rPr>
          <w:i/>
          <w:iCs/>
        </w:rPr>
        <w:t xml:space="preserve">in </w:t>
      </w:r>
      <w:r w:rsidR="00A92DCC" w:rsidRPr="00A92DCC">
        <w:rPr>
          <w:i/>
          <w:iCs/>
        </w:rPr>
        <w:t>vivo</w:t>
      </w:r>
      <w:r w:rsidR="00A92DCC">
        <w:t xml:space="preserve"> </w:t>
      </w:r>
      <w:r>
        <w:t xml:space="preserve">compared to traditional liquid-based delivery systems [references]. </w:t>
      </w:r>
      <w:r w:rsidR="00260251">
        <w:t>Nebuliser</w:t>
      </w:r>
      <w:r>
        <w:t xml:space="preserve"> </w:t>
      </w:r>
      <w:r w:rsidR="00260251">
        <w:t>technology</w:t>
      </w:r>
      <w:r>
        <w:t xml:space="preserve"> </w:t>
      </w:r>
      <w:r w:rsidR="00167ED2">
        <w:t xml:space="preserve">has since been </w:t>
      </w:r>
      <w:r>
        <w:t>adopted to investigate the effect of</w:t>
      </w:r>
      <w:r w:rsidR="00260251">
        <w:t xml:space="preserve"> dose-dependent</w:t>
      </w:r>
      <w:r>
        <w:t xml:space="preserve"> </w:t>
      </w:r>
      <w:r w:rsidR="00260251" w:rsidRPr="00260251">
        <w:t>protease</w:t>
      </w:r>
      <w:r w:rsidR="00260251">
        <w:t xml:space="preserve"> enzyme exposure </w:t>
      </w:r>
      <w:r w:rsidR="00260251">
        <w:rPr>
          <w:i/>
          <w:iCs/>
        </w:rPr>
        <w:t xml:space="preserve">in </w:t>
      </w:r>
      <w:r w:rsidR="00260251" w:rsidRPr="00260251">
        <w:rPr>
          <w:i/>
          <w:iCs/>
        </w:rPr>
        <w:t>vitro</w:t>
      </w:r>
      <w:r w:rsidR="00260251">
        <w:t xml:space="preserve"> in primary human bronchial epithelial cells (HBECs), as described in [GH reference]. Subsequently, </w:t>
      </w:r>
      <w:r w:rsidR="00A92DCC">
        <w:t>the biological impact of house dust mite (HDM) and dog allergen exposures were investigated using a Calu-3 HBEC model (WB reference). In both studies, transcriptomic analysis was performed using monetised services</w:t>
      </w:r>
      <w:r w:rsidR="00167ED2">
        <w:t>.</w:t>
      </w:r>
      <w:r w:rsidR="00A92DCC">
        <w:t xml:space="preserve"> </w:t>
      </w:r>
      <w:proofErr w:type="spellStart"/>
      <w:r w:rsidR="00A92DCC">
        <w:t>TamiRNA</w:t>
      </w:r>
      <w:proofErr w:type="spellEnd"/>
      <w:r w:rsidR="00A92DCC">
        <w:t xml:space="preserve"> (</w:t>
      </w:r>
      <w:proofErr w:type="spellStart"/>
      <w:r w:rsidR="00A92DCC" w:rsidRPr="007C1F7F">
        <w:t>miND</w:t>
      </w:r>
      <w:proofErr w:type="spellEnd"/>
      <w:r w:rsidR="00A92DCC" w:rsidRPr="007C1F7F">
        <w:t>® pipeline</w:t>
      </w:r>
      <w:r w:rsidR="00A92DCC">
        <w:t xml:space="preserve">) </w:t>
      </w:r>
      <w:r w:rsidR="00167ED2">
        <w:t xml:space="preserve">was recruited </w:t>
      </w:r>
      <w:r w:rsidR="00A92DCC">
        <w:t>for differential expression (DE) analysis</w:t>
      </w:r>
      <w:r w:rsidR="00167ED2">
        <w:t xml:space="preserve"> in both studies;</w:t>
      </w:r>
      <w:r w:rsidR="00A92DCC">
        <w:t xml:space="preserve"> </w:t>
      </w:r>
      <w:r w:rsidR="00A92DCC" w:rsidRPr="00FD0368">
        <w:t>QIAGEN Ingenuity Pathway Analysis (IPA)</w:t>
      </w:r>
      <w:r w:rsidR="00A92DCC">
        <w:t xml:space="preserve"> for pathway </w:t>
      </w:r>
      <w:r w:rsidR="00757DC9">
        <w:t>enrichment analysis</w:t>
      </w:r>
      <w:r w:rsidR="00167ED2">
        <w:t xml:space="preserve"> in primary HBECs. Pathway analysis had not been performed for Calu-3 cells at the time of this study.</w:t>
      </w:r>
    </w:p>
    <w:p w14:paraId="17B00B44" w14:textId="77777777" w:rsidR="00167ED2" w:rsidRPr="00783DD2" w:rsidRDefault="00167ED2" w:rsidP="00846803"/>
    <w:p w14:paraId="6A8FAB43" w14:textId="693EBD26" w:rsidR="0037397F" w:rsidRDefault="0037397F" w:rsidP="0037397F">
      <w:pPr>
        <w:rPr>
          <w:b/>
          <w:bCs/>
        </w:rPr>
      </w:pPr>
      <w:r w:rsidRPr="003C1A01">
        <w:rPr>
          <w:b/>
          <w:bCs/>
        </w:rPr>
        <w:t xml:space="preserve">Paragraph </w:t>
      </w:r>
      <w:r>
        <w:rPr>
          <w:b/>
          <w:bCs/>
        </w:rPr>
        <w:t>4</w:t>
      </w:r>
    </w:p>
    <w:p w14:paraId="659D3573" w14:textId="7A0870FA" w:rsidR="0024072C" w:rsidRDefault="00306375" w:rsidP="00F92892">
      <w:pPr>
        <w:rPr>
          <w:rFonts w:ascii="Aptos" w:eastAsia="Times New Roman" w:hAnsi="Aptos" w:cs="Calibri"/>
          <w:color w:val="000000"/>
          <w:lang w:eastAsia="en-GB"/>
        </w:rPr>
      </w:pPr>
      <w:r>
        <w:t xml:space="preserve">This study performs transcriptomics on data previously acquired and analysed in [GH and WB., et al]. Whereas the previous analyses employed </w:t>
      </w:r>
      <w:r w:rsidR="001779F9">
        <w:t>commercial services and platforms</w:t>
      </w:r>
      <w:r>
        <w:t xml:space="preserve"> to conduct transcriptomics, this study uses </w:t>
      </w:r>
      <w:r w:rsidR="004D7D84">
        <w:t xml:space="preserve">exclusively </w:t>
      </w:r>
      <w:r w:rsidR="001779F9">
        <w:t>open-source and</w:t>
      </w:r>
      <w:r w:rsidR="005319D0">
        <w:t xml:space="preserve"> open-</w:t>
      </w:r>
      <w:r w:rsidR="001779F9">
        <w:t>access</w:t>
      </w:r>
      <w:r>
        <w:t xml:space="preserve"> software.</w:t>
      </w:r>
      <w:r w:rsidR="004D7D84">
        <w:t xml:space="preserve"> </w:t>
      </w:r>
      <w:r>
        <w:t xml:space="preserve">Transcriptomic analysis involved </w:t>
      </w:r>
      <w:r w:rsidR="00906B2D">
        <w:t xml:space="preserve">evaluating the quality of the raw sequencing data, </w:t>
      </w:r>
      <w:r w:rsidR="00EC323B">
        <w:t>categoris</w:t>
      </w:r>
      <w:r>
        <w:t>ing</w:t>
      </w:r>
      <w:r w:rsidR="00EC323B">
        <w:t xml:space="preserve"> the DE miRNA profile of EVs derived</w:t>
      </w:r>
      <w:r w:rsidR="00B31549">
        <w:t xml:space="preserve"> from</w:t>
      </w:r>
      <w:r w:rsidR="00EC323B">
        <w:t xml:space="preserve"> </w:t>
      </w:r>
      <w:r w:rsidR="00B31549">
        <w:t>Calu-3</w:t>
      </w:r>
      <w:r w:rsidR="00EC323B">
        <w:t xml:space="preserve"> </w:t>
      </w:r>
      <w:r w:rsidR="00EC323B" w:rsidRPr="00F10FA4">
        <w:rPr>
          <w:rFonts w:ascii="Aptos" w:hAnsi="Aptos"/>
        </w:rPr>
        <w:t>HBEC</w:t>
      </w:r>
      <w:r w:rsidR="00EC323B">
        <w:rPr>
          <w:rFonts w:ascii="Aptos" w:hAnsi="Aptos"/>
        </w:rPr>
        <w:t xml:space="preserve">s </w:t>
      </w:r>
      <w:r w:rsidR="00EC323B" w:rsidRPr="00F10FA4">
        <w:rPr>
          <w:rFonts w:ascii="Aptos" w:hAnsi="Aptos"/>
        </w:rPr>
        <w:t>following exposure to nebulised allergen, namely</w:t>
      </w:r>
      <w:r w:rsidR="00EC323B">
        <w:rPr>
          <w:rFonts w:ascii="Aptos" w:hAnsi="Aptos"/>
        </w:rPr>
        <w:t xml:space="preserve"> </w:t>
      </w:r>
      <w:r w:rsidR="00FE6352">
        <w:rPr>
          <w:rFonts w:ascii="Aptos" w:hAnsi="Aptos"/>
        </w:rPr>
        <w:t xml:space="preserve">enzymatically </w:t>
      </w:r>
      <w:r w:rsidR="00B31549">
        <w:rPr>
          <w:rFonts w:ascii="Aptos" w:hAnsi="Aptos"/>
        </w:rPr>
        <w:t xml:space="preserve">active and inactive </w:t>
      </w:r>
      <w:r w:rsidR="00EC323B" w:rsidRPr="00F10FA4">
        <w:rPr>
          <w:rFonts w:ascii="Aptos" w:hAnsi="Aptos"/>
        </w:rPr>
        <w:t>HDM</w:t>
      </w:r>
      <w:r w:rsidR="00B31549">
        <w:rPr>
          <w:rFonts w:ascii="Aptos" w:hAnsi="Aptos"/>
        </w:rPr>
        <w:t>,</w:t>
      </w:r>
      <w:r w:rsidR="00EC323B" w:rsidRPr="00F10FA4">
        <w:rPr>
          <w:rFonts w:ascii="Aptos" w:hAnsi="Aptos"/>
        </w:rPr>
        <w:t xml:space="preserve"> </w:t>
      </w:r>
      <w:r w:rsidR="00EC323B">
        <w:rPr>
          <w:rFonts w:ascii="Aptos" w:hAnsi="Aptos"/>
        </w:rPr>
        <w:t xml:space="preserve">and </w:t>
      </w:r>
      <w:r w:rsidR="00EC323B" w:rsidRPr="00F10FA4">
        <w:rPr>
          <w:rFonts w:ascii="Aptos" w:hAnsi="Aptos"/>
        </w:rPr>
        <w:t>dog</w:t>
      </w:r>
      <w:r>
        <w:rPr>
          <w:rFonts w:ascii="Aptos" w:hAnsi="Aptos"/>
        </w:rPr>
        <w:t xml:space="preserve">. Then, </w:t>
      </w:r>
      <w:r w:rsidRPr="00F10FA4">
        <w:rPr>
          <w:rFonts w:ascii="Aptos" w:hAnsi="Aptos"/>
        </w:rPr>
        <w:t>DE miRNAs were</w:t>
      </w:r>
      <w:r>
        <w:rPr>
          <w:rFonts w:ascii="Aptos" w:hAnsi="Aptos"/>
        </w:rPr>
        <w:t xml:space="preserve"> </w:t>
      </w:r>
      <w:r w:rsidRPr="00F10FA4">
        <w:rPr>
          <w:rFonts w:ascii="Aptos" w:hAnsi="Aptos"/>
        </w:rPr>
        <w:t>subjected to</w:t>
      </w:r>
      <w:r>
        <w:rPr>
          <w:rFonts w:ascii="Aptos" w:hAnsi="Aptos"/>
        </w:rPr>
        <w:t xml:space="preserve"> </w:t>
      </w:r>
      <w:r w:rsidRPr="00F10FA4">
        <w:rPr>
          <w:rFonts w:ascii="Aptos" w:hAnsi="Aptos"/>
        </w:rPr>
        <w:t xml:space="preserve">pathway analysis to elucidate </w:t>
      </w:r>
      <w:r>
        <w:rPr>
          <w:rFonts w:ascii="Aptos" w:hAnsi="Aptos"/>
        </w:rPr>
        <w:t xml:space="preserve">potential </w:t>
      </w:r>
      <w:r w:rsidRPr="00F10FA4">
        <w:rPr>
          <w:rFonts w:ascii="Aptos" w:hAnsi="Aptos"/>
        </w:rPr>
        <w:t xml:space="preserve">associations with </w:t>
      </w:r>
      <w:r w:rsidRPr="00F10FA4">
        <w:rPr>
          <w:rFonts w:ascii="Aptos" w:eastAsia="Times New Roman" w:hAnsi="Aptos" w:cs="Calibri"/>
          <w:color w:val="000000"/>
          <w:lang w:eastAsia="en-GB"/>
        </w:rPr>
        <w:t>airway immune signalling and allergic sensitisation.</w:t>
      </w:r>
      <w:r>
        <w:rPr>
          <w:rFonts w:ascii="Aptos" w:eastAsia="Times New Roman" w:hAnsi="Aptos" w:cs="Calibri"/>
          <w:color w:val="000000"/>
          <w:lang w:eastAsia="en-GB"/>
        </w:rPr>
        <w:t xml:space="preserve"> </w:t>
      </w:r>
      <w:r w:rsidR="00B84511">
        <w:rPr>
          <w:rFonts w:ascii="Aptos" w:eastAsia="Times New Roman" w:hAnsi="Aptos" w:cs="Calibri"/>
          <w:color w:val="000000"/>
          <w:lang w:eastAsia="en-GB"/>
        </w:rPr>
        <w:t xml:space="preserve">Transcriptomics using data from primary HBECs exposed to protease doses were used for method development. </w:t>
      </w:r>
      <w:r w:rsidR="00F92892">
        <w:rPr>
          <w:rFonts w:ascii="Aptos" w:eastAsia="Times New Roman" w:hAnsi="Aptos" w:cs="Calibri"/>
          <w:color w:val="000000"/>
          <w:lang w:eastAsia="en-GB"/>
        </w:rPr>
        <w:t xml:space="preserve">This work </w:t>
      </w:r>
      <w:r w:rsidR="00030D33">
        <w:rPr>
          <w:rFonts w:ascii="Aptos" w:eastAsia="Times New Roman" w:hAnsi="Aptos" w:cs="Calibri"/>
          <w:color w:val="000000"/>
          <w:lang w:eastAsia="en-GB"/>
        </w:rPr>
        <w:t>offers</w:t>
      </w:r>
      <w:r w:rsidR="00B84511">
        <w:rPr>
          <w:rFonts w:ascii="Aptos" w:eastAsia="Times New Roman" w:hAnsi="Aptos" w:cs="Calibri"/>
          <w:color w:val="000000"/>
          <w:lang w:eastAsia="en-GB"/>
        </w:rPr>
        <w:t xml:space="preserve"> a</w:t>
      </w:r>
      <w:r w:rsidR="00030D33">
        <w:rPr>
          <w:rFonts w:ascii="Aptos" w:eastAsia="Times New Roman" w:hAnsi="Aptos" w:cs="Calibri"/>
          <w:color w:val="000000"/>
          <w:lang w:eastAsia="en-GB"/>
        </w:rPr>
        <w:t xml:space="preserve">n alternative, non-proprietary and non-monetised </w:t>
      </w:r>
      <w:r w:rsidR="00B84511">
        <w:rPr>
          <w:rFonts w:ascii="Aptos" w:eastAsia="Times New Roman" w:hAnsi="Aptos" w:cs="Calibri"/>
          <w:color w:val="000000"/>
          <w:lang w:eastAsia="en-GB"/>
        </w:rPr>
        <w:t>pipeline</w:t>
      </w:r>
      <w:r w:rsidR="00030D33">
        <w:rPr>
          <w:rFonts w:ascii="Aptos" w:eastAsia="Times New Roman" w:hAnsi="Aptos" w:cs="Calibri"/>
          <w:color w:val="000000"/>
          <w:lang w:eastAsia="en-GB"/>
        </w:rPr>
        <w:t xml:space="preserve"> for DE miRNA analysis and</w:t>
      </w:r>
      <w:r w:rsidR="00B84511">
        <w:rPr>
          <w:rFonts w:ascii="Aptos" w:eastAsia="Times New Roman" w:hAnsi="Aptos" w:cs="Calibri"/>
          <w:color w:val="000000"/>
          <w:lang w:eastAsia="en-GB"/>
        </w:rPr>
        <w:t xml:space="preserve"> </w:t>
      </w:r>
      <w:r w:rsidR="0024072C">
        <w:rPr>
          <w:rFonts w:ascii="Aptos" w:eastAsia="Times New Roman" w:hAnsi="Aptos" w:cs="Calibri"/>
          <w:color w:val="000000"/>
          <w:lang w:eastAsia="en-GB"/>
        </w:rPr>
        <w:t>puts forward experimental</w:t>
      </w:r>
      <w:r w:rsidR="00EB1F87">
        <w:rPr>
          <w:rFonts w:ascii="Aptos" w:eastAsia="Times New Roman" w:hAnsi="Aptos" w:cs="Calibri"/>
          <w:color w:val="000000"/>
          <w:lang w:eastAsia="en-GB"/>
        </w:rPr>
        <w:t xml:space="preserve"> design</w:t>
      </w:r>
      <w:r w:rsidR="0024072C">
        <w:rPr>
          <w:rFonts w:ascii="Aptos" w:eastAsia="Times New Roman" w:hAnsi="Aptos" w:cs="Calibri"/>
          <w:color w:val="000000"/>
          <w:lang w:eastAsia="en-GB"/>
        </w:rPr>
        <w:t xml:space="preserve"> </w:t>
      </w:r>
      <w:r w:rsidR="007D1EDB">
        <w:rPr>
          <w:rFonts w:ascii="Aptos" w:eastAsia="Times New Roman" w:hAnsi="Aptos" w:cs="Calibri"/>
          <w:color w:val="000000"/>
          <w:lang w:eastAsia="en-GB"/>
        </w:rPr>
        <w:t>recommendations</w:t>
      </w:r>
      <w:r w:rsidR="0024072C">
        <w:rPr>
          <w:rFonts w:ascii="Aptos" w:eastAsia="Times New Roman" w:hAnsi="Aptos" w:cs="Calibri"/>
          <w:color w:val="000000"/>
          <w:lang w:eastAsia="en-GB"/>
        </w:rPr>
        <w:t xml:space="preserve"> to optimise </w:t>
      </w:r>
      <w:r w:rsidR="00EB1F87">
        <w:rPr>
          <w:rFonts w:ascii="Aptos" w:eastAsia="Times New Roman" w:hAnsi="Aptos" w:cs="Calibri"/>
          <w:color w:val="000000"/>
          <w:lang w:eastAsia="en-GB"/>
        </w:rPr>
        <w:t xml:space="preserve">the transcriptomics component </w:t>
      </w:r>
      <w:r w:rsidR="00A93203">
        <w:rPr>
          <w:rFonts w:ascii="Aptos" w:eastAsia="Times New Roman" w:hAnsi="Aptos" w:cs="Calibri"/>
          <w:color w:val="000000"/>
          <w:lang w:eastAsia="en-GB"/>
        </w:rPr>
        <w:t>of</w:t>
      </w:r>
      <w:r w:rsidR="00EB1F87">
        <w:rPr>
          <w:rFonts w:ascii="Aptos" w:eastAsia="Times New Roman" w:hAnsi="Aptos" w:cs="Calibri"/>
          <w:color w:val="000000"/>
          <w:lang w:eastAsia="en-GB"/>
        </w:rPr>
        <w:t xml:space="preserve"> </w:t>
      </w:r>
      <w:r w:rsidR="0024072C">
        <w:rPr>
          <w:rFonts w:ascii="Aptos" w:eastAsia="Times New Roman" w:hAnsi="Aptos" w:cs="Calibri"/>
          <w:color w:val="000000"/>
          <w:lang w:eastAsia="en-GB"/>
        </w:rPr>
        <w:t xml:space="preserve">future </w:t>
      </w:r>
      <w:r w:rsidR="00125474">
        <w:rPr>
          <w:rFonts w:ascii="Aptos" w:eastAsia="Times New Roman" w:hAnsi="Aptos" w:cs="Calibri"/>
          <w:color w:val="000000"/>
          <w:lang w:eastAsia="en-GB"/>
        </w:rPr>
        <w:t xml:space="preserve">similar </w:t>
      </w:r>
      <w:r w:rsidR="00030D33">
        <w:rPr>
          <w:rFonts w:ascii="Aptos" w:eastAsia="Times New Roman" w:hAnsi="Aptos" w:cs="Calibri"/>
          <w:color w:val="000000"/>
          <w:lang w:eastAsia="en-GB"/>
        </w:rPr>
        <w:t>allergen studies.</w:t>
      </w:r>
    </w:p>
    <w:p w14:paraId="747D39A6" w14:textId="4DFB47C5" w:rsidR="00F92892" w:rsidRDefault="00F92892" w:rsidP="00F92892">
      <w:pPr>
        <w:rPr>
          <w:rFonts w:ascii="Aptos" w:eastAsia="Times New Roman" w:hAnsi="Aptos" w:cs="Calibri"/>
          <w:color w:val="000000"/>
          <w:lang w:eastAsia="en-GB"/>
        </w:rPr>
      </w:pPr>
    </w:p>
    <w:p w14:paraId="175470A0" w14:textId="77777777" w:rsidR="00B31549" w:rsidRDefault="00B31549" w:rsidP="00EC323B">
      <w:pPr>
        <w:rPr>
          <w:rFonts w:ascii="Aptos" w:eastAsia="Times New Roman" w:hAnsi="Aptos" w:cs="Calibri"/>
          <w:color w:val="000000"/>
          <w:lang w:eastAsia="en-GB"/>
        </w:rPr>
      </w:pPr>
    </w:p>
    <w:p w14:paraId="3DFD9933" w14:textId="77777777" w:rsidR="00B31549" w:rsidRPr="00306375" w:rsidRDefault="00B31549" w:rsidP="00EC323B"/>
    <w:p w14:paraId="4FD69796" w14:textId="77777777" w:rsidR="00B369F0" w:rsidRPr="00A92DCC" w:rsidRDefault="00B369F0" w:rsidP="0037397F"/>
    <w:p w14:paraId="55695FBF" w14:textId="77777777" w:rsidR="00B369F0" w:rsidRPr="003C1A01" w:rsidRDefault="00B369F0" w:rsidP="0037397F">
      <w:pPr>
        <w:rPr>
          <w:b/>
          <w:bCs/>
        </w:rPr>
      </w:pPr>
    </w:p>
    <w:p w14:paraId="633F30EF" w14:textId="68F1FA02" w:rsidR="00846803" w:rsidRDefault="00846803" w:rsidP="00846803">
      <w:pPr>
        <w:pStyle w:val="Title"/>
        <w:rPr>
          <w:u w:val="single"/>
        </w:rPr>
      </w:pPr>
      <w:r w:rsidRPr="00372116">
        <w:rPr>
          <w:u w:val="single"/>
        </w:rPr>
        <w:t>Archive</w:t>
      </w:r>
    </w:p>
    <w:p w14:paraId="5DE96524" w14:textId="77777777" w:rsidR="00680C47" w:rsidRDefault="00680C47" w:rsidP="00680C47"/>
    <w:p w14:paraId="5ED81605" w14:textId="15E62C5F" w:rsidR="00F740B1" w:rsidRDefault="00306375" w:rsidP="000A37C7">
      <w:r>
        <w:t>This study uses non-monetised software to perform transcriptomics on data previously acquired and analysed in [GH and WB., et al] in parallel with the service providers defined in the respective studies.</w:t>
      </w:r>
    </w:p>
    <w:p w14:paraId="20C87889" w14:textId="0254AA74" w:rsidR="004204AA" w:rsidRDefault="004204AA" w:rsidP="000A37C7">
      <w:r w:rsidRPr="004204AA">
        <w:t>DE and pathway analysis results obtained by the service providers during the initial studies was used to validate this analysis pipeline; external results were only made available after this analysis was complete.</w:t>
      </w:r>
      <w:r>
        <w:t xml:space="preserve"> </w:t>
      </w:r>
      <w:r>
        <w:sym w:font="Wingdings" w:char="F0E0"/>
      </w:r>
      <w:r>
        <w:t xml:space="preserve"> </w:t>
      </w:r>
      <w:r w:rsidRPr="004204AA">
        <w:rPr>
          <w:b/>
          <w:bCs/>
        </w:rPr>
        <w:t xml:space="preserve">was in paragraph 4. </w:t>
      </w:r>
      <w:r>
        <w:rPr>
          <w:b/>
          <w:bCs/>
        </w:rPr>
        <w:t>I’ve removed this so I don’t have to treat it as a validation which would require a dedicated results section that I haven’t written</w:t>
      </w:r>
    </w:p>
    <w:p w14:paraId="50CED1B0" w14:textId="77777777" w:rsidR="00F740B1" w:rsidRDefault="00F740B1" w:rsidP="000A37C7"/>
    <w:p w14:paraId="44A09D0B" w14:textId="77777777" w:rsidR="00F740B1" w:rsidRPr="00E02CC2" w:rsidRDefault="00F740B1" w:rsidP="000A37C7"/>
    <w:sectPr w:rsidR="00F740B1" w:rsidRPr="00E02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0554E"/>
    <w:multiLevelType w:val="hybridMultilevel"/>
    <w:tmpl w:val="62DE42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76C58"/>
    <w:multiLevelType w:val="hybridMultilevel"/>
    <w:tmpl w:val="622A45A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C612B6"/>
    <w:multiLevelType w:val="hybridMultilevel"/>
    <w:tmpl w:val="00A29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17D62"/>
    <w:multiLevelType w:val="hybridMultilevel"/>
    <w:tmpl w:val="E0105CF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5203AC"/>
    <w:multiLevelType w:val="hybridMultilevel"/>
    <w:tmpl w:val="10DAC12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3226515">
    <w:abstractNumId w:val="4"/>
  </w:num>
  <w:num w:numId="2" w16cid:durableId="1165441885">
    <w:abstractNumId w:val="2"/>
  </w:num>
  <w:num w:numId="3" w16cid:durableId="34241236">
    <w:abstractNumId w:val="3"/>
  </w:num>
  <w:num w:numId="4" w16cid:durableId="309870290">
    <w:abstractNumId w:val="0"/>
  </w:num>
  <w:num w:numId="5" w16cid:durableId="778842978">
    <w:abstractNumId w:val="5"/>
  </w:num>
  <w:num w:numId="6" w16cid:durableId="38699506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1138"/>
    <w:rsid w:val="00004A7B"/>
    <w:rsid w:val="000062C5"/>
    <w:rsid w:val="000075EF"/>
    <w:rsid w:val="0001038A"/>
    <w:rsid w:val="000115CB"/>
    <w:rsid w:val="00014F98"/>
    <w:rsid w:val="0002196B"/>
    <w:rsid w:val="00023CAE"/>
    <w:rsid w:val="00030347"/>
    <w:rsid w:val="00030D33"/>
    <w:rsid w:val="00047129"/>
    <w:rsid w:val="00063712"/>
    <w:rsid w:val="0006745F"/>
    <w:rsid w:val="00080EC3"/>
    <w:rsid w:val="00081CD7"/>
    <w:rsid w:val="00087674"/>
    <w:rsid w:val="000905D8"/>
    <w:rsid w:val="000A2124"/>
    <w:rsid w:val="000A2214"/>
    <w:rsid w:val="000A37C7"/>
    <w:rsid w:val="000A412F"/>
    <w:rsid w:val="000A7E56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0F5E11"/>
    <w:rsid w:val="00100920"/>
    <w:rsid w:val="001025FB"/>
    <w:rsid w:val="001028CC"/>
    <w:rsid w:val="00102A83"/>
    <w:rsid w:val="0010345C"/>
    <w:rsid w:val="00121055"/>
    <w:rsid w:val="00121CBD"/>
    <w:rsid w:val="001233F3"/>
    <w:rsid w:val="00125474"/>
    <w:rsid w:val="0013173A"/>
    <w:rsid w:val="0013211E"/>
    <w:rsid w:val="00135299"/>
    <w:rsid w:val="00136AD8"/>
    <w:rsid w:val="00142A6D"/>
    <w:rsid w:val="00151ADF"/>
    <w:rsid w:val="00152EAF"/>
    <w:rsid w:val="001640DC"/>
    <w:rsid w:val="00164445"/>
    <w:rsid w:val="0016570E"/>
    <w:rsid w:val="00167ED2"/>
    <w:rsid w:val="001779F9"/>
    <w:rsid w:val="00186C80"/>
    <w:rsid w:val="0019269E"/>
    <w:rsid w:val="00194B2E"/>
    <w:rsid w:val="001961BF"/>
    <w:rsid w:val="001A19CE"/>
    <w:rsid w:val="001C1675"/>
    <w:rsid w:val="001E0E43"/>
    <w:rsid w:val="001E357F"/>
    <w:rsid w:val="002061DA"/>
    <w:rsid w:val="00221D7F"/>
    <w:rsid w:val="0023299A"/>
    <w:rsid w:val="00233E88"/>
    <w:rsid w:val="00237DDC"/>
    <w:rsid w:val="0024072C"/>
    <w:rsid w:val="00243F62"/>
    <w:rsid w:val="002462B8"/>
    <w:rsid w:val="00247B1E"/>
    <w:rsid w:val="002564F5"/>
    <w:rsid w:val="00260251"/>
    <w:rsid w:val="002629C4"/>
    <w:rsid w:val="00263D1F"/>
    <w:rsid w:val="00272848"/>
    <w:rsid w:val="00290D8F"/>
    <w:rsid w:val="00297183"/>
    <w:rsid w:val="002A28C6"/>
    <w:rsid w:val="002A6713"/>
    <w:rsid w:val="002A7D13"/>
    <w:rsid w:val="002C17AE"/>
    <w:rsid w:val="002C3FBA"/>
    <w:rsid w:val="002C49DD"/>
    <w:rsid w:val="002C65DC"/>
    <w:rsid w:val="002C6D40"/>
    <w:rsid w:val="002D1E9B"/>
    <w:rsid w:val="002D3B3A"/>
    <w:rsid w:val="002D3E00"/>
    <w:rsid w:val="002D4C98"/>
    <w:rsid w:val="002D6491"/>
    <w:rsid w:val="002F0646"/>
    <w:rsid w:val="002F083A"/>
    <w:rsid w:val="002F0BA6"/>
    <w:rsid w:val="002F27D0"/>
    <w:rsid w:val="0030365D"/>
    <w:rsid w:val="00306375"/>
    <w:rsid w:val="003121FA"/>
    <w:rsid w:val="00314F62"/>
    <w:rsid w:val="003151AB"/>
    <w:rsid w:val="003159F6"/>
    <w:rsid w:val="00332076"/>
    <w:rsid w:val="00336A7B"/>
    <w:rsid w:val="00337274"/>
    <w:rsid w:val="0033757A"/>
    <w:rsid w:val="003531C6"/>
    <w:rsid w:val="00353EBB"/>
    <w:rsid w:val="003548AD"/>
    <w:rsid w:val="003563DC"/>
    <w:rsid w:val="0035737E"/>
    <w:rsid w:val="00361B9E"/>
    <w:rsid w:val="0037397F"/>
    <w:rsid w:val="003754C5"/>
    <w:rsid w:val="003808DD"/>
    <w:rsid w:val="00382C27"/>
    <w:rsid w:val="00384E01"/>
    <w:rsid w:val="00397E4D"/>
    <w:rsid w:val="003A7BB1"/>
    <w:rsid w:val="003B038C"/>
    <w:rsid w:val="003B0808"/>
    <w:rsid w:val="003B459C"/>
    <w:rsid w:val="003C1A01"/>
    <w:rsid w:val="003C2804"/>
    <w:rsid w:val="003C5063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17C27"/>
    <w:rsid w:val="004204AA"/>
    <w:rsid w:val="00423C1B"/>
    <w:rsid w:val="0042769D"/>
    <w:rsid w:val="00427A72"/>
    <w:rsid w:val="00440941"/>
    <w:rsid w:val="00450FA6"/>
    <w:rsid w:val="00452BC9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A33CC"/>
    <w:rsid w:val="004B2AB1"/>
    <w:rsid w:val="004B4301"/>
    <w:rsid w:val="004B7AA0"/>
    <w:rsid w:val="004C046D"/>
    <w:rsid w:val="004C0F98"/>
    <w:rsid w:val="004C2D50"/>
    <w:rsid w:val="004C381F"/>
    <w:rsid w:val="004C52FE"/>
    <w:rsid w:val="004D477C"/>
    <w:rsid w:val="004D5A8D"/>
    <w:rsid w:val="004D7D84"/>
    <w:rsid w:val="004E0FFA"/>
    <w:rsid w:val="004E603C"/>
    <w:rsid w:val="004F29DB"/>
    <w:rsid w:val="00500F65"/>
    <w:rsid w:val="00505768"/>
    <w:rsid w:val="0051170F"/>
    <w:rsid w:val="00517147"/>
    <w:rsid w:val="00517496"/>
    <w:rsid w:val="005227DE"/>
    <w:rsid w:val="005319D0"/>
    <w:rsid w:val="00535650"/>
    <w:rsid w:val="00541A6D"/>
    <w:rsid w:val="005465FF"/>
    <w:rsid w:val="005505AC"/>
    <w:rsid w:val="005508BC"/>
    <w:rsid w:val="005524A2"/>
    <w:rsid w:val="005529EF"/>
    <w:rsid w:val="00553F9E"/>
    <w:rsid w:val="005548B8"/>
    <w:rsid w:val="0055642F"/>
    <w:rsid w:val="0056176D"/>
    <w:rsid w:val="0056269E"/>
    <w:rsid w:val="00562F15"/>
    <w:rsid w:val="00576C23"/>
    <w:rsid w:val="005870FD"/>
    <w:rsid w:val="005A26A8"/>
    <w:rsid w:val="005A4AD8"/>
    <w:rsid w:val="005B1175"/>
    <w:rsid w:val="005B192A"/>
    <w:rsid w:val="005B3FF3"/>
    <w:rsid w:val="005B44CB"/>
    <w:rsid w:val="005B467C"/>
    <w:rsid w:val="005B4764"/>
    <w:rsid w:val="005C453C"/>
    <w:rsid w:val="005C6D20"/>
    <w:rsid w:val="005C7D3F"/>
    <w:rsid w:val="005D6DD8"/>
    <w:rsid w:val="005E01FE"/>
    <w:rsid w:val="005E3D8D"/>
    <w:rsid w:val="005F62DD"/>
    <w:rsid w:val="005F7062"/>
    <w:rsid w:val="00606721"/>
    <w:rsid w:val="006174CC"/>
    <w:rsid w:val="006213D8"/>
    <w:rsid w:val="006213E2"/>
    <w:rsid w:val="0062188A"/>
    <w:rsid w:val="00621C88"/>
    <w:rsid w:val="00626607"/>
    <w:rsid w:val="006279E8"/>
    <w:rsid w:val="0063375F"/>
    <w:rsid w:val="00640B9C"/>
    <w:rsid w:val="00650AAB"/>
    <w:rsid w:val="006549B7"/>
    <w:rsid w:val="00657B75"/>
    <w:rsid w:val="00675767"/>
    <w:rsid w:val="00680C47"/>
    <w:rsid w:val="0068162F"/>
    <w:rsid w:val="0068495B"/>
    <w:rsid w:val="00692892"/>
    <w:rsid w:val="0069763A"/>
    <w:rsid w:val="006A176A"/>
    <w:rsid w:val="006A3352"/>
    <w:rsid w:val="006B057B"/>
    <w:rsid w:val="006B651A"/>
    <w:rsid w:val="006C1EC5"/>
    <w:rsid w:val="006E0112"/>
    <w:rsid w:val="006E1EA2"/>
    <w:rsid w:val="006F35C7"/>
    <w:rsid w:val="006F6509"/>
    <w:rsid w:val="00703510"/>
    <w:rsid w:val="007073B3"/>
    <w:rsid w:val="0071689B"/>
    <w:rsid w:val="00727835"/>
    <w:rsid w:val="00727F9B"/>
    <w:rsid w:val="00731925"/>
    <w:rsid w:val="0075162F"/>
    <w:rsid w:val="00756FD1"/>
    <w:rsid w:val="00757A2B"/>
    <w:rsid w:val="00757DC9"/>
    <w:rsid w:val="00760F8C"/>
    <w:rsid w:val="0076122F"/>
    <w:rsid w:val="00761279"/>
    <w:rsid w:val="00770812"/>
    <w:rsid w:val="00773A5E"/>
    <w:rsid w:val="00774C44"/>
    <w:rsid w:val="00783DD2"/>
    <w:rsid w:val="007866AF"/>
    <w:rsid w:val="00792519"/>
    <w:rsid w:val="0079323E"/>
    <w:rsid w:val="00793829"/>
    <w:rsid w:val="00793E26"/>
    <w:rsid w:val="0079560A"/>
    <w:rsid w:val="007A17DB"/>
    <w:rsid w:val="007A69D7"/>
    <w:rsid w:val="007B23E1"/>
    <w:rsid w:val="007B4EC7"/>
    <w:rsid w:val="007B6B0E"/>
    <w:rsid w:val="007B74C6"/>
    <w:rsid w:val="007C0E3C"/>
    <w:rsid w:val="007C22C0"/>
    <w:rsid w:val="007D0F2F"/>
    <w:rsid w:val="007D1EDB"/>
    <w:rsid w:val="007D626D"/>
    <w:rsid w:val="007E59F2"/>
    <w:rsid w:val="00801931"/>
    <w:rsid w:val="00801A1C"/>
    <w:rsid w:val="00801F1B"/>
    <w:rsid w:val="00803352"/>
    <w:rsid w:val="008115BC"/>
    <w:rsid w:val="00815CA4"/>
    <w:rsid w:val="00821654"/>
    <w:rsid w:val="00835714"/>
    <w:rsid w:val="00840548"/>
    <w:rsid w:val="00842A5E"/>
    <w:rsid w:val="008465A0"/>
    <w:rsid w:val="00846803"/>
    <w:rsid w:val="008650FE"/>
    <w:rsid w:val="00866569"/>
    <w:rsid w:val="00866F12"/>
    <w:rsid w:val="00867288"/>
    <w:rsid w:val="0086756A"/>
    <w:rsid w:val="00873C65"/>
    <w:rsid w:val="00875567"/>
    <w:rsid w:val="00880BE5"/>
    <w:rsid w:val="00884102"/>
    <w:rsid w:val="008847F3"/>
    <w:rsid w:val="008962CC"/>
    <w:rsid w:val="008A73BE"/>
    <w:rsid w:val="008B4202"/>
    <w:rsid w:val="008B6529"/>
    <w:rsid w:val="008C19BD"/>
    <w:rsid w:val="008C2685"/>
    <w:rsid w:val="008C38DF"/>
    <w:rsid w:val="008C51D7"/>
    <w:rsid w:val="008D0EAE"/>
    <w:rsid w:val="008D2693"/>
    <w:rsid w:val="008D4B2D"/>
    <w:rsid w:val="008D56EC"/>
    <w:rsid w:val="008D7131"/>
    <w:rsid w:val="008F241E"/>
    <w:rsid w:val="008F299A"/>
    <w:rsid w:val="008F3035"/>
    <w:rsid w:val="008F3F90"/>
    <w:rsid w:val="008F4B97"/>
    <w:rsid w:val="008F7C5C"/>
    <w:rsid w:val="0090021F"/>
    <w:rsid w:val="009035F0"/>
    <w:rsid w:val="009065A9"/>
    <w:rsid w:val="00906B2D"/>
    <w:rsid w:val="009130D7"/>
    <w:rsid w:val="009160BA"/>
    <w:rsid w:val="00917C8D"/>
    <w:rsid w:val="009324B1"/>
    <w:rsid w:val="0093401D"/>
    <w:rsid w:val="00935C25"/>
    <w:rsid w:val="009365DB"/>
    <w:rsid w:val="00943C84"/>
    <w:rsid w:val="00951BC7"/>
    <w:rsid w:val="0095447A"/>
    <w:rsid w:val="009571C3"/>
    <w:rsid w:val="009576F0"/>
    <w:rsid w:val="0096091F"/>
    <w:rsid w:val="00967F6F"/>
    <w:rsid w:val="00970B83"/>
    <w:rsid w:val="00974CDA"/>
    <w:rsid w:val="00985C20"/>
    <w:rsid w:val="00987476"/>
    <w:rsid w:val="00990F10"/>
    <w:rsid w:val="009924B2"/>
    <w:rsid w:val="00992996"/>
    <w:rsid w:val="009A4607"/>
    <w:rsid w:val="009A588D"/>
    <w:rsid w:val="009A5B12"/>
    <w:rsid w:val="009A60A3"/>
    <w:rsid w:val="009A6BB6"/>
    <w:rsid w:val="009B1855"/>
    <w:rsid w:val="009B3158"/>
    <w:rsid w:val="009B335C"/>
    <w:rsid w:val="009B433E"/>
    <w:rsid w:val="009C5687"/>
    <w:rsid w:val="009C5CC1"/>
    <w:rsid w:val="009C7DB9"/>
    <w:rsid w:val="009D5EA7"/>
    <w:rsid w:val="009E0854"/>
    <w:rsid w:val="009E0C08"/>
    <w:rsid w:val="009F2D8E"/>
    <w:rsid w:val="009F5A6B"/>
    <w:rsid w:val="009F68D6"/>
    <w:rsid w:val="00A06F7D"/>
    <w:rsid w:val="00A072A6"/>
    <w:rsid w:val="00A1101B"/>
    <w:rsid w:val="00A20064"/>
    <w:rsid w:val="00A219BC"/>
    <w:rsid w:val="00A21C05"/>
    <w:rsid w:val="00A2298C"/>
    <w:rsid w:val="00A2565B"/>
    <w:rsid w:val="00A25F42"/>
    <w:rsid w:val="00A26B58"/>
    <w:rsid w:val="00A344BE"/>
    <w:rsid w:val="00A3711B"/>
    <w:rsid w:val="00A37372"/>
    <w:rsid w:val="00A45FCF"/>
    <w:rsid w:val="00A5596B"/>
    <w:rsid w:val="00A60B91"/>
    <w:rsid w:val="00A61375"/>
    <w:rsid w:val="00A63DA1"/>
    <w:rsid w:val="00A727E1"/>
    <w:rsid w:val="00A804EC"/>
    <w:rsid w:val="00A80D9F"/>
    <w:rsid w:val="00A83001"/>
    <w:rsid w:val="00A843BE"/>
    <w:rsid w:val="00A84744"/>
    <w:rsid w:val="00A850CC"/>
    <w:rsid w:val="00A903F6"/>
    <w:rsid w:val="00A9148D"/>
    <w:rsid w:val="00A92DCC"/>
    <w:rsid w:val="00A93203"/>
    <w:rsid w:val="00A9388C"/>
    <w:rsid w:val="00A968D7"/>
    <w:rsid w:val="00AA3B1B"/>
    <w:rsid w:val="00AA463B"/>
    <w:rsid w:val="00AA4E5D"/>
    <w:rsid w:val="00AB116F"/>
    <w:rsid w:val="00AC5F5C"/>
    <w:rsid w:val="00AC6377"/>
    <w:rsid w:val="00AD6723"/>
    <w:rsid w:val="00AD7784"/>
    <w:rsid w:val="00AF395F"/>
    <w:rsid w:val="00AF519B"/>
    <w:rsid w:val="00AF57A7"/>
    <w:rsid w:val="00AF5ACB"/>
    <w:rsid w:val="00AF6562"/>
    <w:rsid w:val="00B011C9"/>
    <w:rsid w:val="00B0132D"/>
    <w:rsid w:val="00B05D34"/>
    <w:rsid w:val="00B15A1C"/>
    <w:rsid w:val="00B2210B"/>
    <w:rsid w:val="00B22364"/>
    <w:rsid w:val="00B277A6"/>
    <w:rsid w:val="00B27DBA"/>
    <w:rsid w:val="00B31549"/>
    <w:rsid w:val="00B369F0"/>
    <w:rsid w:val="00B46D3C"/>
    <w:rsid w:val="00B54B2E"/>
    <w:rsid w:val="00B659D7"/>
    <w:rsid w:val="00B81155"/>
    <w:rsid w:val="00B83471"/>
    <w:rsid w:val="00B84511"/>
    <w:rsid w:val="00B863A7"/>
    <w:rsid w:val="00B86A7B"/>
    <w:rsid w:val="00BA14F3"/>
    <w:rsid w:val="00BB0819"/>
    <w:rsid w:val="00BB714E"/>
    <w:rsid w:val="00BC0E6F"/>
    <w:rsid w:val="00BC35ED"/>
    <w:rsid w:val="00BC3A44"/>
    <w:rsid w:val="00BC5A36"/>
    <w:rsid w:val="00BC5B8A"/>
    <w:rsid w:val="00BD0173"/>
    <w:rsid w:val="00BD2F2A"/>
    <w:rsid w:val="00BD6F25"/>
    <w:rsid w:val="00BE3280"/>
    <w:rsid w:val="00BF176D"/>
    <w:rsid w:val="00BF417E"/>
    <w:rsid w:val="00BF598A"/>
    <w:rsid w:val="00BF7533"/>
    <w:rsid w:val="00C03165"/>
    <w:rsid w:val="00C122AF"/>
    <w:rsid w:val="00C31296"/>
    <w:rsid w:val="00C343FA"/>
    <w:rsid w:val="00C41726"/>
    <w:rsid w:val="00C53C94"/>
    <w:rsid w:val="00C555DA"/>
    <w:rsid w:val="00C60518"/>
    <w:rsid w:val="00C72A9B"/>
    <w:rsid w:val="00C74F70"/>
    <w:rsid w:val="00C80DFB"/>
    <w:rsid w:val="00C80E01"/>
    <w:rsid w:val="00C811ED"/>
    <w:rsid w:val="00C8684D"/>
    <w:rsid w:val="00C91136"/>
    <w:rsid w:val="00CA01FB"/>
    <w:rsid w:val="00CB5EC7"/>
    <w:rsid w:val="00CB7B3A"/>
    <w:rsid w:val="00CC1BE7"/>
    <w:rsid w:val="00CC2C6F"/>
    <w:rsid w:val="00CC5E4C"/>
    <w:rsid w:val="00CC76FF"/>
    <w:rsid w:val="00CD34DA"/>
    <w:rsid w:val="00CF70B9"/>
    <w:rsid w:val="00D051AB"/>
    <w:rsid w:val="00D0537F"/>
    <w:rsid w:val="00D05438"/>
    <w:rsid w:val="00D065B4"/>
    <w:rsid w:val="00D14A5D"/>
    <w:rsid w:val="00D25912"/>
    <w:rsid w:val="00D4145C"/>
    <w:rsid w:val="00D42336"/>
    <w:rsid w:val="00D45457"/>
    <w:rsid w:val="00D512B2"/>
    <w:rsid w:val="00D53A0E"/>
    <w:rsid w:val="00D61F79"/>
    <w:rsid w:val="00D65E35"/>
    <w:rsid w:val="00D66C82"/>
    <w:rsid w:val="00D743BD"/>
    <w:rsid w:val="00D75CF5"/>
    <w:rsid w:val="00D802EE"/>
    <w:rsid w:val="00D81A45"/>
    <w:rsid w:val="00D90D02"/>
    <w:rsid w:val="00D9190E"/>
    <w:rsid w:val="00D95C25"/>
    <w:rsid w:val="00DB2236"/>
    <w:rsid w:val="00DB273C"/>
    <w:rsid w:val="00DC5A7B"/>
    <w:rsid w:val="00DD7601"/>
    <w:rsid w:val="00DD7806"/>
    <w:rsid w:val="00DE27C7"/>
    <w:rsid w:val="00DE327B"/>
    <w:rsid w:val="00DE3BAE"/>
    <w:rsid w:val="00DE5884"/>
    <w:rsid w:val="00DF045C"/>
    <w:rsid w:val="00DF2C75"/>
    <w:rsid w:val="00DF73F3"/>
    <w:rsid w:val="00E01F9A"/>
    <w:rsid w:val="00E02CC2"/>
    <w:rsid w:val="00E03BB8"/>
    <w:rsid w:val="00E12FCA"/>
    <w:rsid w:val="00E1335B"/>
    <w:rsid w:val="00E20685"/>
    <w:rsid w:val="00E20B1B"/>
    <w:rsid w:val="00E300CA"/>
    <w:rsid w:val="00E35CD6"/>
    <w:rsid w:val="00E410D0"/>
    <w:rsid w:val="00E42A10"/>
    <w:rsid w:val="00E43832"/>
    <w:rsid w:val="00E64A97"/>
    <w:rsid w:val="00E6521C"/>
    <w:rsid w:val="00E71E2C"/>
    <w:rsid w:val="00E827FE"/>
    <w:rsid w:val="00E82E65"/>
    <w:rsid w:val="00E85DB3"/>
    <w:rsid w:val="00E93267"/>
    <w:rsid w:val="00EA5968"/>
    <w:rsid w:val="00EA7097"/>
    <w:rsid w:val="00EB1F87"/>
    <w:rsid w:val="00EB61F6"/>
    <w:rsid w:val="00EB675A"/>
    <w:rsid w:val="00EC12B9"/>
    <w:rsid w:val="00EC20B6"/>
    <w:rsid w:val="00EC323B"/>
    <w:rsid w:val="00EC6A1A"/>
    <w:rsid w:val="00ED1C59"/>
    <w:rsid w:val="00EE05E9"/>
    <w:rsid w:val="00EE2BF4"/>
    <w:rsid w:val="00EE68EF"/>
    <w:rsid w:val="00EE78D5"/>
    <w:rsid w:val="00F03F3A"/>
    <w:rsid w:val="00F04F15"/>
    <w:rsid w:val="00F10FA4"/>
    <w:rsid w:val="00F11542"/>
    <w:rsid w:val="00F12678"/>
    <w:rsid w:val="00F1511C"/>
    <w:rsid w:val="00F16731"/>
    <w:rsid w:val="00F23A0B"/>
    <w:rsid w:val="00F244E3"/>
    <w:rsid w:val="00F251A7"/>
    <w:rsid w:val="00F27297"/>
    <w:rsid w:val="00F31DE2"/>
    <w:rsid w:val="00F321FA"/>
    <w:rsid w:val="00F46F2F"/>
    <w:rsid w:val="00F47737"/>
    <w:rsid w:val="00F5507C"/>
    <w:rsid w:val="00F55AFB"/>
    <w:rsid w:val="00F61BA4"/>
    <w:rsid w:val="00F70B40"/>
    <w:rsid w:val="00F71514"/>
    <w:rsid w:val="00F73009"/>
    <w:rsid w:val="00F73176"/>
    <w:rsid w:val="00F740B1"/>
    <w:rsid w:val="00F7447F"/>
    <w:rsid w:val="00F7472C"/>
    <w:rsid w:val="00F75CE7"/>
    <w:rsid w:val="00F80702"/>
    <w:rsid w:val="00F8548F"/>
    <w:rsid w:val="00F87735"/>
    <w:rsid w:val="00F92892"/>
    <w:rsid w:val="00F959B4"/>
    <w:rsid w:val="00FA10E7"/>
    <w:rsid w:val="00FA41C6"/>
    <w:rsid w:val="00FA4C05"/>
    <w:rsid w:val="00FB0709"/>
    <w:rsid w:val="00FB1D98"/>
    <w:rsid w:val="00FB5454"/>
    <w:rsid w:val="00FB653F"/>
    <w:rsid w:val="00FC1634"/>
    <w:rsid w:val="00FC2B89"/>
    <w:rsid w:val="00FC57CA"/>
    <w:rsid w:val="00FD0368"/>
    <w:rsid w:val="00FE3440"/>
    <w:rsid w:val="00FE5348"/>
    <w:rsid w:val="00FE61DC"/>
    <w:rsid w:val="00FE6352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11033-023-08624-w" TargetMode="External"/><Relationship Id="rId13" Type="http://schemas.openxmlformats.org/officeDocument/2006/relationships/hyperlink" Target="https://onlinelibrary.wiley.com/doi/full/10.1111/cea.13562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7118214/" TargetMode="External"/><Relationship Id="rId12" Type="http://schemas.openxmlformats.org/officeDocument/2006/relationships/hyperlink" Target="https://pmc.ncbi.nlm.nih.gov/articles/PMC4013392/" TargetMode="External"/><Relationship Id="rId17" Type="http://schemas.openxmlformats.org/officeDocument/2006/relationships/hyperlink" Target="https://onlinelibrary.wiley.com/doi/full/10.1111/cea.13016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med.ncbi.nlm.nih.gov/23333113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0091674919307535?via%3Dihub" TargetMode="External"/><Relationship Id="rId11" Type="http://schemas.openxmlformats.org/officeDocument/2006/relationships/hyperlink" Target="https://www.nature.com/articles/s42003-024-06197-3" TargetMode="External"/><Relationship Id="rId5" Type="http://schemas.openxmlformats.org/officeDocument/2006/relationships/hyperlink" Target="https://pmc.ncbi.nlm.nih.gov/articles/PMC11993038/" TargetMode="External"/><Relationship Id="rId15" Type="http://schemas.openxmlformats.org/officeDocument/2006/relationships/hyperlink" Target="https://onlinelibrary.wiley.com/doi/10.1111/all.14008" TargetMode="External"/><Relationship Id="rId10" Type="http://schemas.openxmlformats.org/officeDocument/2006/relationships/hyperlink" Target="https://isevjournals.onlinelibrary.wiley.com/doi/10.1002/jev2.12124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11238361/" TargetMode="External"/><Relationship Id="rId14" Type="http://schemas.openxmlformats.org/officeDocument/2006/relationships/hyperlink" Target="https://www.nature.com/articles/s12276-020-0450-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3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88</cp:revision>
  <dcterms:created xsi:type="dcterms:W3CDTF">2026-05-22T16:09:00Z</dcterms:created>
  <dcterms:modified xsi:type="dcterms:W3CDTF">2026-07-26T09:40:00Z</dcterms:modified>
</cp:coreProperties>
</file>