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3257B" w14:textId="50C90E5D" w:rsidR="00BC35ED" w:rsidRPr="00907C68" w:rsidRDefault="00690CC6" w:rsidP="00690CC6">
      <w:pPr>
        <w:pStyle w:val="ListParagraph"/>
        <w:numPr>
          <w:ilvl w:val="0"/>
          <w:numId w:val="1"/>
        </w:numPr>
        <w:rPr>
          <w:rFonts w:ascii="Aptos" w:hAnsi="Aptos"/>
        </w:rPr>
      </w:pPr>
      <w:r w:rsidRPr="00907C68">
        <w:rPr>
          <w:rFonts w:ascii="Aptos" w:hAnsi="Aptos"/>
        </w:rPr>
        <w:t xml:space="preserve">(Huang et al., 2025) </w:t>
      </w:r>
      <w:hyperlink r:id="rId5" w:history="1">
        <w:r w:rsidRPr="00907C68">
          <w:rPr>
            <w:rStyle w:val="Hyperlink"/>
            <w:rFonts w:ascii="Aptos" w:hAnsi="Aptos"/>
          </w:rPr>
          <w:t>https://www.jove.com/t/68760/a-verified-workflow-for-mirna-seq-data-processing-bioinformatics</w:t>
        </w:r>
        <w:r w:rsidRPr="00907C68">
          <w:rPr>
            <w:rStyle w:val="Hyperlink"/>
            <w:rFonts w:ascii="Aptos" w:hAnsi="Aptos"/>
            <w:noProof/>
          </w:rPr>
          <w:drawing>
            <wp:inline distT="0" distB="0" distL="0" distR="0" wp14:anchorId="1999016F" wp14:editId="1DD8C17D">
              <wp:extent cx="4059252" cy="1401355"/>
              <wp:effectExtent l="0" t="0" r="5080" b="0"/>
              <wp:docPr id="282293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293035" name=""/>
                      <pic:cNvPicPr/>
                    </pic:nvPicPr>
                    <pic:blipFill>
                      <a:blip r:embed="rId6"/>
                      <a:stretch>
                        <a:fillRect/>
                      </a:stretch>
                    </pic:blipFill>
                    <pic:spPr>
                      <a:xfrm>
                        <a:off x="0" y="0"/>
                        <a:ext cx="4078728" cy="1408079"/>
                      </a:xfrm>
                      <a:prstGeom prst="rect">
                        <a:avLst/>
                      </a:prstGeom>
                    </pic:spPr>
                  </pic:pic>
                </a:graphicData>
              </a:graphic>
            </wp:inline>
          </w:drawing>
        </w:r>
      </w:hyperlink>
    </w:p>
    <w:p w14:paraId="4AB41420" w14:textId="77777777" w:rsidR="00880139" w:rsidRPr="00907C68" w:rsidRDefault="00880139" w:rsidP="00880139">
      <w:pPr>
        <w:rPr>
          <w:rFonts w:ascii="Aptos" w:hAnsi="Aptos"/>
        </w:rPr>
      </w:pPr>
    </w:p>
    <w:p w14:paraId="622D5716" w14:textId="6FFCAB1E" w:rsidR="00880139" w:rsidRPr="00907C68" w:rsidRDefault="00880139" w:rsidP="00880139">
      <w:pPr>
        <w:rPr>
          <w:rFonts w:ascii="Aptos" w:hAnsi="Aptos"/>
          <w:b/>
          <w:bCs/>
        </w:rPr>
      </w:pPr>
      <w:r w:rsidRPr="00907C68">
        <w:rPr>
          <w:rFonts w:ascii="Aptos" w:hAnsi="Aptos"/>
          <w:b/>
          <w:bCs/>
        </w:rPr>
        <w:t>Part 2 - Functional enrichment</w:t>
      </w:r>
    </w:p>
    <w:p w14:paraId="7BFEB59C" w14:textId="77777777" w:rsidR="00880139" w:rsidRPr="00907C68" w:rsidRDefault="00880139" w:rsidP="00880139">
      <w:pPr>
        <w:pStyle w:val="NormalWeb"/>
        <w:numPr>
          <w:ilvl w:val="0"/>
          <w:numId w:val="1"/>
        </w:numPr>
        <w:rPr>
          <w:rFonts w:ascii="Aptos" w:hAnsi="Aptos"/>
        </w:rPr>
      </w:pPr>
      <w:r w:rsidRPr="00907C68">
        <w:rPr>
          <w:rStyle w:val="Strong"/>
          <w:rFonts w:ascii="Aptos" w:hAnsi="Aptos"/>
          <w:b w:val="0"/>
          <w:bCs w:val="0"/>
        </w:rPr>
        <w:t>Computational Methods and Software Tools for Functional Analysis of miRNA Data</w:t>
      </w:r>
      <w:r w:rsidRPr="00907C68">
        <w:rPr>
          <w:rFonts w:ascii="Aptos" w:hAnsi="Aptos"/>
        </w:rPr>
        <w:t xml:space="preserve"> (2020)</w:t>
      </w:r>
      <w:r w:rsidRPr="00907C68">
        <w:rPr>
          <w:rFonts w:ascii="Aptos" w:hAnsi="Aptos"/>
        </w:rPr>
        <w:br/>
      </w:r>
      <w:hyperlink r:id="rId7" w:history="1">
        <w:r w:rsidRPr="00907C68">
          <w:rPr>
            <w:rStyle w:val="Hyperlink"/>
            <w:rFonts w:ascii="Aptos" w:hAnsi="Aptos"/>
          </w:rPr>
          <w:t>https://pmc.ncbi.nlm.nih.gov/articles/PMC7563698/</w:t>
        </w:r>
      </w:hyperlink>
    </w:p>
    <w:p w14:paraId="758A1835" w14:textId="77777777" w:rsidR="00880139" w:rsidRPr="00907C68" w:rsidRDefault="00880139" w:rsidP="00880139">
      <w:pPr>
        <w:pStyle w:val="NormalWeb"/>
        <w:numPr>
          <w:ilvl w:val="0"/>
          <w:numId w:val="1"/>
        </w:numPr>
        <w:rPr>
          <w:rFonts w:ascii="Aptos" w:hAnsi="Aptos"/>
        </w:rPr>
      </w:pPr>
      <w:r w:rsidRPr="00907C68">
        <w:rPr>
          <w:rStyle w:val="Strong"/>
          <w:rFonts w:ascii="Aptos" w:hAnsi="Aptos"/>
          <w:b w:val="0"/>
          <w:bCs w:val="0"/>
        </w:rPr>
        <w:t>Bias in microRNA Functional Enrichment Analysis</w:t>
      </w:r>
      <w:r w:rsidRPr="00907C68">
        <w:rPr>
          <w:rFonts w:ascii="Aptos" w:hAnsi="Aptos"/>
        </w:rPr>
        <w:t xml:space="preserve"> (2015)</w:t>
      </w:r>
      <w:r w:rsidRPr="00907C68">
        <w:rPr>
          <w:rFonts w:ascii="Aptos" w:hAnsi="Aptos"/>
        </w:rPr>
        <w:br/>
      </w:r>
      <w:hyperlink r:id="rId8" w:history="1">
        <w:r w:rsidRPr="00907C68">
          <w:rPr>
            <w:rStyle w:val="Hyperlink"/>
            <w:rFonts w:ascii="Aptos" w:hAnsi="Aptos"/>
          </w:rPr>
          <w:t>https://pmc.ncbi.nlm.nih.gov/articles/PMC4426843/</w:t>
        </w:r>
      </w:hyperlink>
    </w:p>
    <w:p w14:paraId="4DCF90BB" w14:textId="77777777" w:rsidR="00880139" w:rsidRPr="00907C68" w:rsidRDefault="00880139" w:rsidP="00880139">
      <w:pPr>
        <w:pStyle w:val="NormalWeb"/>
        <w:numPr>
          <w:ilvl w:val="0"/>
          <w:numId w:val="1"/>
        </w:numPr>
        <w:rPr>
          <w:rFonts w:ascii="Aptos" w:hAnsi="Aptos"/>
        </w:rPr>
      </w:pPr>
      <w:proofErr w:type="spellStart"/>
      <w:r w:rsidRPr="00907C68">
        <w:rPr>
          <w:rStyle w:val="Strong"/>
          <w:rFonts w:ascii="Aptos" w:hAnsi="Aptos"/>
          <w:b w:val="0"/>
          <w:bCs w:val="0"/>
        </w:rPr>
        <w:t>miEAA</w:t>
      </w:r>
      <w:proofErr w:type="spellEnd"/>
      <w:r w:rsidRPr="00907C68">
        <w:rPr>
          <w:rStyle w:val="Strong"/>
          <w:rFonts w:ascii="Aptos" w:hAnsi="Aptos"/>
          <w:b w:val="0"/>
          <w:bCs w:val="0"/>
        </w:rPr>
        <w:t xml:space="preserve"> 2023: Updates, New Functional microRNA Sets and Improved Enrichment Visualizations</w:t>
      </w:r>
      <w:r w:rsidRPr="00907C68">
        <w:rPr>
          <w:rFonts w:ascii="Aptos" w:hAnsi="Aptos"/>
        </w:rPr>
        <w:t xml:space="preserve"> (2023)</w:t>
      </w:r>
      <w:r w:rsidRPr="00907C68">
        <w:rPr>
          <w:rFonts w:ascii="Aptos" w:hAnsi="Aptos"/>
        </w:rPr>
        <w:br/>
      </w:r>
      <w:hyperlink r:id="rId9" w:history="1">
        <w:r w:rsidRPr="00907C68">
          <w:rPr>
            <w:rStyle w:val="Hyperlink"/>
            <w:rFonts w:ascii="Aptos" w:hAnsi="Aptos"/>
          </w:rPr>
          <w:t>https://pmc.ncbi.nlm.nih.gov/articles/PMC10320052/</w:t>
        </w:r>
      </w:hyperlink>
    </w:p>
    <w:p w14:paraId="2EF029EE" w14:textId="77777777" w:rsidR="00880139" w:rsidRPr="00907C68" w:rsidRDefault="00880139" w:rsidP="00880139">
      <w:pPr>
        <w:pStyle w:val="NormalWeb"/>
        <w:numPr>
          <w:ilvl w:val="0"/>
          <w:numId w:val="1"/>
        </w:numPr>
        <w:rPr>
          <w:rFonts w:ascii="Aptos" w:hAnsi="Aptos"/>
        </w:rPr>
      </w:pPr>
      <w:r w:rsidRPr="00907C68">
        <w:rPr>
          <w:rStyle w:val="Strong"/>
          <w:rFonts w:ascii="Aptos" w:hAnsi="Aptos"/>
          <w:b w:val="0"/>
          <w:bCs w:val="0"/>
        </w:rPr>
        <w:t>Insights into Online microRNA Bioinformatics Tools</w:t>
      </w:r>
      <w:r w:rsidRPr="00907C68">
        <w:rPr>
          <w:rFonts w:ascii="Aptos" w:hAnsi="Aptos"/>
        </w:rPr>
        <w:t xml:space="preserve"> (2023)</w:t>
      </w:r>
      <w:r w:rsidRPr="00907C68">
        <w:rPr>
          <w:rFonts w:ascii="Aptos" w:hAnsi="Aptos"/>
        </w:rPr>
        <w:br/>
      </w:r>
      <w:hyperlink r:id="rId10" w:history="1">
        <w:r w:rsidRPr="00907C68">
          <w:rPr>
            <w:rStyle w:val="Hyperlink"/>
            <w:rFonts w:ascii="Aptos" w:hAnsi="Aptos"/>
          </w:rPr>
          <w:t>https://www.mdpi.com/2311-553X/9/2/18</w:t>
        </w:r>
      </w:hyperlink>
    </w:p>
    <w:p w14:paraId="225BB7DB" w14:textId="05B6A9F8" w:rsidR="00880139" w:rsidRPr="00907C68" w:rsidRDefault="00880139" w:rsidP="00880139">
      <w:pPr>
        <w:pStyle w:val="NormalWeb"/>
        <w:numPr>
          <w:ilvl w:val="0"/>
          <w:numId w:val="1"/>
        </w:numPr>
        <w:rPr>
          <w:rFonts w:ascii="Aptos" w:hAnsi="Aptos"/>
        </w:rPr>
      </w:pPr>
      <w:r w:rsidRPr="00907C68">
        <w:rPr>
          <w:rFonts w:ascii="Aptos" w:hAnsi="Aptos"/>
        </w:rPr>
        <w:t xml:space="preserve">Pathway analysis from lists of microRNAs: common pitfalls and alternative strategy (2025) </w:t>
      </w:r>
      <w:r w:rsidRPr="00907C68">
        <w:rPr>
          <w:rFonts w:ascii="Aptos" w:hAnsi="Aptos"/>
        </w:rPr>
        <w:sym w:font="Wingdings" w:char="F0E0"/>
      </w:r>
      <w:r w:rsidRPr="00907C68">
        <w:rPr>
          <w:rFonts w:ascii="Aptos" w:hAnsi="Aptos"/>
        </w:rPr>
        <w:t xml:space="preserve"> </w:t>
      </w:r>
      <w:hyperlink r:id="rId11" w:history="1">
        <w:r w:rsidRPr="00907C68">
          <w:rPr>
            <w:rStyle w:val="Hyperlink"/>
            <w:rFonts w:ascii="Aptos" w:hAnsi="Aptos"/>
          </w:rPr>
          <w:t>https://pmc.ncbi.nlm.nih.gov/articles/PMC4402548/</w:t>
        </w:r>
      </w:hyperlink>
    </w:p>
    <w:p w14:paraId="037A10FC" w14:textId="4CDE26BE" w:rsidR="00907C68" w:rsidRPr="00326E6E" w:rsidRDefault="00907C68" w:rsidP="00880139">
      <w:pPr>
        <w:pStyle w:val="NormalWeb"/>
        <w:numPr>
          <w:ilvl w:val="0"/>
          <w:numId w:val="1"/>
        </w:numPr>
        <w:rPr>
          <w:rFonts w:ascii="Aptos" w:hAnsi="Aptos"/>
        </w:rPr>
      </w:pPr>
      <w:r w:rsidRPr="00907C68">
        <w:rPr>
          <w:rFonts w:ascii="Aptos" w:hAnsi="Aptos"/>
        </w:rPr>
        <w:t>Use</w:t>
      </w:r>
      <w:r>
        <w:rPr>
          <w:rFonts w:ascii="Aptos" w:hAnsi="Aptos"/>
        </w:rPr>
        <w:t xml:space="preserve"> anticorrelation of miRNA and mRNA to focus enrichment analysis </w:t>
      </w:r>
      <w:r w:rsidRPr="00907C68">
        <w:rPr>
          <w:rFonts w:ascii="Aptos" w:hAnsi="Aptos"/>
        </w:rPr>
        <w:sym w:font="Wingdings" w:char="F0E0"/>
      </w:r>
      <w:r w:rsidRPr="00907C68">
        <w:rPr>
          <w:rFonts w:ascii="Aptos" w:hAnsi="Aptos"/>
        </w:rPr>
        <w:t xml:space="preserve"> </w:t>
      </w:r>
      <w:hyperlink r:id="rId12" w:history="1">
        <w:r w:rsidRPr="00AD0699">
          <w:rPr>
            <w:rStyle w:val="Hyperlink"/>
            <w:rFonts w:ascii="Aptos" w:hAnsi="Aptos"/>
          </w:rPr>
          <w:t>https://isevjournals.onlinelibrary.wiley.com/doi/full/10.1002/jex2.134</w:t>
        </w:r>
      </w:hyperlink>
    </w:p>
    <w:p w14:paraId="79FD4C45" w14:textId="163F011D" w:rsidR="00326E6E" w:rsidRDefault="00326E6E" w:rsidP="00880139">
      <w:pPr>
        <w:pStyle w:val="NormalWeb"/>
        <w:numPr>
          <w:ilvl w:val="0"/>
          <w:numId w:val="1"/>
        </w:numPr>
        <w:rPr>
          <w:rFonts w:ascii="Aptos" w:hAnsi="Aptos"/>
        </w:rPr>
      </w:pPr>
      <w:r w:rsidRPr="00326E6E">
        <w:rPr>
          <w:rFonts w:ascii="Aptos" w:hAnsi="Aptos"/>
        </w:rPr>
        <w:t xml:space="preserve">To reduce the number of false-positive results generated by a target prediction method, the user may choose several target prediction approaches for analysis that are based on different algorithms and consider various target prediction features. Further, the user may choose only the miRNA targets that are predicted by all (intersection) or X out of Y methods used (consensus). Currently, there are two miRNA target prediction meta-servers which were mentioned earlier in the chapter, Tools4miRs and </w:t>
      </w:r>
      <w:proofErr w:type="spellStart"/>
      <w:r w:rsidRPr="00326E6E">
        <w:rPr>
          <w:rFonts w:ascii="Aptos" w:hAnsi="Aptos"/>
        </w:rPr>
        <w:t>sRNAtoolbox</w:t>
      </w:r>
      <w:proofErr w:type="spellEnd"/>
      <w:r w:rsidRPr="00326E6E">
        <w:rPr>
          <w:rFonts w:ascii="Aptos" w:hAnsi="Aptos"/>
        </w:rPr>
        <w:t xml:space="preserve">. Both these services incorporate user-designated target prediction methods in the analysis of user-provided data and </w:t>
      </w:r>
      <w:proofErr w:type="gramStart"/>
      <w:r w:rsidRPr="00326E6E">
        <w:rPr>
          <w:rFonts w:ascii="Aptos" w:hAnsi="Aptos"/>
        </w:rPr>
        <w:t>are able to</w:t>
      </w:r>
      <w:proofErr w:type="gramEnd"/>
      <w:r w:rsidRPr="00326E6E">
        <w:rPr>
          <w:rFonts w:ascii="Aptos" w:hAnsi="Aptos"/>
        </w:rPr>
        <w:t xml:space="preserve"> present the intersection or consensus of the generated results.</w:t>
      </w:r>
      <w:r>
        <w:rPr>
          <w:rFonts w:ascii="Aptos" w:hAnsi="Aptos"/>
        </w:rPr>
        <w:t xml:space="preserve"> </w:t>
      </w:r>
      <w:r w:rsidRPr="00326E6E">
        <w:rPr>
          <w:rFonts w:ascii="Aptos" w:hAnsi="Aptos"/>
        </w:rPr>
        <w:sym w:font="Wingdings" w:char="F0E0"/>
      </w:r>
      <w:r>
        <w:rPr>
          <w:rFonts w:ascii="Aptos" w:hAnsi="Aptos"/>
        </w:rPr>
        <w:t xml:space="preserve"> </w:t>
      </w:r>
      <w:hyperlink r:id="rId13" w:history="1">
        <w:r w:rsidRPr="00FF096D">
          <w:rPr>
            <w:rStyle w:val="Hyperlink"/>
            <w:rFonts w:ascii="Aptos" w:hAnsi="Aptos"/>
          </w:rPr>
          <w:t>https://link.springer.com/protocol/10.1007/978-1-0716-4398-3_2#Sec39</w:t>
        </w:r>
      </w:hyperlink>
    </w:p>
    <w:p w14:paraId="710ECDF7" w14:textId="1B9F8C14" w:rsidR="00326E6E" w:rsidRDefault="005E2558" w:rsidP="00880139">
      <w:pPr>
        <w:pStyle w:val="NormalWeb"/>
        <w:numPr>
          <w:ilvl w:val="0"/>
          <w:numId w:val="1"/>
        </w:numPr>
        <w:rPr>
          <w:rFonts w:ascii="Aptos" w:hAnsi="Aptos"/>
        </w:rPr>
      </w:pPr>
      <w:r>
        <w:rPr>
          <w:rFonts w:ascii="Aptos" w:hAnsi="Aptos"/>
        </w:rPr>
        <w:t>My-brain-</w:t>
      </w:r>
      <w:proofErr w:type="spellStart"/>
      <w:r>
        <w:rPr>
          <w:rFonts w:ascii="Aptos" w:hAnsi="Aptos"/>
        </w:rPr>
        <w:t>seq</w:t>
      </w:r>
      <w:proofErr w:type="spellEnd"/>
      <w:r>
        <w:rPr>
          <w:rFonts w:ascii="Aptos" w:hAnsi="Aptos"/>
        </w:rPr>
        <w:t xml:space="preserve"> (reproducible pipeline) </w:t>
      </w:r>
      <w:r w:rsidRPr="005E2558">
        <w:rPr>
          <w:rFonts w:ascii="Aptos" w:hAnsi="Aptos"/>
        </w:rPr>
        <w:sym w:font="Wingdings" w:char="F0E0"/>
      </w:r>
      <w:r>
        <w:rPr>
          <w:rFonts w:ascii="Aptos" w:hAnsi="Aptos"/>
        </w:rPr>
        <w:t xml:space="preserve"> </w:t>
      </w:r>
      <w:hyperlink r:id="rId14" w:history="1">
        <w:r w:rsidRPr="00FF096D">
          <w:rPr>
            <w:rStyle w:val="Hyperlink"/>
            <w:rFonts w:ascii="Aptos" w:hAnsi="Aptos"/>
          </w:rPr>
          <w:t>https://pmc.ncbi.nlm.nih.gov/articles/PMC10135678/</w:t>
        </w:r>
      </w:hyperlink>
    </w:p>
    <w:p w14:paraId="16A24A8B" w14:textId="4908EF00" w:rsidR="005E2558" w:rsidRDefault="005E2558" w:rsidP="00880139">
      <w:pPr>
        <w:pStyle w:val="NormalWeb"/>
        <w:numPr>
          <w:ilvl w:val="0"/>
          <w:numId w:val="1"/>
        </w:numPr>
        <w:rPr>
          <w:rFonts w:ascii="Aptos" w:hAnsi="Aptos"/>
        </w:rPr>
      </w:pPr>
      <w:r w:rsidRPr="005E2558">
        <w:rPr>
          <w:rFonts w:ascii="Aptos" w:hAnsi="Aptos"/>
        </w:rPr>
        <w:t>Pathway analysis from lists of microRNAs: common pitfalls and alternative strategy</w:t>
      </w:r>
      <w:r w:rsidRPr="005E2558">
        <w:rPr>
          <w:rFonts w:ascii="Aptos" w:hAnsi="Aptos"/>
        </w:rPr>
        <w:t xml:space="preserve"> </w:t>
      </w:r>
      <w:r w:rsidR="00830B2C">
        <w:rPr>
          <w:rFonts w:ascii="Aptos" w:hAnsi="Aptos"/>
        </w:rPr>
        <w:t xml:space="preserve">(2015) </w:t>
      </w:r>
      <w:r>
        <w:rPr>
          <w:rFonts w:ascii="Aptos" w:hAnsi="Aptos"/>
        </w:rPr>
        <w:t xml:space="preserve"> </w:t>
      </w:r>
      <w:r w:rsidRPr="005E2558">
        <w:rPr>
          <w:rFonts w:ascii="Aptos" w:hAnsi="Aptos"/>
        </w:rPr>
        <w:sym w:font="Wingdings" w:char="F0E0"/>
      </w:r>
      <w:r>
        <w:rPr>
          <w:rFonts w:ascii="Aptos" w:hAnsi="Aptos"/>
        </w:rPr>
        <w:t xml:space="preserve"> </w:t>
      </w:r>
      <w:hyperlink r:id="rId15" w:history="1">
        <w:r w:rsidRPr="00FF096D">
          <w:rPr>
            <w:rStyle w:val="Hyperlink"/>
            <w:rFonts w:ascii="Aptos" w:hAnsi="Aptos"/>
          </w:rPr>
          <w:t>https://pmc.ncbi.nlm.nih.gov/articles/PMC4402548/</w:t>
        </w:r>
      </w:hyperlink>
    </w:p>
    <w:p w14:paraId="5C5A11F0" w14:textId="1132EAC1" w:rsidR="005E2558" w:rsidRPr="00907C68" w:rsidRDefault="00226339" w:rsidP="00226339">
      <w:pPr>
        <w:pStyle w:val="NormalWeb"/>
        <w:numPr>
          <w:ilvl w:val="1"/>
          <w:numId w:val="1"/>
        </w:numPr>
        <w:rPr>
          <w:rFonts w:ascii="Aptos" w:hAnsi="Aptos"/>
        </w:rPr>
      </w:pPr>
      <w:r>
        <w:rPr>
          <w:rFonts w:ascii="Aptos" w:hAnsi="Aptos"/>
        </w:rPr>
        <w:t>This is good for discussion – bias towards cancer pathways</w:t>
      </w:r>
    </w:p>
    <w:p w14:paraId="4E44E021" w14:textId="77777777" w:rsidR="00880139" w:rsidRPr="00907C68" w:rsidRDefault="00880139" w:rsidP="00880139">
      <w:pPr>
        <w:pStyle w:val="NormalWeb"/>
        <w:ind w:left="720"/>
        <w:rPr>
          <w:rFonts w:ascii="Aptos" w:hAnsi="Aptos"/>
        </w:rPr>
      </w:pPr>
    </w:p>
    <w:p w14:paraId="11A644CB" w14:textId="77777777" w:rsidR="00880139" w:rsidRPr="00907C68" w:rsidRDefault="00880139" w:rsidP="00880139">
      <w:pPr>
        <w:pStyle w:val="ListParagraph"/>
        <w:rPr>
          <w:rFonts w:ascii="Aptos" w:hAnsi="Aptos"/>
        </w:rPr>
      </w:pPr>
    </w:p>
    <w:p w14:paraId="04455D20" w14:textId="77777777" w:rsidR="00690CC6" w:rsidRPr="00907C68" w:rsidRDefault="00690CC6" w:rsidP="00690CC6">
      <w:pPr>
        <w:pStyle w:val="ListParagraph"/>
        <w:rPr>
          <w:rFonts w:ascii="Aptos" w:hAnsi="Aptos"/>
        </w:rPr>
      </w:pPr>
    </w:p>
    <w:sectPr w:rsidR="00690CC6" w:rsidRPr="00907C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7E133E"/>
    <w:multiLevelType w:val="hybridMultilevel"/>
    <w:tmpl w:val="FD2046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8D60210"/>
    <w:multiLevelType w:val="multilevel"/>
    <w:tmpl w:val="788E5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985334">
    <w:abstractNumId w:val="0"/>
  </w:num>
  <w:num w:numId="2" w16cid:durableId="12302637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809"/>
    <w:rsid w:val="00001138"/>
    <w:rsid w:val="000075EF"/>
    <w:rsid w:val="00030347"/>
    <w:rsid w:val="00047129"/>
    <w:rsid w:val="00063712"/>
    <w:rsid w:val="000A412F"/>
    <w:rsid w:val="000B4FFF"/>
    <w:rsid w:val="000C3A29"/>
    <w:rsid w:val="00100920"/>
    <w:rsid w:val="00121CBD"/>
    <w:rsid w:val="001233F3"/>
    <w:rsid w:val="0013173A"/>
    <w:rsid w:val="00164445"/>
    <w:rsid w:val="00186C80"/>
    <w:rsid w:val="00194B2E"/>
    <w:rsid w:val="001C1675"/>
    <w:rsid w:val="00226339"/>
    <w:rsid w:val="0023299A"/>
    <w:rsid w:val="00263D1F"/>
    <w:rsid w:val="002A28C6"/>
    <w:rsid w:val="002A6713"/>
    <w:rsid w:val="002C17AE"/>
    <w:rsid w:val="00314F62"/>
    <w:rsid w:val="00326E6E"/>
    <w:rsid w:val="00353EBB"/>
    <w:rsid w:val="00361B9E"/>
    <w:rsid w:val="00384E01"/>
    <w:rsid w:val="00397E4D"/>
    <w:rsid w:val="003B459C"/>
    <w:rsid w:val="003C7AAA"/>
    <w:rsid w:val="003D2EEB"/>
    <w:rsid w:val="003D4F05"/>
    <w:rsid w:val="004011A9"/>
    <w:rsid w:val="00405032"/>
    <w:rsid w:val="00412B7F"/>
    <w:rsid w:val="00414B37"/>
    <w:rsid w:val="00416A16"/>
    <w:rsid w:val="0041709D"/>
    <w:rsid w:val="0042769D"/>
    <w:rsid w:val="00427A72"/>
    <w:rsid w:val="0045640B"/>
    <w:rsid w:val="00460240"/>
    <w:rsid w:val="004614FA"/>
    <w:rsid w:val="0046190D"/>
    <w:rsid w:val="0047035E"/>
    <w:rsid w:val="00472EE5"/>
    <w:rsid w:val="0048054B"/>
    <w:rsid w:val="0049100A"/>
    <w:rsid w:val="004B2AB1"/>
    <w:rsid w:val="004C046D"/>
    <w:rsid w:val="004C0F98"/>
    <w:rsid w:val="004C52FE"/>
    <w:rsid w:val="004E0FFA"/>
    <w:rsid w:val="00517147"/>
    <w:rsid w:val="005227DE"/>
    <w:rsid w:val="00522809"/>
    <w:rsid w:val="005524A2"/>
    <w:rsid w:val="0055642F"/>
    <w:rsid w:val="0056269E"/>
    <w:rsid w:val="005B1175"/>
    <w:rsid w:val="005B192A"/>
    <w:rsid w:val="005B467C"/>
    <w:rsid w:val="005C453C"/>
    <w:rsid w:val="005C6D20"/>
    <w:rsid w:val="005E2558"/>
    <w:rsid w:val="005E3D8D"/>
    <w:rsid w:val="00606721"/>
    <w:rsid w:val="00621C88"/>
    <w:rsid w:val="00626607"/>
    <w:rsid w:val="00650AAB"/>
    <w:rsid w:val="006549B7"/>
    <w:rsid w:val="0068495B"/>
    <w:rsid w:val="00690CC6"/>
    <w:rsid w:val="00692892"/>
    <w:rsid w:val="006E1EA2"/>
    <w:rsid w:val="00703510"/>
    <w:rsid w:val="00727835"/>
    <w:rsid w:val="00731925"/>
    <w:rsid w:val="00756FD1"/>
    <w:rsid w:val="00757A2B"/>
    <w:rsid w:val="00760F8C"/>
    <w:rsid w:val="00770812"/>
    <w:rsid w:val="0079323E"/>
    <w:rsid w:val="00793829"/>
    <w:rsid w:val="00793E26"/>
    <w:rsid w:val="007A17DB"/>
    <w:rsid w:val="007A69D7"/>
    <w:rsid w:val="007B23E1"/>
    <w:rsid w:val="007B4EC7"/>
    <w:rsid w:val="007D626D"/>
    <w:rsid w:val="007E59F2"/>
    <w:rsid w:val="00821654"/>
    <w:rsid w:val="00830B2C"/>
    <w:rsid w:val="00842A5E"/>
    <w:rsid w:val="00866F12"/>
    <w:rsid w:val="00875567"/>
    <w:rsid w:val="00880139"/>
    <w:rsid w:val="008962CC"/>
    <w:rsid w:val="008A73BE"/>
    <w:rsid w:val="008F4B97"/>
    <w:rsid w:val="0090021F"/>
    <w:rsid w:val="009035F0"/>
    <w:rsid w:val="00907C68"/>
    <w:rsid w:val="009179DE"/>
    <w:rsid w:val="0093401D"/>
    <w:rsid w:val="009365DB"/>
    <w:rsid w:val="00943C84"/>
    <w:rsid w:val="0095447A"/>
    <w:rsid w:val="009576F0"/>
    <w:rsid w:val="00987476"/>
    <w:rsid w:val="009924B2"/>
    <w:rsid w:val="00992996"/>
    <w:rsid w:val="009A4607"/>
    <w:rsid w:val="009A588D"/>
    <w:rsid w:val="009A6BB6"/>
    <w:rsid w:val="009B335C"/>
    <w:rsid w:val="009F5A6B"/>
    <w:rsid w:val="00A219BC"/>
    <w:rsid w:val="00A2298C"/>
    <w:rsid w:val="00A2565B"/>
    <w:rsid w:val="00A26B58"/>
    <w:rsid w:val="00A3711B"/>
    <w:rsid w:val="00A843BE"/>
    <w:rsid w:val="00A84744"/>
    <w:rsid w:val="00AA4E5D"/>
    <w:rsid w:val="00AD6723"/>
    <w:rsid w:val="00AD7784"/>
    <w:rsid w:val="00AF395F"/>
    <w:rsid w:val="00AF6562"/>
    <w:rsid w:val="00B0128A"/>
    <w:rsid w:val="00B0132D"/>
    <w:rsid w:val="00B22364"/>
    <w:rsid w:val="00B46D3C"/>
    <w:rsid w:val="00B54B2E"/>
    <w:rsid w:val="00B863A7"/>
    <w:rsid w:val="00BB714E"/>
    <w:rsid w:val="00BC35ED"/>
    <w:rsid w:val="00BC3A44"/>
    <w:rsid w:val="00BC5B8A"/>
    <w:rsid w:val="00BD2F2A"/>
    <w:rsid w:val="00BE3280"/>
    <w:rsid w:val="00BF176D"/>
    <w:rsid w:val="00BF598A"/>
    <w:rsid w:val="00C343FA"/>
    <w:rsid w:val="00C44C6D"/>
    <w:rsid w:val="00C80E01"/>
    <w:rsid w:val="00C8684D"/>
    <w:rsid w:val="00CB5EC7"/>
    <w:rsid w:val="00CB7B3A"/>
    <w:rsid w:val="00CD34DA"/>
    <w:rsid w:val="00CF70B9"/>
    <w:rsid w:val="00D051AB"/>
    <w:rsid w:val="00D05438"/>
    <w:rsid w:val="00D42336"/>
    <w:rsid w:val="00D512B2"/>
    <w:rsid w:val="00D61F79"/>
    <w:rsid w:val="00DD7806"/>
    <w:rsid w:val="00DE27C7"/>
    <w:rsid w:val="00DE327B"/>
    <w:rsid w:val="00DE5884"/>
    <w:rsid w:val="00DF2C75"/>
    <w:rsid w:val="00DF73F3"/>
    <w:rsid w:val="00E01F9A"/>
    <w:rsid w:val="00E20685"/>
    <w:rsid w:val="00E20B1B"/>
    <w:rsid w:val="00E35CD6"/>
    <w:rsid w:val="00E42A10"/>
    <w:rsid w:val="00E6521C"/>
    <w:rsid w:val="00E71E2C"/>
    <w:rsid w:val="00E827FE"/>
    <w:rsid w:val="00E85DB3"/>
    <w:rsid w:val="00E87F8F"/>
    <w:rsid w:val="00EA7097"/>
    <w:rsid w:val="00EB675A"/>
    <w:rsid w:val="00EC6A1A"/>
    <w:rsid w:val="00F244E3"/>
    <w:rsid w:val="00F27297"/>
    <w:rsid w:val="00F31DE2"/>
    <w:rsid w:val="00F321FA"/>
    <w:rsid w:val="00F73176"/>
    <w:rsid w:val="00F80702"/>
    <w:rsid w:val="00F8548F"/>
    <w:rsid w:val="00F87735"/>
    <w:rsid w:val="00F959B4"/>
    <w:rsid w:val="00FA10E7"/>
    <w:rsid w:val="00FB5454"/>
    <w:rsid w:val="00FB653F"/>
    <w:rsid w:val="00FC57CA"/>
    <w:rsid w:val="00FE3440"/>
    <w:rsid w:val="00FE5348"/>
    <w:rsid w:val="00FE61DC"/>
    <w:rsid w:val="00FE7E73"/>
    <w:rsid w:val="00FF7B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81E1C1E"/>
  <w15:chartTrackingRefBased/>
  <w15:docId w15:val="{22D108E9-87EC-F44C-9392-522D46B28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28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28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28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28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28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28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28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28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28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28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28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28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28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28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28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28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28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2809"/>
    <w:rPr>
      <w:rFonts w:eastAsiaTheme="majorEastAsia" w:cstheme="majorBidi"/>
      <w:color w:val="272727" w:themeColor="text1" w:themeTint="D8"/>
    </w:rPr>
  </w:style>
  <w:style w:type="paragraph" w:styleId="Title">
    <w:name w:val="Title"/>
    <w:basedOn w:val="Normal"/>
    <w:next w:val="Normal"/>
    <w:link w:val="TitleChar"/>
    <w:uiPriority w:val="10"/>
    <w:qFormat/>
    <w:rsid w:val="005228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28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28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28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2809"/>
    <w:pPr>
      <w:spacing w:before="160"/>
      <w:jc w:val="center"/>
    </w:pPr>
    <w:rPr>
      <w:i/>
      <w:iCs/>
      <w:color w:val="404040" w:themeColor="text1" w:themeTint="BF"/>
    </w:rPr>
  </w:style>
  <w:style w:type="character" w:customStyle="1" w:styleId="QuoteChar">
    <w:name w:val="Quote Char"/>
    <w:basedOn w:val="DefaultParagraphFont"/>
    <w:link w:val="Quote"/>
    <w:uiPriority w:val="29"/>
    <w:rsid w:val="00522809"/>
    <w:rPr>
      <w:i/>
      <w:iCs/>
      <w:color w:val="404040" w:themeColor="text1" w:themeTint="BF"/>
    </w:rPr>
  </w:style>
  <w:style w:type="paragraph" w:styleId="ListParagraph">
    <w:name w:val="List Paragraph"/>
    <w:basedOn w:val="Normal"/>
    <w:uiPriority w:val="34"/>
    <w:qFormat/>
    <w:rsid w:val="00522809"/>
    <w:pPr>
      <w:ind w:left="720"/>
      <w:contextualSpacing/>
    </w:pPr>
  </w:style>
  <w:style w:type="character" w:styleId="IntenseEmphasis">
    <w:name w:val="Intense Emphasis"/>
    <w:basedOn w:val="DefaultParagraphFont"/>
    <w:uiPriority w:val="21"/>
    <w:qFormat/>
    <w:rsid w:val="00522809"/>
    <w:rPr>
      <w:i/>
      <w:iCs/>
      <w:color w:val="0F4761" w:themeColor="accent1" w:themeShade="BF"/>
    </w:rPr>
  </w:style>
  <w:style w:type="paragraph" w:styleId="IntenseQuote">
    <w:name w:val="Intense Quote"/>
    <w:basedOn w:val="Normal"/>
    <w:next w:val="Normal"/>
    <w:link w:val="IntenseQuoteChar"/>
    <w:uiPriority w:val="30"/>
    <w:qFormat/>
    <w:rsid w:val="005228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2809"/>
    <w:rPr>
      <w:i/>
      <w:iCs/>
      <w:color w:val="0F4761" w:themeColor="accent1" w:themeShade="BF"/>
    </w:rPr>
  </w:style>
  <w:style w:type="character" w:styleId="IntenseReference">
    <w:name w:val="Intense Reference"/>
    <w:basedOn w:val="DefaultParagraphFont"/>
    <w:uiPriority w:val="32"/>
    <w:qFormat/>
    <w:rsid w:val="00522809"/>
    <w:rPr>
      <w:b/>
      <w:bCs/>
      <w:smallCaps/>
      <w:color w:val="0F4761" w:themeColor="accent1" w:themeShade="BF"/>
      <w:spacing w:val="5"/>
    </w:rPr>
  </w:style>
  <w:style w:type="character" w:styleId="Hyperlink">
    <w:name w:val="Hyperlink"/>
    <w:basedOn w:val="DefaultParagraphFont"/>
    <w:uiPriority w:val="99"/>
    <w:unhideWhenUsed/>
    <w:rsid w:val="00690CC6"/>
    <w:rPr>
      <w:color w:val="467886" w:themeColor="hyperlink"/>
      <w:u w:val="single"/>
    </w:rPr>
  </w:style>
  <w:style w:type="character" w:styleId="UnresolvedMention">
    <w:name w:val="Unresolved Mention"/>
    <w:basedOn w:val="DefaultParagraphFont"/>
    <w:uiPriority w:val="99"/>
    <w:semiHidden/>
    <w:unhideWhenUsed/>
    <w:rsid w:val="00690CC6"/>
    <w:rPr>
      <w:color w:val="605E5C"/>
      <w:shd w:val="clear" w:color="auto" w:fill="E1DFDD"/>
    </w:rPr>
  </w:style>
  <w:style w:type="character" w:styleId="FollowedHyperlink">
    <w:name w:val="FollowedHyperlink"/>
    <w:basedOn w:val="DefaultParagraphFont"/>
    <w:uiPriority w:val="99"/>
    <w:semiHidden/>
    <w:unhideWhenUsed/>
    <w:rsid w:val="00690CC6"/>
    <w:rPr>
      <w:color w:val="96607D" w:themeColor="followedHyperlink"/>
      <w:u w:val="single"/>
    </w:rPr>
  </w:style>
  <w:style w:type="paragraph" w:styleId="NormalWeb">
    <w:name w:val="Normal (Web)"/>
    <w:basedOn w:val="Normal"/>
    <w:uiPriority w:val="99"/>
    <w:semiHidden/>
    <w:unhideWhenUsed/>
    <w:rsid w:val="0088013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88013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mc.ncbi.nlm.nih.gov/articles/PMC4426843/" TargetMode="External"/><Relationship Id="rId13" Type="http://schemas.openxmlformats.org/officeDocument/2006/relationships/hyperlink" Target="https://link.springer.com/protocol/10.1007/978-1-0716-4398-3_2#Sec39" TargetMode="External"/><Relationship Id="rId3" Type="http://schemas.openxmlformats.org/officeDocument/2006/relationships/settings" Target="settings.xml"/><Relationship Id="rId7" Type="http://schemas.openxmlformats.org/officeDocument/2006/relationships/hyperlink" Target="https://pmc.ncbi.nlm.nih.gov/articles/PMC7563698/" TargetMode="External"/><Relationship Id="rId12" Type="http://schemas.openxmlformats.org/officeDocument/2006/relationships/hyperlink" Target="https://isevjournals.onlinelibrary.wiley.com/doi/full/10.1002/jex2.134"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pmc.ncbi.nlm.nih.gov/articles/PMC4402548/" TargetMode="External"/><Relationship Id="rId5" Type="http://schemas.openxmlformats.org/officeDocument/2006/relationships/hyperlink" Target="https://www.jove.com/t/68760/a-verified-workflow-for-mirna-seq-data-processing-bioinformatics" TargetMode="External"/><Relationship Id="rId15" Type="http://schemas.openxmlformats.org/officeDocument/2006/relationships/hyperlink" Target="https://pmc.ncbi.nlm.nih.gov/articles/PMC4402548/" TargetMode="External"/><Relationship Id="rId10" Type="http://schemas.openxmlformats.org/officeDocument/2006/relationships/hyperlink" Target="https://www.mdpi.com/2311-553X/9/2/18" TargetMode="External"/><Relationship Id="rId4" Type="http://schemas.openxmlformats.org/officeDocument/2006/relationships/webSettings" Target="webSettings.xml"/><Relationship Id="rId9" Type="http://schemas.openxmlformats.org/officeDocument/2006/relationships/hyperlink" Target="https://pmc.ncbi.nlm.nih.gov/articles/PMC10320052/" TargetMode="External"/><Relationship Id="rId14" Type="http://schemas.openxmlformats.org/officeDocument/2006/relationships/hyperlink" Target="https://pmc.ncbi.nlm.nih.gov/articles/PMC101356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Pages>
  <Words>404</Words>
  <Characters>2303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Janschke</dc:creator>
  <cp:keywords/>
  <dc:description/>
  <cp:lastModifiedBy>Chris Janschke</cp:lastModifiedBy>
  <cp:revision>8</cp:revision>
  <dcterms:created xsi:type="dcterms:W3CDTF">2026-02-15T20:00:00Z</dcterms:created>
  <dcterms:modified xsi:type="dcterms:W3CDTF">2026-05-29T16:13:00Z</dcterms:modified>
</cp:coreProperties>
</file>