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6DD5489" w14:textId="77777777" w:rsidR="00B823B8" w:rsidRPr="00330A88" w:rsidRDefault="00B823B8" w:rsidP="00B823B8">
      <w:pPr>
        <w:spacing w:after="0" w:line="240" w:lineRule="auto"/>
        <w:jc w:val="right"/>
        <w:rPr>
          <w:rFonts w:ascii="Tahoma" w:eastAsia="ヒラギノ角ゴ Pro W3" w:hAnsi="Tahoma" w:cs="Times New Roman"/>
          <w:color w:val="1B1B1B"/>
        </w:rPr>
      </w:pPr>
      <w:r>
        <w:rPr>
          <w:rFonts w:ascii="Times New Roman" w:eastAsia="ヒラギノ角ゴ Pro W3" w:hAnsi="Times New Roman" w:cs="Times New Roman"/>
          <w:noProof/>
          <w:color w:val="000000"/>
          <w:lang w:eastAsia="en-GB"/>
        </w:rPr>
        <w:drawing>
          <wp:inline distT="0" distB="0" distL="0" distR="0" wp14:anchorId="676B2AA8" wp14:editId="15505CBB">
            <wp:extent cx="2184400" cy="95250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84400" cy="952500"/>
                    </a:xfrm>
                    <a:prstGeom prst="rect">
                      <a:avLst/>
                    </a:prstGeom>
                    <a:noFill/>
                    <a:ln>
                      <a:noFill/>
                    </a:ln>
                  </pic:spPr>
                </pic:pic>
              </a:graphicData>
            </a:graphic>
          </wp:inline>
        </w:drawing>
      </w:r>
    </w:p>
    <w:p w14:paraId="7400C815" w14:textId="77777777" w:rsidR="00B823B8" w:rsidRPr="00693221" w:rsidRDefault="00B823B8" w:rsidP="00B823B8">
      <w:pPr>
        <w:spacing w:before="480" w:after="360" w:line="240" w:lineRule="auto"/>
        <w:jc w:val="center"/>
        <w:rPr>
          <w:rFonts w:ascii="Verdana Bold" w:eastAsia="ヒラギノ角ゴ Pro W3" w:hAnsi="Verdana Bold" w:cs="Times New Roman"/>
          <w:b/>
          <w:bCs/>
          <w:color w:val="000000"/>
          <w:sz w:val="32"/>
        </w:rPr>
      </w:pPr>
      <w:r w:rsidRPr="000F1433">
        <w:rPr>
          <w:rFonts w:ascii="Verdana Bold" w:eastAsia="ヒラギノ角ゴ Pro W3" w:hAnsi="Verdana Bold" w:cs="Times New Roman"/>
          <w:b/>
          <w:bCs/>
          <w:color w:val="000000"/>
          <w:sz w:val="32"/>
        </w:rPr>
        <w:t>Transcriptomic analysis of EV miRNA cargo derived from allergen-exposed airway epithelial cells using open-access software</w:t>
      </w:r>
    </w:p>
    <w:p w14:paraId="5D08D64C" w14:textId="77777777" w:rsidR="00B823B8" w:rsidRDefault="00B823B8" w:rsidP="00B823B8">
      <w:pPr>
        <w:spacing w:after="240" w:line="240" w:lineRule="auto"/>
        <w:jc w:val="both"/>
        <w:rPr>
          <w:rFonts w:ascii="Verdana Bold" w:eastAsia="ヒラギノ角ゴ Pro W3" w:hAnsi="Verdana Bold" w:cs="Times New Roman"/>
          <w:b/>
          <w:bCs/>
          <w:color w:val="000000"/>
        </w:rPr>
      </w:pPr>
      <w:r>
        <w:rPr>
          <w:rFonts w:ascii="Verdana Bold" w:eastAsia="ヒラギノ角ゴ Pro W3" w:hAnsi="Verdana Bold" w:cs="Times New Roman"/>
          <w:b/>
          <w:bCs/>
          <w:color w:val="000000"/>
        </w:rPr>
        <w:t>Christopher Janschke</w:t>
      </w:r>
    </w:p>
    <w:p w14:paraId="37120770" w14:textId="77777777" w:rsidR="00B823B8" w:rsidRPr="00DD041A" w:rsidRDefault="00B823B8" w:rsidP="00B823B8">
      <w:pPr>
        <w:spacing w:after="240" w:line="240" w:lineRule="auto"/>
        <w:jc w:val="both"/>
        <w:rPr>
          <w:rFonts w:ascii="Verdana Bold" w:eastAsia="ヒラギノ角ゴ Pro W3" w:hAnsi="Verdana Bold" w:cs="Times New Roman"/>
          <w:b/>
          <w:bCs/>
          <w:color w:val="000000"/>
        </w:rPr>
      </w:pPr>
      <w:r>
        <w:rPr>
          <w:rFonts w:ascii="Verdana Bold" w:eastAsia="ヒラギノ角ゴ Pro W3" w:hAnsi="Verdana Bold" w:cs="Times New Roman"/>
          <w:b/>
          <w:bCs/>
          <w:color w:val="000000"/>
        </w:rPr>
        <w:t>20805916</w:t>
      </w:r>
    </w:p>
    <w:p w14:paraId="49B427C2" w14:textId="77777777" w:rsidR="00B823B8" w:rsidRPr="00330A88" w:rsidRDefault="00B823B8" w:rsidP="00B823B8">
      <w:pPr>
        <w:spacing w:after="0" w:line="240" w:lineRule="auto"/>
        <w:jc w:val="both"/>
        <w:rPr>
          <w:rFonts w:ascii="Verdana" w:eastAsia="ヒラギノ角ゴ Pro W3" w:hAnsi="Verdana" w:cs="Times New Roman"/>
          <w:color w:val="000000"/>
        </w:rPr>
      </w:pPr>
      <w:r>
        <w:rPr>
          <w:rFonts w:ascii="Verdana" w:eastAsia="ヒラギノ角ゴ Pro W3" w:hAnsi="Verdana" w:cs="Times New Roman"/>
          <w:color w:val="000000"/>
        </w:rPr>
        <w:t>MSc in Bioinformatics</w:t>
      </w:r>
    </w:p>
    <w:p w14:paraId="1F660FAD" w14:textId="77777777" w:rsidR="00B823B8" w:rsidRDefault="00B823B8" w:rsidP="00B823B8">
      <w:pPr>
        <w:spacing w:after="0" w:line="240" w:lineRule="auto"/>
        <w:jc w:val="both"/>
        <w:rPr>
          <w:rFonts w:ascii="Verdana" w:eastAsia="ヒラギノ角ゴ Pro W3" w:hAnsi="Verdana" w:cs="Times New Roman"/>
          <w:color w:val="000000"/>
        </w:rPr>
      </w:pPr>
      <w:r w:rsidRPr="00330A88">
        <w:rPr>
          <w:rFonts w:ascii="Verdana" w:eastAsia="ヒラギノ角ゴ Pro W3" w:hAnsi="Verdana" w:cs="Times New Roman"/>
          <w:color w:val="000000"/>
        </w:rPr>
        <w:t>School of Life Science</w:t>
      </w:r>
      <w:r>
        <w:rPr>
          <w:rFonts w:ascii="Verdana" w:eastAsia="ヒラギノ角ゴ Pro W3" w:hAnsi="Verdana" w:cs="Times New Roman"/>
          <w:color w:val="000000"/>
        </w:rPr>
        <w:t>s</w:t>
      </w:r>
    </w:p>
    <w:p w14:paraId="29741D4A" w14:textId="77777777" w:rsidR="00B823B8" w:rsidRPr="00330A88" w:rsidRDefault="00B823B8" w:rsidP="00B823B8">
      <w:pPr>
        <w:spacing w:after="240" w:line="240" w:lineRule="auto"/>
        <w:jc w:val="both"/>
        <w:rPr>
          <w:rFonts w:ascii="Verdana" w:eastAsia="ヒラギノ角ゴ Pro W3" w:hAnsi="Verdana" w:cs="Times New Roman"/>
          <w:color w:val="000000"/>
        </w:rPr>
      </w:pPr>
      <w:r w:rsidRPr="00330A88">
        <w:rPr>
          <w:rFonts w:ascii="Verdana" w:eastAsia="ヒラギノ角ゴ Pro W3" w:hAnsi="Verdana" w:cs="Times New Roman"/>
          <w:color w:val="000000"/>
        </w:rPr>
        <w:t>Q</w:t>
      </w:r>
      <w:r>
        <w:rPr>
          <w:rFonts w:ascii="Verdana" w:eastAsia="ヒラギノ角ゴ Pro W3" w:hAnsi="Verdana" w:cs="Times New Roman"/>
          <w:color w:val="000000"/>
        </w:rPr>
        <w:t xml:space="preserve">ueen’s </w:t>
      </w:r>
      <w:r w:rsidRPr="00330A88">
        <w:rPr>
          <w:rFonts w:ascii="Verdana" w:eastAsia="ヒラギノ角ゴ Pro W3" w:hAnsi="Verdana" w:cs="Times New Roman"/>
          <w:color w:val="000000"/>
        </w:rPr>
        <w:t>M</w:t>
      </w:r>
      <w:r>
        <w:rPr>
          <w:rFonts w:ascii="Verdana" w:eastAsia="ヒラギノ角ゴ Pro W3" w:hAnsi="Verdana" w:cs="Times New Roman"/>
          <w:color w:val="000000"/>
        </w:rPr>
        <w:t xml:space="preserve">edical </w:t>
      </w:r>
      <w:r w:rsidRPr="00330A88">
        <w:rPr>
          <w:rFonts w:ascii="Verdana" w:eastAsia="ヒラギノ角ゴ Pro W3" w:hAnsi="Verdana" w:cs="Times New Roman"/>
          <w:color w:val="000000"/>
        </w:rPr>
        <w:t>C</w:t>
      </w:r>
      <w:r>
        <w:rPr>
          <w:rFonts w:ascii="Verdana" w:eastAsia="ヒラギノ角ゴ Pro W3" w:hAnsi="Verdana" w:cs="Times New Roman"/>
          <w:color w:val="000000"/>
        </w:rPr>
        <w:t>entre</w:t>
      </w:r>
    </w:p>
    <w:p w14:paraId="6694779F" w14:textId="77777777" w:rsidR="00B823B8" w:rsidRPr="00330A88" w:rsidRDefault="00B823B8" w:rsidP="00B823B8">
      <w:pPr>
        <w:spacing w:after="240" w:line="240" w:lineRule="auto"/>
        <w:jc w:val="both"/>
        <w:rPr>
          <w:rFonts w:ascii="Verdana" w:eastAsia="ヒラギノ角ゴ Pro W3" w:hAnsi="Verdana" w:cs="Times New Roman"/>
          <w:color w:val="000000"/>
        </w:rPr>
      </w:pPr>
      <w:r w:rsidRPr="005D4B35">
        <w:rPr>
          <w:rFonts w:ascii="Verdana" w:eastAsia="ヒラギノ角ゴ Pro W3" w:hAnsi="Verdana" w:cs="Times New Roman"/>
          <w:color w:val="000000"/>
          <w:u w:val="single"/>
        </w:rPr>
        <w:t>Supervisor</w:t>
      </w:r>
      <w:r w:rsidRPr="00330A88">
        <w:rPr>
          <w:rFonts w:ascii="Verdana" w:eastAsia="ヒラギノ角ゴ Pro W3" w:hAnsi="Verdana" w:cs="Times New Roman"/>
          <w:color w:val="000000"/>
        </w:rPr>
        <w:t>:</w:t>
      </w:r>
      <w:r w:rsidRPr="00330A88">
        <w:rPr>
          <w:rFonts w:ascii="Verdana Bold" w:eastAsia="ヒラギノ角ゴ Pro W3" w:hAnsi="Verdana Bold" w:cs="Times New Roman"/>
          <w:color w:val="000000"/>
        </w:rPr>
        <w:t xml:space="preserve"> </w:t>
      </w:r>
      <w:r w:rsidRPr="000F1433">
        <w:rPr>
          <w:rFonts w:ascii="Verdana Bold" w:eastAsia="ヒラギノ角ゴ Pro W3" w:hAnsi="Verdana Bold" w:cs="Times New Roman"/>
          <w:color w:val="000000"/>
        </w:rPr>
        <w:t>Professor Lucy Fairclough, Dr Georgina Hopkins, Dr Hannah Jackson</w:t>
      </w:r>
    </w:p>
    <w:p w14:paraId="68BE037F" w14:textId="77777777" w:rsidR="00B823B8" w:rsidRPr="00330A88" w:rsidRDefault="00B823B8" w:rsidP="00B823B8">
      <w:pPr>
        <w:spacing w:after="240" w:line="240" w:lineRule="auto"/>
        <w:jc w:val="both"/>
        <w:rPr>
          <w:rFonts w:ascii="Verdana" w:eastAsia="ヒラギノ角ゴ Pro W3" w:hAnsi="Verdana" w:cs="Times New Roman"/>
          <w:color w:val="000000"/>
        </w:rPr>
      </w:pPr>
      <w:r w:rsidRPr="005D4B35">
        <w:rPr>
          <w:rFonts w:ascii="Verdana" w:eastAsia="ヒラギノ角ゴ Pro W3" w:hAnsi="Verdana" w:cs="Times New Roman"/>
          <w:color w:val="000000"/>
          <w:u w:val="single"/>
        </w:rPr>
        <w:t>Running title</w:t>
      </w:r>
      <w:r w:rsidRPr="00330A88">
        <w:rPr>
          <w:rFonts w:ascii="Verdana" w:eastAsia="ヒラギノ角ゴ Pro W3" w:hAnsi="Verdana" w:cs="Times New Roman"/>
          <w:color w:val="000000"/>
        </w:rPr>
        <w:t xml:space="preserve">: </w:t>
      </w:r>
      <w:r w:rsidRPr="000F1433">
        <w:rPr>
          <w:rFonts w:ascii="Verdana" w:eastAsia="ヒラギノ角ゴ Pro W3" w:hAnsi="Verdana" w:cs="Times New Roman"/>
          <w:color w:val="000000"/>
        </w:rPr>
        <w:t>Transcriptomic Profiling of Extracellular Vesicles Released by Human Bronchial Epithelial Cells</w:t>
      </w:r>
    </w:p>
    <w:p w14:paraId="5C991F30" w14:textId="77777777" w:rsidR="00B823B8" w:rsidRPr="00330A88" w:rsidRDefault="00B823B8" w:rsidP="00B823B8">
      <w:pPr>
        <w:spacing w:before="120" w:after="240" w:line="240" w:lineRule="auto"/>
        <w:jc w:val="both"/>
        <w:rPr>
          <w:rFonts w:ascii="Verdana Bold" w:eastAsia="ヒラギノ角ゴ Pro W3" w:hAnsi="Verdana Bold" w:cs="Times New Roman"/>
          <w:color w:val="000000"/>
        </w:rPr>
      </w:pPr>
      <w:r w:rsidRPr="00330A88">
        <w:rPr>
          <w:rFonts w:ascii="Verdana" w:eastAsia="ヒラギノ角ゴ Pro W3" w:hAnsi="Verdana" w:cs="Times New Roman"/>
          <w:color w:val="000000"/>
        </w:rPr>
        <w:t>This dissertation is submitted in partial fulfilment of the project requirements for th</w:t>
      </w:r>
      <w:r>
        <w:rPr>
          <w:rFonts w:ascii="Verdana" w:eastAsia="ヒラギノ角ゴ Pro W3" w:hAnsi="Verdana" w:cs="Times New Roman"/>
          <w:color w:val="000000"/>
        </w:rPr>
        <w:t>e M.Sc.</w:t>
      </w:r>
      <w:r w:rsidRPr="00330A88">
        <w:rPr>
          <w:rFonts w:ascii="Verdana" w:eastAsia="ヒラギノ角ゴ Pro W3" w:hAnsi="Verdana" w:cs="Times New Roman"/>
          <w:color w:val="000000"/>
        </w:rPr>
        <w:t>:</w:t>
      </w:r>
    </w:p>
    <w:p w14:paraId="794E5E88" w14:textId="77777777" w:rsidR="00B823B8" w:rsidRPr="005D4B35" w:rsidRDefault="00B823B8" w:rsidP="00B823B8">
      <w:pPr>
        <w:spacing w:after="0" w:line="240" w:lineRule="auto"/>
        <w:ind w:left="709"/>
        <w:jc w:val="both"/>
        <w:rPr>
          <w:rFonts w:ascii="Verdana" w:eastAsia="ヒラギノ角ゴ Pro W3" w:hAnsi="Verdana" w:cs="Times New Roman"/>
          <w:color w:val="000000"/>
        </w:rPr>
      </w:pPr>
      <w:r>
        <w:rPr>
          <w:rFonts w:ascii="Verdana Bold" w:eastAsia="ヒラギノ角ゴ Pro W3" w:hAnsi="Verdana Bold" w:cs="Times New Roman"/>
          <w:color w:val="000000"/>
        </w:rPr>
        <w:t>Bioinformatics</w:t>
      </w:r>
    </w:p>
    <w:p w14:paraId="4E8D8F67" w14:textId="77777777" w:rsidR="00B823B8" w:rsidRPr="005D4B35" w:rsidRDefault="00B823B8" w:rsidP="00B823B8">
      <w:pPr>
        <w:spacing w:after="480" w:line="240" w:lineRule="auto"/>
        <w:ind w:left="709"/>
        <w:jc w:val="both"/>
        <w:rPr>
          <w:rFonts w:ascii="Verdana Bold" w:eastAsia="ヒラギノ角ゴ Pro W3" w:hAnsi="Verdana Bold" w:cs="Times New Roman"/>
          <w:color w:val="000000"/>
        </w:rPr>
      </w:pPr>
      <w:r w:rsidRPr="005D4B35">
        <w:rPr>
          <w:rFonts w:ascii="Verdana Bold" w:eastAsia="ヒラギノ角ゴ Pro W3" w:hAnsi="Verdana Bold" w:cs="Times New Roman"/>
          <w:color w:val="000000"/>
        </w:rPr>
        <w:t>July 20</w:t>
      </w:r>
      <w:r>
        <w:rPr>
          <w:rFonts w:ascii="Verdana Bold" w:eastAsia="ヒラギノ角ゴ Pro W3" w:hAnsi="Verdana Bold" w:cs="Times New Roman"/>
          <w:color w:val="000000"/>
        </w:rPr>
        <w:t>26</w:t>
      </w:r>
    </w:p>
    <w:p w14:paraId="27C32FF8" w14:textId="6AE18D74" w:rsidR="00B823B8" w:rsidRPr="00330A88" w:rsidRDefault="00B823B8" w:rsidP="00B823B8">
      <w:pPr>
        <w:tabs>
          <w:tab w:val="right" w:pos="2694"/>
          <w:tab w:val="left" w:pos="3686"/>
          <w:tab w:val="left" w:pos="6096"/>
        </w:tabs>
        <w:spacing w:after="0" w:line="240" w:lineRule="auto"/>
        <w:jc w:val="both"/>
        <w:rPr>
          <w:rFonts w:ascii="Verdana" w:eastAsia="ヒラギノ角ゴ Pro W3" w:hAnsi="Verdana" w:cs="Times New Roman"/>
          <w:color w:val="000000"/>
        </w:rPr>
      </w:pPr>
      <w:r w:rsidRPr="00330A88">
        <w:rPr>
          <w:rFonts w:ascii="Verdana" w:eastAsia="ヒラギノ角ゴ Pro W3" w:hAnsi="Verdana" w:cs="Times New Roman"/>
          <w:color w:val="000000"/>
        </w:rPr>
        <w:t>Abstract:</w:t>
      </w:r>
      <w:r w:rsidRPr="00330A88">
        <w:rPr>
          <w:rFonts w:ascii="Verdana" w:eastAsia="ヒラギノ角ゴ Pro W3" w:hAnsi="Verdana" w:cs="Times New Roman"/>
          <w:color w:val="000000"/>
        </w:rPr>
        <w:tab/>
      </w:r>
      <w:r w:rsidR="007C67B8">
        <w:rPr>
          <w:rFonts w:ascii="Verdana" w:eastAsia="ヒラギノ角ゴ Pro W3" w:hAnsi="Verdana" w:cs="Times New Roman"/>
          <w:color w:val="000000"/>
        </w:rPr>
        <w:t>226</w:t>
      </w:r>
      <w:r>
        <w:rPr>
          <w:rFonts w:ascii="Verdana" w:eastAsia="ヒラギノ角ゴ Pro W3" w:hAnsi="Verdana" w:cs="Times New Roman"/>
          <w:color w:val="000000"/>
        </w:rPr>
        <w:t xml:space="preserve"> words</w:t>
      </w:r>
      <w:r>
        <w:rPr>
          <w:rFonts w:ascii="Verdana" w:eastAsia="ヒラギノ角ゴ Pro W3" w:hAnsi="Verdana" w:cs="Times New Roman"/>
          <w:color w:val="000000"/>
        </w:rPr>
        <w:tab/>
      </w:r>
      <w:r w:rsidRPr="00330A88">
        <w:rPr>
          <w:rFonts w:ascii="Verdana" w:eastAsia="ヒラギノ角ゴ Pro W3" w:hAnsi="Verdana" w:cs="Times New Roman"/>
          <w:color w:val="000000"/>
        </w:rPr>
        <w:t>Number of tables:</w:t>
      </w:r>
      <w:r w:rsidRPr="00330A88">
        <w:rPr>
          <w:rFonts w:ascii="Verdana" w:eastAsia="ヒラギノ角ゴ Pro W3" w:hAnsi="Verdana" w:cs="Times New Roman"/>
          <w:color w:val="000000"/>
        </w:rPr>
        <w:tab/>
      </w:r>
      <w:r w:rsidR="007C67B8">
        <w:rPr>
          <w:rFonts w:ascii="Verdana" w:eastAsia="ヒラギノ角ゴ Pro W3" w:hAnsi="Verdana" w:cs="Times New Roman"/>
          <w:color w:val="000000"/>
        </w:rPr>
        <w:t>0</w:t>
      </w:r>
    </w:p>
    <w:p w14:paraId="061416DD" w14:textId="09F9EB91" w:rsidR="00B823B8" w:rsidRDefault="00B823B8" w:rsidP="00B823B8">
      <w:pPr>
        <w:tabs>
          <w:tab w:val="right" w:pos="2694"/>
          <w:tab w:val="left" w:pos="3686"/>
          <w:tab w:val="left" w:pos="6096"/>
        </w:tabs>
        <w:spacing w:after="720" w:line="240" w:lineRule="auto"/>
        <w:jc w:val="both"/>
        <w:rPr>
          <w:rFonts w:ascii="Verdana Bold" w:eastAsia="ヒラギノ角ゴ Pro W3" w:hAnsi="Verdana Bold" w:cs="Times New Roman"/>
          <w:color w:val="000000"/>
        </w:rPr>
      </w:pPr>
      <w:r w:rsidRPr="00330A88">
        <w:rPr>
          <w:rFonts w:ascii="Verdana" w:eastAsia="ヒラギノ角ゴ Pro W3" w:hAnsi="Verdana" w:cs="Times New Roman"/>
          <w:color w:val="000000"/>
        </w:rPr>
        <w:t>Main text:</w:t>
      </w:r>
      <w:r w:rsidRPr="00330A88">
        <w:rPr>
          <w:rFonts w:ascii="Verdana" w:eastAsia="ヒラギノ角ゴ Pro W3" w:hAnsi="Verdana" w:cs="Times New Roman"/>
          <w:color w:val="000000"/>
        </w:rPr>
        <w:tab/>
      </w:r>
      <w:r w:rsidR="007C67B8">
        <w:rPr>
          <w:rFonts w:ascii="Verdana" w:eastAsia="ヒラギノ角ゴ Pro W3" w:hAnsi="Verdana" w:cs="Times New Roman"/>
          <w:color w:val="000000"/>
        </w:rPr>
        <w:t>4794</w:t>
      </w:r>
      <w:r>
        <w:rPr>
          <w:rFonts w:ascii="Verdana" w:eastAsia="ヒラギノ角ゴ Pro W3" w:hAnsi="Verdana" w:cs="Times New Roman"/>
          <w:color w:val="000000"/>
        </w:rPr>
        <w:t xml:space="preserve"> words</w:t>
      </w:r>
      <w:r>
        <w:rPr>
          <w:rFonts w:ascii="Verdana" w:eastAsia="ヒラギノ角ゴ Pro W3" w:hAnsi="Verdana" w:cs="Times New Roman"/>
          <w:color w:val="000000"/>
        </w:rPr>
        <w:tab/>
      </w:r>
      <w:r w:rsidRPr="00330A88">
        <w:rPr>
          <w:rFonts w:ascii="Verdana" w:eastAsia="ヒラギノ角ゴ Pro W3" w:hAnsi="Verdana" w:cs="Times New Roman"/>
          <w:color w:val="000000"/>
        </w:rPr>
        <w:t>Number of figures:</w:t>
      </w:r>
      <w:r w:rsidRPr="00330A88">
        <w:rPr>
          <w:rFonts w:ascii="Verdana" w:eastAsia="ヒラギノ角ゴ Pro W3" w:hAnsi="Verdana" w:cs="Times New Roman"/>
          <w:color w:val="000000"/>
        </w:rPr>
        <w:tab/>
      </w:r>
      <w:r w:rsidR="007C67B8">
        <w:rPr>
          <w:rFonts w:ascii="Verdana" w:eastAsia="ヒラギノ角ゴ Pro W3" w:hAnsi="Verdana" w:cs="Times New Roman"/>
          <w:color w:val="000000"/>
        </w:rPr>
        <w:t>6</w:t>
      </w:r>
    </w:p>
    <w:p w14:paraId="384EBD24" w14:textId="02D9CD28" w:rsidR="004C1D56" w:rsidRPr="00330A88" w:rsidRDefault="004C1D56" w:rsidP="00B823B8">
      <w:pPr>
        <w:tabs>
          <w:tab w:val="right" w:pos="2694"/>
          <w:tab w:val="left" w:pos="3686"/>
          <w:tab w:val="left" w:pos="6096"/>
        </w:tabs>
        <w:spacing w:after="720" w:line="240" w:lineRule="auto"/>
        <w:jc w:val="both"/>
        <w:rPr>
          <w:rFonts w:ascii="Verdana" w:eastAsia="ヒラギノ角ゴ Pro W3" w:hAnsi="Verdana" w:cs="Times New Roman"/>
          <w:color w:val="000000"/>
        </w:rPr>
      </w:pPr>
      <w:r>
        <w:rPr>
          <w:rFonts w:ascii="Verdana Bold" w:eastAsia="ヒラギノ角ゴ Pro W3" w:hAnsi="Verdana Bold" w:cs="Times New Roman"/>
          <w:color w:val="000000"/>
        </w:rPr>
        <w:t xml:space="preserve">GitHub repository: </w:t>
      </w:r>
      <w:r w:rsidRPr="004C1D56">
        <w:rPr>
          <w:rFonts w:ascii="Arial" w:hAnsi="Arial" w:cs="Arial"/>
          <w:sz w:val="22"/>
          <w:szCs w:val="22"/>
        </w:rPr>
        <w:t>https://github.com/CJ770411/L4137_HBEC_EV_Transcriptomics</w:t>
      </w:r>
    </w:p>
    <w:p w14:paraId="4BBDC0A0" w14:textId="77777777" w:rsidR="00B823B8" w:rsidRDefault="00B823B8" w:rsidP="00B823B8">
      <w:pPr>
        <w:spacing w:after="240" w:line="240" w:lineRule="auto"/>
        <w:jc w:val="both"/>
        <w:rPr>
          <w:rFonts w:ascii="Verdana Bold" w:eastAsia="ヒラギノ角ゴ Pro W3" w:hAnsi="Verdana Bold" w:cs="Times New Roman"/>
          <w:color w:val="000000"/>
          <w:u w:val="single"/>
        </w:rPr>
      </w:pPr>
    </w:p>
    <w:p w14:paraId="499397A3" w14:textId="77777777" w:rsidR="00B823B8" w:rsidRDefault="00B823B8" w:rsidP="00B823B8">
      <w:pPr>
        <w:spacing w:after="240" w:line="240" w:lineRule="auto"/>
        <w:jc w:val="both"/>
        <w:rPr>
          <w:rFonts w:ascii="Verdana Bold" w:eastAsia="ヒラギノ角ゴ Pro W3" w:hAnsi="Verdana Bold" w:cs="Times New Roman"/>
          <w:color w:val="000000"/>
          <w:u w:val="single"/>
        </w:rPr>
        <w:sectPr w:rsidR="00B823B8" w:rsidSect="00B823B8">
          <w:footerReference w:type="even" r:id="rId8"/>
          <w:footerReference w:type="default" r:id="rId9"/>
          <w:pgSz w:w="11906" w:h="16838"/>
          <w:pgMar w:top="1440" w:right="1080" w:bottom="1440" w:left="1080" w:header="708" w:footer="708" w:gutter="0"/>
          <w:cols w:space="708"/>
          <w:docGrid w:linePitch="360"/>
        </w:sectPr>
      </w:pPr>
    </w:p>
    <w:p w14:paraId="3E2D1611" w14:textId="77777777" w:rsidR="00B823B8" w:rsidRPr="00FF7AEB" w:rsidRDefault="00B823B8" w:rsidP="00B823B8">
      <w:pPr>
        <w:spacing w:after="240" w:line="240" w:lineRule="auto"/>
        <w:jc w:val="both"/>
        <w:rPr>
          <w:rFonts w:ascii="Verdana Bold" w:eastAsia="ヒラギノ角ゴ Pro W3" w:hAnsi="Verdana Bold" w:cs="Times New Roman"/>
          <w:b/>
          <w:bCs/>
          <w:color w:val="000000"/>
        </w:rPr>
      </w:pPr>
      <w:r w:rsidRPr="00FF7AEB">
        <w:rPr>
          <w:rFonts w:ascii="Verdana Bold" w:eastAsia="ヒラギノ角ゴ Pro W3" w:hAnsi="Verdana Bold" w:cs="Times New Roman"/>
          <w:b/>
          <w:bCs/>
          <w:color w:val="000000"/>
        </w:rPr>
        <w:lastRenderedPageBreak/>
        <w:t>Student Declarations</w:t>
      </w:r>
    </w:p>
    <w:p w14:paraId="62B45973" w14:textId="77777777" w:rsidR="00B823B8" w:rsidRPr="0070789D" w:rsidRDefault="00B823B8" w:rsidP="00B823B8">
      <w:pPr>
        <w:pStyle w:val="ListParagraph"/>
        <w:numPr>
          <w:ilvl w:val="0"/>
          <w:numId w:val="4"/>
        </w:numPr>
        <w:spacing w:after="240" w:line="240" w:lineRule="auto"/>
        <w:ind w:left="709" w:hanging="357"/>
        <w:contextualSpacing w:val="0"/>
        <w:jc w:val="both"/>
        <w:rPr>
          <w:rFonts w:ascii="Verdana" w:eastAsia="ヒラギノ角ゴ Pro W3" w:hAnsi="Verdana" w:cs="Times New Roman"/>
          <w:i/>
          <w:color w:val="000000"/>
        </w:rPr>
      </w:pPr>
      <w:r w:rsidRPr="0070789D">
        <w:rPr>
          <w:rFonts w:ascii="Verdana" w:eastAsia="ヒラギノ角ゴ Pro W3" w:hAnsi="Verdana" w:cs="Times New Roman"/>
          <w:i/>
          <w:color w:val="000000"/>
        </w:rPr>
        <w:t>I declare that all the work presented in this dissertation is my own,</w:t>
      </w:r>
      <w:r>
        <w:rPr>
          <w:rFonts w:ascii="Verdana" w:eastAsia="ヒラギノ角ゴ Pro W3" w:hAnsi="Verdana" w:cs="Times New Roman"/>
          <w:i/>
          <w:color w:val="000000"/>
        </w:rPr>
        <w:t xml:space="preserve"> </w:t>
      </w:r>
      <w:r w:rsidRPr="0070789D">
        <w:rPr>
          <w:rFonts w:ascii="Verdana" w:eastAsia="ヒラギノ角ゴ Pro W3" w:hAnsi="Verdana" w:cs="Times New Roman"/>
          <w:i/>
          <w:color w:val="000000"/>
        </w:rPr>
        <w:t>except where otherwise stated.</w:t>
      </w:r>
    </w:p>
    <w:p w14:paraId="3BD8715C" w14:textId="77777777" w:rsidR="00B823B8" w:rsidRPr="0070789D" w:rsidRDefault="00B823B8" w:rsidP="00B823B8">
      <w:pPr>
        <w:pStyle w:val="ListParagraph"/>
        <w:numPr>
          <w:ilvl w:val="0"/>
          <w:numId w:val="4"/>
        </w:numPr>
        <w:spacing w:after="240" w:line="240" w:lineRule="auto"/>
        <w:ind w:left="709" w:hanging="357"/>
        <w:contextualSpacing w:val="0"/>
        <w:jc w:val="both"/>
        <w:rPr>
          <w:rFonts w:ascii="Verdana" w:eastAsia="ヒラギノ角ゴ Pro W3" w:hAnsi="Verdana" w:cs="Times New Roman"/>
          <w:i/>
          <w:color w:val="000000"/>
        </w:rPr>
      </w:pPr>
      <w:r w:rsidRPr="0070789D">
        <w:rPr>
          <w:rFonts w:ascii="Verdana" w:eastAsia="ヒラギノ角ゴ Pro W3" w:hAnsi="Verdana" w:cs="Times New Roman"/>
          <w:i/>
          <w:color w:val="000000"/>
        </w:rPr>
        <w:t xml:space="preserve">I confirm </w:t>
      </w:r>
      <w:r>
        <w:rPr>
          <w:rFonts w:ascii="Verdana" w:eastAsia="ヒラギノ角ゴ Pro W3" w:hAnsi="Verdana" w:cs="Times New Roman"/>
          <w:i/>
          <w:color w:val="000000"/>
        </w:rPr>
        <w:t xml:space="preserve">that </w:t>
      </w:r>
      <w:r w:rsidRPr="0070789D">
        <w:rPr>
          <w:rFonts w:ascii="Verdana" w:eastAsia="ヒラギノ角ゴ Pro W3" w:hAnsi="Verdana" w:cs="Times New Roman"/>
          <w:i/>
          <w:color w:val="000000"/>
        </w:rPr>
        <w:t xml:space="preserve">I have understood the University of Nottingham’s academic misconduct </w:t>
      </w:r>
      <w:r>
        <w:rPr>
          <w:rFonts w:ascii="Verdana" w:eastAsia="ヒラギノ角ゴ Pro W3" w:hAnsi="Verdana" w:cs="Times New Roman"/>
          <w:i/>
          <w:color w:val="000000"/>
        </w:rPr>
        <w:t xml:space="preserve">(AM) </w:t>
      </w:r>
      <w:r w:rsidRPr="0070789D">
        <w:rPr>
          <w:rFonts w:ascii="Verdana" w:eastAsia="ヒラギノ角ゴ Pro W3" w:hAnsi="Verdana" w:cs="Times New Roman"/>
          <w:i/>
          <w:color w:val="000000"/>
        </w:rPr>
        <w:t xml:space="preserve">regulations and further confirm I have not committed </w:t>
      </w:r>
      <w:r>
        <w:rPr>
          <w:rFonts w:ascii="Verdana" w:eastAsia="ヒラギノ角ゴ Pro W3" w:hAnsi="Verdana" w:cs="Times New Roman"/>
          <w:i/>
          <w:color w:val="000000"/>
        </w:rPr>
        <w:t>AM</w:t>
      </w:r>
      <w:r w:rsidRPr="0070789D">
        <w:rPr>
          <w:rFonts w:ascii="Verdana" w:eastAsia="ヒラギノ角ゴ Pro W3" w:hAnsi="Verdana" w:cs="Times New Roman"/>
          <w:i/>
          <w:color w:val="000000"/>
        </w:rPr>
        <w:t>, including plagiarism or collusion, in the preparation of this work.</w:t>
      </w:r>
      <w:r>
        <w:rPr>
          <w:rFonts w:ascii="Verdana" w:eastAsia="ヒラギノ角ゴ Pro W3" w:hAnsi="Verdana" w:cs="Times New Roman"/>
          <w:i/>
          <w:color w:val="000000"/>
        </w:rPr>
        <w:br/>
      </w:r>
      <w:r w:rsidRPr="00FE1E07">
        <w:rPr>
          <w:rFonts w:ascii="Verdana" w:eastAsia="ヒラギノ角ゴ Pro W3" w:hAnsi="Verdana" w:cs="Times New Roman"/>
          <w:i/>
          <w:color w:val="000000"/>
          <w:sz w:val="18"/>
          <w:szCs w:val="18"/>
        </w:rPr>
        <w:t xml:space="preserve">Link to AM regulations: </w:t>
      </w:r>
      <w:hyperlink r:id="rId10" w:history="1">
        <w:r w:rsidRPr="00AC67E6">
          <w:rPr>
            <w:rStyle w:val="Hyperlink"/>
            <w:rFonts w:ascii="Verdana" w:eastAsia="ヒラギノ角ゴ Pro W3" w:hAnsi="Verdana" w:cs="Times New Roman"/>
            <w:i/>
            <w:sz w:val="18"/>
            <w:szCs w:val="18"/>
          </w:rPr>
          <w:t>https://www.nottingham.ac.uk/studentservices/servicedetails/appeals-complaints-and-conduct/academic-misconduct.aspx</w:t>
        </w:r>
      </w:hyperlink>
      <w:r>
        <w:rPr>
          <w:rFonts w:ascii="Verdana" w:eastAsia="ヒラギノ角ゴ Pro W3" w:hAnsi="Verdana" w:cs="Times New Roman"/>
          <w:i/>
          <w:color w:val="000000"/>
          <w:sz w:val="18"/>
          <w:szCs w:val="18"/>
        </w:rPr>
        <w:t xml:space="preserve"> </w:t>
      </w:r>
    </w:p>
    <w:p w14:paraId="7981B56E" w14:textId="77777777" w:rsidR="00B823B8" w:rsidRPr="0070789D" w:rsidRDefault="00B823B8" w:rsidP="00B823B8">
      <w:pPr>
        <w:pStyle w:val="ListParagraph"/>
        <w:numPr>
          <w:ilvl w:val="0"/>
          <w:numId w:val="4"/>
        </w:numPr>
        <w:spacing w:after="240" w:line="240" w:lineRule="auto"/>
        <w:ind w:left="709" w:hanging="357"/>
        <w:contextualSpacing w:val="0"/>
        <w:jc w:val="both"/>
        <w:rPr>
          <w:rFonts w:ascii="Verdana" w:eastAsia="ヒラギノ角ゴ Pro W3" w:hAnsi="Verdana" w:cs="Times New Roman"/>
          <w:i/>
          <w:color w:val="000000"/>
        </w:rPr>
      </w:pPr>
      <w:r w:rsidRPr="0070789D">
        <w:rPr>
          <w:rFonts w:ascii="Verdana" w:eastAsia="ヒラギノ角ゴ Pro W3" w:hAnsi="Verdana" w:cs="Times New Roman"/>
          <w:i/>
          <w:color w:val="000000"/>
        </w:rPr>
        <w:t xml:space="preserve">I declare that generative Artificial Intelligence (AI) software in the preparation of this </w:t>
      </w:r>
      <w:r w:rsidRPr="000D10BE">
        <w:rPr>
          <w:rFonts w:ascii="Verdana" w:eastAsia="ヒラギノ角ゴ Pro W3" w:hAnsi="Verdana" w:cs="Times New Roman"/>
          <w:i/>
          <w:color w:val="000000"/>
        </w:rPr>
        <w:t xml:space="preserve">work was </w:t>
      </w:r>
      <w:r w:rsidRPr="000D10BE">
        <w:rPr>
          <w:rFonts w:ascii="Verdana" w:eastAsia="ヒラギノ角ゴ Pro W3" w:hAnsi="Verdana" w:cs="Times New Roman"/>
          <w:i/>
          <w:color w:val="000000"/>
          <w:u w:val="single"/>
        </w:rPr>
        <w:t>not used</w:t>
      </w:r>
      <w:r w:rsidRPr="0070789D">
        <w:rPr>
          <w:rFonts w:ascii="Verdana" w:eastAsia="ヒラギノ角ゴ Pro W3" w:hAnsi="Verdana" w:cs="Times New Roman"/>
          <w:i/>
          <w:color w:val="000000"/>
        </w:rPr>
        <w:t xml:space="preserve"> </w:t>
      </w:r>
      <w:r w:rsidRPr="000D10BE">
        <w:rPr>
          <w:rFonts w:ascii="Verdana" w:eastAsia="ヒラギノ角ゴ Pro W3" w:hAnsi="Verdana" w:cs="Times New Roman"/>
          <w:color w:val="FF0000"/>
        </w:rPr>
        <w:t>(delete as appropriate)</w:t>
      </w:r>
    </w:p>
    <w:p w14:paraId="001A2318" w14:textId="77777777" w:rsidR="00B823B8" w:rsidRPr="00BF381A" w:rsidRDefault="00B823B8" w:rsidP="00B823B8">
      <w:pPr>
        <w:tabs>
          <w:tab w:val="left" w:pos="1560"/>
        </w:tabs>
        <w:spacing w:after="480" w:line="240" w:lineRule="auto"/>
        <w:jc w:val="both"/>
        <w:rPr>
          <w:rFonts w:ascii="Verdana" w:eastAsia="ヒラギノ角ゴ Pro W3" w:hAnsi="Verdana" w:cs="Times New Roman"/>
          <w:color w:val="000000"/>
        </w:rPr>
      </w:pPr>
      <w:r>
        <w:rPr>
          <w:rFonts w:ascii="Verdana" w:eastAsia="ヒラギノ角ゴ Pro W3" w:hAnsi="Verdana" w:cs="Times New Roman"/>
          <w:color w:val="000000"/>
        </w:rPr>
        <w:t xml:space="preserve">If AI was declared to have been used in point 3, </w:t>
      </w:r>
      <w:r w:rsidRPr="00BF381A">
        <w:rPr>
          <w:rFonts w:ascii="Verdana" w:eastAsia="ヒラギノ角ゴ Pro W3" w:hAnsi="Verdana" w:cs="Times New Roman"/>
          <w:color w:val="000000"/>
        </w:rPr>
        <w:t>please provide</w:t>
      </w:r>
      <w:r>
        <w:rPr>
          <w:rFonts w:ascii="Verdana" w:eastAsia="ヒラギノ角ゴ Pro W3" w:hAnsi="Verdana" w:cs="Times New Roman"/>
          <w:color w:val="000000"/>
        </w:rPr>
        <w:t xml:space="preserve"> below</w:t>
      </w:r>
      <w:r w:rsidRPr="00BF381A">
        <w:rPr>
          <w:rFonts w:ascii="Verdana" w:eastAsia="ヒラギノ角ゴ Pro W3" w:hAnsi="Verdana" w:cs="Times New Roman"/>
          <w:color w:val="000000"/>
        </w:rPr>
        <w:t xml:space="preserve"> a short statement detailing how you used generative AI software in the drafting or production of this coursework. Provide the name</w:t>
      </w:r>
      <w:r>
        <w:rPr>
          <w:rFonts w:ascii="Verdana" w:eastAsia="ヒラギノ角ゴ Pro W3" w:hAnsi="Verdana" w:cs="Times New Roman"/>
          <w:color w:val="000000"/>
        </w:rPr>
        <w:t>(</w:t>
      </w:r>
      <w:r w:rsidRPr="00BF381A">
        <w:rPr>
          <w:rFonts w:ascii="Verdana" w:eastAsia="ヒラギノ角ゴ Pro W3" w:hAnsi="Verdana" w:cs="Times New Roman"/>
          <w:color w:val="000000"/>
        </w:rPr>
        <w:t>s</w:t>
      </w:r>
      <w:r>
        <w:rPr>
          <w:rFonts w:ascii="Verdana" w:eastAsia="ヒラギノ角ゴ Pro W3" w:hAnsi="Verdana" w:cs="Times New Roman"/>
          <w:color w:val="000000"/>
        </w:rPr>
        <w:t>)</w:t>
      </w:r>
      <w:r w:rsidRPr="00BF381A">
        <w:rPr>
          <w:rFonts w:ascii="Verdana" w:eastAsia="ヒラギノ角ゴ Pro W3" w:hAnsi="Verdana" w:cs="Times New Roman"/>
          <w:color w:val="000000"/>
        </w:rPr>
        <w:t xml:space="preserve"> of the specific AI program</w:t>
      </w:r>
      <w:r>
        <w:rPr>
          <w:rFonts w:ascii="Verdana" w:eastAsia="ヒラギノ角ゴ Pro W3" w:hAnsi="Verdana" w:cs="Times New Roman"/>
          <w:color w:val="000000"/>
        </w:rPr>
        <w:t>(</w:t>
      </w:r>
      <w:r w:rsidRPr="00BF381A">
        <w:rPr>
          <w:rFonts w:ascii="Verdana" w:eastAsia="ヒラギノ角ゴ Pro W3" w:hAnsi="Verdana" w:cs="Times New Roman"/>
          <w:color w:val="000000"/>
        </w:rPr>
        <w:t>s</w:t>
      </w:r>
      <w:r>
        <w:rPr>
          <w:rFonts w:ascii="Verdana" w:eastAsia="ヒラギノ角ゴ Pro W3" w:hAnsi="Verdana" w:cs="Times New Roman"/>
          <w:color w:val="000000"/>
        </w:rPr>
        <w:t>)</w:t>
      </w:r>
      <w:r w:rsidRPr="00BF381A">
        <w:rPr>
          <w:rFonts w:ascii="Verdana" w:eastAsia="ヒラギノ角ゴ Pro W3" w:hAnsi="Verdana" w:cs="Times New Roman"/>
          <w:color w:val="000000"/>
        </w:rPr>
        <w:t xml:space="preserve"> </w:t>
      </w:r>
      <w:proofErr w:type="gramStart"/>
      <w:r w:rsidRPr="00BF381A">
        <w:rPr>
          <w:rFonts w:ascii="Verdana" w:eastAsia="ヒラギノ角ゴ Pro W3" w:hAnsi="Verdana" w:cs="Times New Roman"/>
          <w:color w:val="000000"/>
        </w:rPr>
        <w:t>used.</w:t>
      </w:r>
      <w:r w:rsidRPr="00F963D0">
        <w:rPr>
          <w:rFonts w:ascii="Verdana" w:eastAsia="ヒラギノ角ゴ Pro W3" w:hAnsi="Verdana" w:cs="Times New Roman"/>
          <w:color w:val="FF0000"/>
        </w:rPr>
        <w:t>*</w:t>
      </w:r>
      <w:proofErr w:type="gramEnd"/>
    </w:p>
    <w:p w14:paraId="05C0F304" w14:textId="77777777" w:rsidR="00B823B8" w:rsidRPr="00BF381A" w:rsidRDefault="00B823B8" w:rsidP="00B823B8">
      <w:pPr>
        <w:tabs>
          <w:tab w:val="left" w:pos="1560"/>
        </w:tabs>
        <w:spacing w:after="120" w:line="240" w:lineRule="auto"/>
        <w:jc w:val="both"/>
        <w:rPr>
          <w:rFonts w:ascii="Verdana" w:eastAsia="ヒラギノ角ゴ Pro W3" w:hAnsi="Verdana" w:cs="Times New Roman"/>
          <w:color w:val="000000"/>
        </w:rPr>
      </w:pPr>
      <w:r>
        <w:rPr>
          <w:rFonts w:ascii="Verdana" w:eastAsia="ヒラギノ角ゴ Pro W3" w:hAnsi="Verdana" w:cs="Times New Roman"/>
          <w:color w:val="000000"/>
        </w:rPr>
        <w:t>...........</w:t>
      </w:r>
    </w:p>
    <w:p w14:paraId="563782C5" w14:textId="77777777" w:rsidR="00B823B8" w:rsidRPr="00BF381A" w:rsidRDefault="00B823B8" w:rsidP="00B823B8">
      <w:pPr>
        <w:tabs>
          <w:tab w:val="left" w:pos="1560"/>
        </w:tabs>
        <w:spacing w:after="120" w:line="240" w:lineRule="auto"/>
        <w:jc w:val="both"/>
        <w:rPr>
          <w:rFonts w:ascii="Verdana" w:eastAsia="ヒラギノ角ゴ Pro W3" w:hAnsi="Verdana" w:cs="Times New Roman"/>
          <w:color w:val="000000"/>
        </w:rPr>
      </w:pPr>
    </w:p>
    <w:p w14:paraId="2AA0AF1F" w14:textId="77777777" w:rsidR="00B823B8" w:rsidRPr="00F963D0" w:rsidRDefault="00B823B8" w:rsidP="00B823B8">
      <w:pPr>
        <w:tabs>
          <w:tab w:val="left" w:pos="1560"/>
        </w:tabs>
        <w:spacing w:after="120" w:line="240" w:lineRule="auto"/>
        <w:jc w:val="both"/>
        <w:rPr>
          <w:rFonts w:ascii="Verdana" w:eastAsia="ヒラギノ角ゴ Pro W3" w:hAnsi="Verdana" w:cs="Times New Roman"/>
          <w:color w:val="FF0000"/>
        </w:rPr>
      </w:pPr>
      <w:r w:rsidRPr="00F963D0">
        <w:rPr>
          <w:rFonts w:ascii="Verdana" w:eastAsia="ヒラギノ角ゴ Pro W3" w:hAnsi="Verdana" w:cs="Times New Roman"/>
          <w:color w:val="FF0000"/>
        </w:rPr>
        <w:t xml:space="preserve">*Examples of acceptable AI use statements: </w:t>
      </w:r>
    </w:p>
    <w:p w14:paraId="716B0D01" w14:textId="77777777" w:rsidR="00B823B8" w:rsidRPr="00F963D0" w:rsidRDefault="00B823B8" w:rsidP="00B823B8">
      <w:pPr>
        <w:tabs>
          <w:tab w:val="left" w:pos="567"/>
        </w:tabs>
        <w:spacing w:after="120" w:line="240" w:lineRule="auto"/>
        <w:jc w:val="both"/>
        <w:rPr>
          <w:rFonts w:ascii="Verdana" w:eastAsia="ヒラギノ角ゴ Pro W3" w:hAnsi="Verdana" w:cs="Times New Roman"/>
          <w:color w:val="FF0000"/>
        </w:rPr>
      </w:pPr>
      <w:r w:rsidRPr="00F963D0">
        <w:rPr>
          <w:rFonts w:ascii="Verdana" w:eastAsia="ヒラギノ角ゴ Pro W3" w:hAnsi="Verdana" w:cs="Times New Roman"/>
          <w:color w:val="FF0000"/>
        </w:rPr>
        <w:t>– “I used [name of AI] to generate a list of initial ideas to include in this essay. All other work was my own.”</w:t>
      </w:r>
    </w:p>
    <w:p w14:paraId="32DEC9EA" w14:textId="77777777" w:rsidR="00B823B8" w:rsidRPr="00F963D0" w:rsidRDefault="00B823B8" w:rsidP="00B823B8">
      <w:pPr>
        <w:tabs>
          <w:tab w:val="left" w:pos="567"/>
        </w:tabs>
        <w:spacing w:after="120" w:line="240" w:lineRule="auto"/>
        <w:jc w:val="both"/>
        <w:rPr>
          <w:rFonts w:ascii="Verdana" w:eastAsia="ヒラギノ角ゴ Pro W3" w:hAnsi="Verdana" w:cs="Times New Roman"/>
          <w:color w:val="FF0000"/>
        </w:rPr>
      </w:pPr>
      <w:r w:rsidRPr="00F963D0">
        <w:rPr>
          <w:rFonts w:ascii="Verdana" w:eastAsia="ヒラギノ角ゴ Pro W3" w:hAnsi="Verdana" w:cs="Times New Roman"/>
          <w:color w:val="FF0000"/>
        </w:rPr>
        <w:t>– “I used [name of AI] to summarise some research articles for me. I then read the all the articles I referenced in this work for myself.”</w:t>
      </w:r>
    </w:p>
    <w:p w14:paraId="27F4D4B9" w14:textId="77777777" w:rsidR="00B823B8" w:rsidRPr="00F963D0" w:rsidRDefault="00B823B8" w:rsidP="00B823B8">
      <w:pPr>
        <w:tabs>
          <w:tab w:val="left" w:pos="567"/>
        </w:tabs>
        <w:spacing w:after="120" w:line="240" w:lineRule="auto"/>
        <w:jc w:val="both"/>
        <w:rPr>
          <w:rFonts w:ascii="Verdana" w:eastAsia="ヒラギノ角ゴ Pro W3" w:hAnsi="Verdana" w:cs="Times New Roman"/>
          <w:color w:val="FF0000"/>
        </w:rPr>
      </w:pPr>
      <w:r w:rsidRPr="00F963D0">
        <w:rPr>
          <w:rFonts w:ascii="Verdana" w:eastAsia="ヒラギノ角ゴ Pro W3" w:hAnsi="Verdana" w:cs="Times New Roman"/>
          <w:color w:val="FF0000"/>
        </w:rPr>
        <w:t xml:space="preserve">– “I used [name of AI] to rephrase/translate the </w:t>
      </w:r>
      <w:r>
        <w:rPr>
          <w:rFonts w:ascii="Verdana" w:eastAsia="ヒラギノ角ゴ Pro W3" w:hAnsi="Verdana" w:cs="Times New Roman"/>
          <w:color w:val="FF0000"/>
        </w:rPr>
        <w:t>project initial aims/hypotheses</w:t>
      </w:r>
      <w:r w:rsidRPr="00F963D0">
        <w:rPr>
          <w:rFonts w:ascii="Verdana" w:eastAsia="ヒラギノ角ゴ Pro W3" w:hAnsi="Verdana" w:cs="Times New Roman"/>
          <w:color w:val="FF0000"/>
        </w:rPr>
        <w:t xml:space="preserve"> so that I was sure I understood the task. All other work was my own.”</w:t>
      </w:r>
    </w:p>
    <w:p w14:paraId="76919851" w14:textId="77777777" w:rsidR="00B823B8" w:rsidRDefault="00B823B8" w:rsidP="00B823B8">
      <w:pPr>
        <w:tabs>
          <w:tab w:val="left" w:pos="1560"/>
        </w:tabs>
        <w:spacing w:after="480" w:line="240" w:lineRule="auto"/>
        <w:jc w:val="both"/>
        <w:rPr>
          <w:rFonts w:ascii="Verdana" w:eastAsia="ヒラギノ角ゴ Pro W3" w:hAnsi="Verdana" w:cs="Times New Roman"/>
          <w:color w:val="000000"/>
        </w:rPr>
      </w:pPr>
    </w:p>
    <w:p w14:paraId="4A8D56D5" w14:textId="77777777" w:rsidR="00B823B8" w:rsidRPr="00330A88" w:rsidRDefault="00B823B8" w:rsidP="00B823B8">
      <w:pPr>
        <w:tabs>
          <w:tab w:val="left" w:pos="1560"/>
        </w:tabs>
        <w:spacing w:after="240" w:line="240" w:lineRule="auto"/>
        <w:jc w:val="both"/>
        <w:rPr>
          <w:rFonts w:ascii="Verdana" w:eastAsia="ヒラギノ角ゴ Pro W3" w:hAnsi="Verdana" w:cs="Times New Roman"/>
          <w:color w:val="000000"/>
        </w:rPr>
      </w:pPr>
      <w:r w:rsidRPr="00330A88">
        <w:rPr>
          <w:rFonts w:ascii="Verdana" w:eastAsia="ヒラギノ角ゴ Pro W3" w:hAnsi="Verdana" w:cs="Times New Roman"/>
          <w:color w:val="000000"/>
        </w:rPr>
        <w:t>Signature:</w:t>
      </w:r>
      <w:r w:rsidRPr="00330A88">
        <w:rPr>
          <w:rFonts w:ascii="Verdana" w:eastAsia="ヒラギノ角ゴ Pro W3" w:hAnsi="Verdana" w:cs="Times New Roman"/>
          <w:color w:val="000000"/>
        </w:rPr>
        <w:tab/>
      </w:r>
      <w:proofErr w:type="spellStart"/>
      <w:proofErr w:type="gramStart"/>
      <w:r>
        <w:rPr>
          <w:rFonts w:ascii="Verdana" w:eastAsia="ヒラギノ角ゴ Pro W3" w:hAnsi="Verdana" w:cs="Times New Roman"/>
          <w:color w:val="000000"/>
        </w:rPr>
        <w:t>C.Janschke</w:t>
      </w:r>
      <w:proofErr w:type="spellEnd"/>
      <w:proofErr w:type="gramEnd"/>
      <w:r w:rsidRPr="00330A88">
        <w:rPr>
          <w:rFonts w:ascii="Verdana" w:eastAsia="ヒラギノ角ゴ Pro W3" w:hAnsi="Verdana" w:cs="Times New Roman"/>
          <w:color w:val="000000"/>
        </w:rPr>
        <w:t>…………………………………………………………………….</w:t>
      </w:r>
    </w:p>
    <w:p w14:paraId="2B490983" w14:textId="77777777" w:rsidR="00B823B8" w:rsidRDefault="00B823B8" w:rsidP="00B823B8">
      <w:pPr>
        <w:tabs>
          <w:tab w:val="left" w:pos="1560"/>
        </w:tabs>
        <w:rPr>
          <w:rFonts w:ascii="Verdana" w:eastAsia="ヒラギノ角ゴ Pro W3" w:hAnsi="Verdana" w:cs="Times New Roman"/>
          <w:color w:val="000000"/>
        </w:rPr>
      </w:pPr>
      <w:r>
        <w:rPr>
          <w:rFonts w:ascii="Verdana" w:eastAsia="ヒラギノ角ゴ Pro W3" w:hAnsi="Verdana" w:cs="Times New Roman"/>
          <w:color w:val="000000"/>
        </w:rPr>
        <w:t>Date:</w:t>
      </w:r>
      <w:r>
        <w:rPr>
          <w:rFonts w:ascii="Verdana" w:eastAsia="ヒラギノ角ゴ Pro W3" w:hAnsi="Verdana" w:cs="Times New Roman"/>
          <w:color w:val="000000"/>
        </w:rPr>
        <w:tab/>
        <w:t>30.07.2026</w:t>
      </w:r>
      <w:r w:rsidRPr="00330A88">
        <w:rPr>
          <w:rFonts w:ascii="Verdana" w:eastAsia="ヒラギノ角ゴ Pro W3" w:hAnsi="Verdana" w:cs="Times New Roman"/>
          <w:color w:val="000000"/>
        </w:rPr>
        <w:t>……………………</w:t>
      </w:r>
    </w:p>
    <w:p w14:paraId="2BFEC227" w14:textId="77777777" w:rsidR="00B823B8" w:rsidRDefault="00B823B8" w:rsidP="00B823B8">
      <w:pPr>
        <w:tabs>
          <w:tab w:val="left" w:pos="1560"/>
        </w:tabs>
      </w:pPr>
    </w:p>
    <w:p w14:paraId="527D782E" w14:textId="77777777" w:rsidR="00F730A4" w:rsidRDefault="00F730A4" w:rsidP="006F5D9C">
      <w:pPr>
        <w:spacing w:line="360" w:lineRule="auto"/>
        <w:rPr>
          <w:rFonts w:ascii="Arial" w:hAnsi="Arial" w:cs="Arial"/>
          <w:sz w:val="22"/>
          <w:szCs w:val="22"/>
        </w:rPr>
      </w:pPr>
    </w:p>
    <w:p w14:paraId="5B29AA90" w14:textId="77777777" w:rsidR="00B823B8" w:rsidRDefault="00B823B8" w:rsidP="006F5D9C">
      <w:pPr>
        <w:spacing w:line="360" w:lineRule="auto"/>
        <w:rPr>
          <w:rFonts w:ascii="Arial" w:hAnsi="Arial" w:cs="Arial"/>
          <w:sz w:val="22"/>
          <w:szCs w:val="22"/>
        </w:rPr>
      </w:pPr>
    </w:p>
    <w:p w14:paraId="40D04671" w14:textId="77777777" w:rsidR="00B823B8" w:rsidRDefault="00B823B8" w:rsidP="006F5D9C">
      <w:pPr>
        <w:spacing w:line="360" w:lineRule="auto"/>
        <w:rPr>
          <w:rFonts w:ascii="Arial" w:hAnsi="Arial" w:cs="Arial"/>
          <w:sz w:val="22"/>
          <w:szCs w:val="22"/>
        </w:rPr>
      </w:pPr>
    </w:p>
    <w:p w14:paraId="412DA2C7" w14:textId="77777777" w:rsidR="00B823B8" w:rsidRDefault="00B823B8" w:rsidP="006F5D9C">
      <w:pPr>
        <w:spacing w:line="360" w:lineRule="auto"/>
        <w:rPr>
          <w:rFonts w:ascii="Arial" w:hAnsi="Arial" w:cs="Arial"/>
          <w:sz w:val="22"/>
          <w:szCs w:val="22"/>
        </w:rPr>
      </w:pPr>
    </w:p>
    <w:p w14:paraId="09BF6114" w14:textId="77777777" w:rsidR="00B823B8" w:rsidRPr="006F5D9C" w:rsidRDefault="00B823B8" w:rsidP="006F5D9C">
      <w:pPr>
        <w:spacing w:line="360" w:lineRule="auto"/>
        <w:rPr>
          <w:rFonts w:ascii="Arial" w:hAnsi="Arial" w:cs="Arial"/>
          <w:sz w:val="22"/>
          <w:szCs w:val="22"/>
        </w:rPr>
      </w:pPr>
    </w:p>
    <w:p w14:paraId="4312B987" w14:textId="62FB8E92" w:rsidR="008D30D8" w:rsidRPr="006F5D9C" w:rsidRDefault="00F730A4" w:rsidP="006F5D9C">
      <w:pPr>
        <w:spacing w:line="360" w:lineRule="auto"/>
        <w:rPr>
          <w:rFonts w:ascii="Arial" w:hAnsi="Arial" w:cs="Arial"/>
          <w:b/>
          <w:bCs/>
          <w:sz w:val="22"/>
          <w:szCs w:val="22"/>
        </w:rPr>
      </w:pPr>
      <w:r w:rsidRPr="006C1F13">
        <w:rPr>
          <w:rFonts w:ascii="Arial" w:hAnsi="Arial" w:cs="Arial"/>
          <w:b/>
          <w:bCs/>
        </w:rPr>
        <w:lastRenderedPageBreak/>
        <w:t>Abstract</w:t>
      </w:r>
    </w:p>
    <w:p w14:paraId="14714A54" w14:textId="77777777" w:rsidR="00F730A4" w:rsidRPr="006F5D9C" w:rsidRDefault="00F730A4" w:rsidP="006F5D9C">
      <w:pPr>
        <w:spacing w:line="360" w:lineRule="auto"/>
        <w:rPr>
          <w:rFonts w:ascii="Arial" w:hAnsi="Arial" w:cs="Arial"/>
          <w:sz w:val="22"/>
          <w:szCs w:val="22"/>
        </w:rPr>
      </w:pPr>
      <w:r w:rsidRPr="006F5D9C">
        <w:rPr>
          <w:rFonts w:ascii="Arial" w:hAnsi="Arial" w:cs="Arial"/>
          <w:sz w:val="22"/>
          <w:szCs w:val="22"/>
        </w:rPr>
        <w:t xml:space="preserve">Respiratory diseases constitute a significant health burden worldwide. As well as genetic factors, environmental factors, such as exposure to inhaled allergens, can drive the prevalence of these diseases. Allergen exposure can alter the miRNA cargo of extracellular </w:t>
      </w:r>
      <w:proofErr w:type="spellStart"/>
      <w:r w:rsidRPr="006F5D9C">
        <w:rPr>
          <w:rFonts w:ascii="Arial" w:hAnsi="Arial" w:cs="Arial"/>
          <w:sz w:val="22"/>
          <w:szCs w:val="22"/>
        </w:rPr>
        <w:t>vesicles</w:t>
      </w:r>
      <w:proofErr w:type="spellEnd"/>
      <w:r w:rsidRPr="006F5D9C">
        <w:rPr>
          <w:rFonts w:ascii="Arial" w:hAnsi="Arial" w:cs="Arial"/>
          <w:sz w:val="22"/>
          <w:szCs w:val="22"/>
        </w:rPr>
        <w:t xml:space="preserve"> (EVs) derived from airway epithelial </w:t>
      </w:r>
      <w:r w:rsidRPr="00082FEE">
        <w:rPr>
          <w:rFonts w:ascii="Arial" w:hAnsi="Arial" w:cs="Arial"/>
          <w:sz w:val="22"/>
          <w:szCs w:val="22"/>
          <w:vertAlign w:val="superscript"/>
        </w:rPr>
        <w:t>cells</w:t>
      </w:r>
      <w:r w:rsidRPr="006F5D9C">
        <w:rPr>
          <w:rFonts w:ascii="Arial" w:hAnsi="Arial" w:cs="Arial"/>
          <w:sz w:val="22"/>
          <w:szCs w:val="22"/>
        </w:rPr>
        <w:t xml:space="preserve">. Through the post-transcriptional repression of target genes, altered miRNA cargo has the potential to disrupt epithelial barrier homeostasis, triggering inflammation and potentially driving allergic sensitisation. Allergen-exposed EV miRNA cargo and affected downstream pathways can be hypothesised using transcriptomic analysis, though this is often outsourced and performed through commercial platforms, which can be costly. Here we show that biologically plausible transcriptomic analysis can be performed using exclusively open-access software. We found distinct EV miRNA signatures in primary human bronchial epithelial cells exposed to high doses (24 </w:t>
      </w:r>
      <w:proofErr w:type="spellStart"/>
      <w:r w:rsidRPr="006F5D9C">
        <w:rPr>
          <w:rFonts w:ascii="Arial" w:hAnsi="Arial" w:cs="Arial"/>
          <w:sz w:val="22"/>
          <w:szCs w:val="22"/>
        </w:rPr>
        <w:t>μg</w:t>
      </w:r>
      <w:proofErr w:type="spellEnd"/>
      <w:r w:rsidRPr="006F5D9C">
        <w:rPr>
          <w:rFonts w:ascii="Arial" w:hAnsi="Arial" w:cs="Arial"/>
          <w:sz w:val="22"/>
          <w:szCs w:val="22"/>
        </w:rPr>
        <w:t>/cm</w:t>
      </w:r>
      <w:r w:rsidRPr="006F5D9C">
        <w:rPr>
          <w:rFonts w:ascii="Arial" w:hAnsi="Arial" w:cs="Arial"/>
          <w:sz w:val="22"/>
          <w:szCs w:val="22"/>
          <w:vertAlign w:val="superscript"/>
        </w:rPr>
        <w:t>2</w:t>
      </w:r>
      <w:r w:rsidRPr="006F5D9C">
        <w:rPr>
          <w:rFonts w:ascii="Arial" w:hAnsi="Arial" w:cs="Arial"/>
          <w:sz w:val="22"/>
          <w:szCs w:val="22"/>
        </w:rPr>
        <w:t>) of nebulised protease allergen, which may influence pathways associated with immune and inflammatory signalling as well as epithelial barrier regulation. Whereas transcriptomic analysis for Calu-3 cells was precluded due to insufficient EV material. These results demonstrate that the transcriptomic workflow can detect credible biological responses associated with allergen exposure when provided appropriate raw experimental data. This study provides experimental design recommendations for future allergen studies to optimise transcriptomic analysis. Furthermore, we provide a rationale for performing differential expression analysis of EV-derived miRNA cargo in-house whereas robust pathway enrichment analysis may be enhanced by using commercial platforms.</w:t>
      </w:r>
    </w:p>
    <w:p w14:paraId="005052F3" w14:textId="77777777" w:rsidR="00F730A4" w:rsidRDefault="00F730A4" w:rsidP="006F5D9C">
      <w:pPr>
        <w:spacing w:line="360" w:lineRule="auto"/>
        <w:rPr>
          <w:rFonts w:ascii="Arial" w:hAnsi="Arial" w:cs="Arial"/>
          <w:sz w:val="22"/>
          <w:szCs w:val="22"/>
        </w:rPr>
      </w:pPr>
    </w:p>
    <w:p w14:paraId="18147C13" w14:textId="77777777" w:rsidR="00B823B8" w:rsidRDefault="00B823B8" w:rsidP="006F5D9C">
      <w:pPr>
        <w:spacing w:line="360" w:lineRule="auto"/>
        <w:rPr>
          <w:rFonts w:ascii="Arial" w:hAnsi="Arial" w:cs="Arial"/>
          <w:sz w:val="22"/>
          <w:szCs w:val="22"/>
        </w:rPr>
      </w:pPr>
    </w:p>
    <w:p w14:paraId="4A80CF08" w14:textId="77777777" w:rsidR="00B823B8" w:rsidRDefault="00B823B8" w:rsidP="006F5D9C">
      <w:pPr>
        <w:spacing w:line="360" w:lineRule="auto"/>
        <w:rPr>
          <w:rFonts w:ascii="Arial" w:hAnsi="Arial" w:cs="Arial"/>
          <w:sz w:val="22"/>
          <w:szCs w:val="22"/>
        </w:rPr>
      </w:pPr>
    </w:p>
    <w:p w14:paraId="0CA86395" w14:textId="77777777" w:rsidR="00B823B8" w:rsidRDefault="00B823B8" w:rsidP="006F5D9C">
      <w:pPr>
        <w:spacing w:line="360" w:lineRule="auto"/>
        <w:rPr>
          <w:rFonts w:ascii="Arial" w:hAnsi="Arial" w:cs="Arial"/>
          <w:sz w:val="22"/>
          <w:szCs w:val="22"/>
        </w:rPr>
      </w:pPr>
    </w:p>
    <w:p w14:paraId="47821A00" w14:textId="77777777" w:rsidR="00B823B8" w:rsidRDefault="00B823B8" w:rsidP="006F5D9C">
      <w:pPr>
        <w:spacing w:line="360" w:lineRule="auto"/>
        <w:rPr>
          <w:rFonts w:ascii="Arial" w:hAnsi="Arial" w:cs="Arial"/>
          <w:sz w:val="22"/>
          <w:szCs w:val="22"/>
        </w:rPr>
      </w:pPr>
    </w:p>
    <w:p w14:paraId="6D60E00E" w14:textId="77777777" w:rsidR="00B823B8" w:rsidRDefault="00B823B8" w:rsidP="006F5D9C">
      <w:pPr>
        <w:spacing w:line="360" w:lineRule="auto"/>
        <w:rPr>
          <w:rFonts w:ascii="Arial" w:hAnsi="Arial" w:cs="Arial"/>
          <w:sz w:val="22"/>
          <w:szCs w:val="22"/>
        </w:rPr>
      </w:pPr>
    </w:p>
    <w:p w14:paraId="2FD74A61" w14:textId="77777777" w:rsidR="00B823B8" w:rsidRDefault="00B823B8" w:rsidP="006F5D9C">
      <w:pPr>
        <w:spacing w:line="360" w:lineRule="auto"/>
        <w:rPr>
          <w:rFonts w:ascii="Arial" w:hAnsi="Arial" w:cs="Arial"/>
          <w:sz w:val="22"/>
          <w:szCs w:val="22"/>
        </w:rPr>
      </w:pPr>
    </w:p>
    <w:p w14:paraId="38916DC8" w14:textId="77777777" w:rsidR="00B823B8" w:rsidRDefault="00B823B8" w:rsidP="006F5D9C">
      <w:pPr>
        <w:spacing w:line="360" w:lineRule="auto"/>
        <w:rPr>
          <w:rFonts w:ascii="Arial" w:hAnsi="Arial" w:cs="Arial"/>
          <w:sz w:val="22"/>
          <w:szCs w:val="22"/>
        </w:rPr>
      </w:pPr>
    </w:p>
    <w:p w14:paraId="6C17E01F" w14:textId="77777777" w:rsidR="00B823B8" w:rsidRDefault="00B823B8" w:rsidP="006F5D9C">
      <w:pPr>
        <w:spacing w:line="360" w:lineRule="auto"/>
        <w:rPr>
          <w:rFonts w:ascii="Arial" w:hAnsi="Arial" w:cs="Arial"/>
          <w:sz w:val="22"/>
          <w:szCs w:val="22"/>
        </w:rPr>
      </w:pPr>
    </w:p>
    <w:p w14:paraId="2C194F84" w14:textId="77777777" w:rsidR="00B823B8" w:rsidRDefault="00B823B8" w:rsidP="006F5D9C">
      <w:pPr>
        <w:spacing w:line="360" w:lineRule="auto"/>
        <w:rPr>
          <w:rFonts w:ascii="Arial" w:hAnsi="Arial" w:cs="Arial"/>
          <w:sz w:val="22"/>
          <w:szCs w:val="22"/>
        </w:rPr>
      </w:pPr>
    </w:p>
    <w:p w14:paraId="0C8593C9" w14:textId="77777777" w:rsidR="00B823B8" w:rsidRDefault="00B823B8" w:rsidP="006F5D9C">
      <w:pPr>
        <w:spacing w:line="360" w:lineRule="auto"/>
        <w:rPr>
          <w:rFonts w:ascii="Arial" w:hAnsi="Arial" w:cs="Arial"/>
          <w:sz w:val="22"/>
          <w:szCs w:val="22"/>
        </w:rPr>
      </w:pPr>
    </w:p>
    <w:p w14:paraId="75A5FEC5" w14:textId="77777777" w:rsidR="00B823B8" w:rsidRPr="006F5D9C" w:rsidRDefault="00B823B8" w:rsidP="006F5D9C">
      <w:pPr>
        <w:spacing w:line="360" w:lineRule="auto"/>
        <w:rPr>
          <w:rFonts w:ascii="Arial" w:hAnsi="Arial" w:cs="Arial"/>
          <w:sz w:val="22"/>
          <w:szCs w:val="22"/>
        </w:rPr>
      </w:pPr>
    </w:p>
    <w:p w14:paraId="2C8D0A80" w14:textId="71BE7B63" w:rsidR="00F730A4" w:rsidRPr="006F5D9C" w:rsidRDefault="00F730A4" w:rsidP="006F5D9C">
      <w:pPr>
        <w:spacing w:line="360" w:lineRule="auto"/>
        <w:rPr>
          <w:rFonts w:ascii="Arial" w:hAnsi="Arial" w:cs="Arial"/>
          <w:sz w:val="22"/>
          <w:szCs w:val="22"/>
        </w:rPr>
      </w:pPr>
      <w:r w:rsidRPr="006C1F13">
        <w:rPr>
          <w:rFonts w:ascii="Arial" w:hAnsi="Arial" w:cs="Arial"/>
          <w:b/>
          <w:bCs/>
        </w:rPr>
        <w:lastRenderedPageBreak/>
        <w:t>Introduction</w:t>
      </w:r>
    </w:p>
    <w:p w14:paraId="2D7262B0" w14:textId="01103717" w:rsidR="00F730A4" w:rsidRPr="006F5D9C" w:rsidRDefault="00F730A4" w:rsidP="006F5D9C">
      <w:pPr>
        <w:spacing w:line="360" w:lineRule="auto"/>
        <w:rPr>
          <w:rFonts w:ascii="Arial" w:hAnsi="Arial" w:cs="Arial"/>
          <w:sz w:val="22"/>
          <w:szCs w:val="22"/>
        </w:rPr>
      </w:pPr>
      <w:r w:rsidRPr="006F5D9C">
        <w:rPr>
          <w:rFonts w:ascii="Arial" w:hAnsi="Arial" w:cs="Arial"/>
          <w:sz w:val="22"/>
          <w:szCs w:val="22"/>
        </w:rPr>
        <w:t>Allergy-induced respiratory diseases constitute a significant health burden, with an estimated 260 million cases of asthma existing worldwide in 2021 (</w:t>
      </w:r>
      <w:proofErr w:type="spellStart"/>
      <w:r w:rsidRPr="006F5D9C">
        <w:rPr>
          <w:rFonts w:ascii="Arial" w:hAnsi="Arial" w:cs="Arial"/>
          <w:sz w:val="22"/>
          <w:szCs w:val="22"/>
        </w:rPr>
        <w:t>Muo</w:t>
      </w:r>
      <w:proofErr w:type="spellEnd"/>
      <w:r w:rsidRPr="006F5D9C">
        <w:rPr>
          <w:rFonts w:ascii="Arial" w:hAnsi="Arial" w:cs="Arial"/>
          <w:sz w:val="22"/>
          <w:szCs w:val="22"/>
        </w:rPr>
        <w:t xml:space="preserve"> et al., 2025). Environmental and genetic factors during development drive the prevalence of chronic airway inflammation diseases such as asthma (Kaur and Chupp, 2019). The airway epithelial barrier constitutes the primary line of defence against inhaled allergens in healthy individuals and is crucial for maintaining homeostasis (</w:t>
      </w:r>
      <w:proofErr w:type="spellStart"/>
      <w:r w:rsidRPr="006F5D9C">
        <w:rPr>
          <w:rFonts w:ascii="Arial" w:hAnsi="Arial" w:cs="Arial"/>
          <w:sz w:val="22"/>
          <w:szCs w:val="22"/>
        </w:rPr>
        <w:t>Laulajainen</w:t>
      </w:r>
      <w:proofErr w:type="spellEnd"/>
      <w:r w:rsidRPr="006F5D9C">
        <w:rPr>
          <w:rFonts w:ascii="Arial" w:hAnsi="Arial" w:cs="Arial"/>
          <w:sz w:val="22"/>
          <w:szCs w:val="22"/>
        </w:rPr>
        <w:t>-Hongisto et al., 2020). It exists predominantly as a single-layer comprising various types of cells (e.g., epithelial, basal, goblet) which interact with a variety of immune cells to regulate inflammatory responses (</w:t>
      </w:r>
      <w:proofErr w:type="spellStart"/>
      <w:r w:rsidRPr="006F5D9C">
        <w:rPr>
          <w:rFonts w:ascii="Arial" w:hAnsi="Arial" w:cs="Arial"/>
          <w:sz w:val="22"/>
          <w:szCs w:val="22"/>
        </w:rPr>
        <w:t>Jesenak</w:t>
      </w:r>
      <w:proofErr w:type="spellEnd"/>
      <w:r w:rsidRPr="006F5D9C">
        <w:rPr>
          <w:rFonts w:ascii="Arial" w:hAnsi="Arial" w:cs="Arial"/>
          <w:sz w:val="22"/>
          <w:szCs w:val="22"/>
        </w:rPr>
        <w:t xml:space="preserve"> et al., 2026). Disruptions to barrier integrity is indicated in many respiratory diseases (Carlier et al., 2021). Extracellular </w:t>
      </w:r>
      <w:proofErr w:type="spellStart"/>
      <w:r w:rsidRPr="006F5D9C">
        <w:rPr>
          <w:rFonts w:ascii="Arial" w:hAnsi="Arial" w:cs="Arial"/>
          <w:sz w:val="22"/>
          <w:szCs w:val="22"/>
        </w:rPr>
        <w:t>vesicles</w:t>
      </w:r>
      <w:proofErr w:type="spellEnd"/>
      <w:r w:rsidRPr="006F5D9C">
        <w:rPr>
          <w:rFonts w:ascii="Arial" w:hAnsi="Arial" w:cs="Arial"/>
          <w:sz w:val="22"/>
          <w:szCs w:val="22"/>
        </w:rPr>
        <w:t xml:space="preserve"> (EVs) have been demonstrated to be involved in the pathogenesis of respiratory diseases and airway remodelling (</w:t>
      </w:r>
      <w:proofErr w:type="spellStart"/>
      <w:r w:rsidRPr="006F5D9C">
        <w:rPr>
          <w:rFonts w:ascii="Arial" w:hAnsi="Arial" w:cs="Arial"/>
          <w:sz w:val="22"/>
          <w:szCs w:val="22"/>
        </w:rPr>
        <w:t>Mohammadipoor</w:t>
      </w:r>
      <w:proofErr w:type="spellEnd"/>
      <w:r w:rsidRPr="006F5D9C">
        <w:rPr>
          <w:rFonts w:ascii="Arial" w:hAnsi="Arial" w:cs="Arial"/>
          <w:sz w:val="22"/>
          <w:szCs w:val="22"/>
        </w:rPr>
        <w:t xml:space="preserve"> et al., 2023; </w:t>
      </w:r>
      <w:proofErr w:type="spellStart"/>
      <w:r w:rsidRPr="006F5D9C">
        <w:rPr>
          <w:rFonts w:ascii="Arial" w:hAnsi="Arial" w:cs="Arial"/>
          <w:sz w:val="22"/>
          <w:szCs w:val="22"/>
        </w:rPr>
        <w:t>Sangaphunchai</w:t>
      </w:r>
      <w:proofErr w:type="spellEnd"/>
      <w:r w:rsidRPr="006F5D9C">
        <w:rPr>
          <w:rFonts w:ascii="Arial" w:hAnsi="Arial" w:cs="Arial"/>
          <w:sz w:val="22"/>
          <w:szCs w:val="22"/>
        </w:rPr>
        <w:t xml:space="preserve"> et al., </w:t>
      </w:r>
      <w:r w:rsidR="00134F1B" w:rsidRPr="006F5D9C">
        <w:rPr>
          <w:rFonts w:ascii="Arial" w:hAnsi="Arial" w:cs="Arial"/>
          <w:sz w:val="22"/>
          <w:szCs w:val="22"/>
        </w:rPr>
        <w:t>2020</w:t>
      </w:r>
      <w:r w:rsidRPr="006F5D9C">
        <w:rPr>
          <w:rFonts w:ascii="Arial" w:hAnsi="Arial" w:cs="Arial"/>
          <w:sz w:val="22"/>
          <w:szCs w:val="22"/>
        </w:rPr>
        <w:t>). This suggests EVs may have the potential to disrupt the epithelial barrier and propagate airway inflammation.</w:t>
      </w:r>
    </w:p>
    <w:p w14:paraId="13402974" w14:textId="78ED57C9" w:rsidR="00F730A4" w:rsidRPr="006F5D9C" w:rsidRDefault="00F730A4" w:rsidP="006F5D9C">
      <w:pPr>
        <w:spacing w:line="360" w:lineRule="auto"/>
        <w:rPr>
          <w:rFonts w:ascii="Arial" w:hAnsi="Arial" w:cs="Arial"/>
          <w:sz w:val="22"/>
          <w:szCs w:val="22"/>
        </w:rPr>
      </w:pPr>
      <w:r w:rsidRPr="006F5D9C">
        <w:rPr>
          <w:rFonts w:ascii="Arial" w:hAnsi="Arial" w:cs="Arial"/>
          <w:sz w:val="22"/>
          <w:szCs w:val="22"/>
        </w:rPr>
        <w:t xml:space="preserve">EVs are small lipid bilayer-enclosed particles, released almost ubiquitously among human cells, responsible for intercellular communication via transfer of their bioactive cargo to recipient cells </w:t>
      </w:r>
      <w:r w:rsidR="00134F1B" w:rsidRPr="006F5D9C">
        <w:rPr>
          <w:rFonts w:ascii="Arial" w:hAnsi="Arial" w:cs="Arial"/>
          <w:sz w:val="22"/>
          <w:szCs w:val="22"/>
        </w:rPr>
        <w:t>(Chen et al., 2024;</w:t>
      </w:r>
      <w:r w:rsidR="006C1F13">
        <w:rPr>
          <w:rFonts w:ascii="Arial" w:hAnsi="Arial" w:cs="Arial"/>
          <w:sz w:val="22"/>
          <w:szCs w:val="22"/>
        </w:rPr>
        <w:t xml:space="preserve"> </w:t>
      </w:r>
      <w:r w:rsidR="00134F1B" w:rsidRPr="006F5D9C">
        <w:rPr>
          <w:rFonts w:ascii="Arial" w:hAnsi="Arial" w:cs="Arial"/>
          <w:sz w:val="22"/>
          <w:szCs w:val="22"/>
        </w:rPr>
        <w:t>Kadota et al., 2021; Fujita et al., 2024</w:t>
      </w:r>
      <w:r w:rsidRPr="006F5D9C">
        <w:rPr>
          <w:rFonts w:ascii="Arial" w:hAnsi="Arial" w:cs="Arial"/>
          <w:sz w:val="22"/>
          <w:szCs w:val="22"/>
        </w:rPr>
        <w:t>). This cargo consists of various biomolecules including microRNAs (miRNAs), which are small non-coding RNAs approximately 18-30</w:t>
      </w:r>
      <w:r w:rsidR="005C267B">
        <w:rPr>
          <w:rFonts w:ascii="Arial" w:hAnsi="Arial" w:cs="Arial"/>
          <w:sz w:val="22"/>
          <w:szCs w:val="22"/>
        </w:rPr>
        <w:t xml:space="preserve"> nucleotides (</w:t>
      </w:r>
      <w:proofErr w:type="spellStart"/>
      <w:r w:rsidR="005C267B">
        <w:rPr>
          <w:rFonts w:ascii="Arial" w:hAnsi="Arial" w:cs="Arial"/>
          <w:sz w:val="22"/>
          <w:szCs w:val="22"/>
        </w:rPr>
        <w:t>nt</w:t>
      </w:r>
      <w:proofErr w:type="spellEnd"/>
      <w:r w:rsidR="005C267B">
        <w:rPr>
          <w:rFonts w:ascii="Arial" w:hAnsi="Arial" w:cs="Arial"/>
          <w:sz w:val="22"/>
          <w:szCs w:val="22"/>
        </w:rPr>
        <w:t>)</w:t>
      </w:r>
      <w:r w:rsidRPr="006F5D9C">
        <w:rPr>
          <w:rFonts w:ascii="Arial" w:hAnsi="Arial" w:cs="Arial"/>
          <w:sz w:val="22"/>
          <w:szCs w:val="22"/>
        </w:rPr>
        <w:t xml:space="preserve"> that exercise gene silencing through post-transcriptional degradation of m</w:t>
      </w:r>
      <w:r w:rsidR="005C267B">
        <w:rPr>
          <w:rFonts w:ascii="Arial" w:hAnsi="Arial" w:cs="Arial"/>
          <w:sz w:val="22"/>
          <w:szCs w:val="22"/>
        </w:rPr>
        <w:t xml:space="preserve">essenger </w:t>
      </w:r>
      <w:r w:rsidRPr="006F5D9C">
        <w:rPr>
          <w:rFonts w:ascii="Arial" w:hAnsi="Arial" w:cs="Arial"/>
          <w:sz w:val="22"/>
          <w:szCs w:val="22"/>
        </w:rPr>
        <w:t xml:space="preserve">RNAs </w:t>
      </w:r>
      <w:r w:rsidR="005C267B">
        <w:rPr>
          <w:rFonts w:ascii="Arial" w:hAnsi="Arial" w:cs="Arial"/>
          <w:sz w:val="22"/>
          <w:szCs w:val="22"/>
        </w:rPr>
        <w:t xml:space="preserve">(mRNAs) </w:t>
      </w:r>
      <w:r w:rsidRPr="006F5D9C">
        <w:rPr>
          <w:rFonts w:ascii="Arial" w:hAnsi="Arial" w:cs="Arial"/>
          <w:sz w:val="22"/>
          <w:szCs w:val="22"/>
        </w:rPr>
        <w:t>(</w:t>
      </w:r>
      <w:proofErr w:type="spellStart"/>
      <w:r w:rsidR="00134F1B" w:rsidRPr="006F5D9C">
        <w:rPr>
          <w:rFonts w:ascii="Arial" w:hAnsi="Arial" w:cs="Arial"/>
          <w:sz w:val="22"/>
          <w:szCs w:val="22"/>
        </w:rPr>
        <w:t>Levänen</w:t>
      </w:r>
      <w:proofErr w:type="spellEnd"/>
      <w:r w:rsidR="00134F1B" w:rsidRPr="006F5D9C">
        <w:rPr>
          <w:rFonts w:ascii="Arial" w:hAnsi="Arial" w:cs="Arial"/>
          <w:sz w:val="22"/>
          <w:szCs w:val="22"/>
        </w:rPr>
        <w:t xml:space="preserve"> et al., 2014</w:t>
      </w:r>
      <w:r w:rsidRPr="006F5D9C">
        <w:rPr>
          <w:rFonts w:ascii="Arial" w:hAnsi="Arial" w:cs="Arial"/>
          <w:sz w:val="22"/>
          <w:szCs w:val="22"/>
        </w:rPr>
        <w:t>). Lung epithelial cells readily generate EVs during lung inflammation, which can be commonly triggered through allergen exposure. (</w:t>
      </w:r>
      <w:proofErr w:type="spellStart"/>
      <w:r w:rsidR="00134F1B" w:rsidRPr="006F5D9C">
        <w:rPr>
          <w:rFonts w:ascii="Arial" w:hAnsi="Arial" w:cs="Arial"/>
          <w:sz w:val="22"/>
          <w:szCs w:val="22"/>
        </w:rPr>
        <w:t>Sangaphunchai</w:t>
      </w:r>
      <w:proofErr w:type="spellEnd"/>
      <w:r w:rsidR="00134F1B" w:rsidRPr="006F5D9C">
        <w:rPr>
          <w:rFonts w:ascii="Arial" w:hAnsi="Arial" w:cs="Arial"/>
          <w:sz w:val="22"/>
          <w:szCs w:val="22"/>
        </w:rPr>
        <w:t xml:space="preserve"> et al., 2020; Holtzman and Lee, 2020</w:t>
      </w:r>
      <w:r w:rsidRPr="006F5D9C">
        <w:rPr>
          <w:rFonts w:ascii="Arial" w:hAnsi="Arial" w:cs="Arial"/>
          <w:sz w:val="22"/>
          <w:szCs w:val="22"/>
        </w:rPr>
        <w:t>). EV miRNA cargo has been shown to change upon exposure to allergens and between healthy individuals and respiratory disease sufferers (</w:t>
      </w:r>
      <w:r w:rsidR="00134F1B" w:rsidRPr="006F5D9C">
        <w:rPr>
          <w:rFonts w:ascii="Arial" w:hAnsi="Arial" w:cs="Arial"/>
          <w:sz w:val="22"/>
          <w:szCs w:val="22"/>
        </w:rPr>
        <w:t xml:space="preserve">Bartel et al., 2019; </w:t>
      </w:r>
      <w:proofErr w:type="spellStart"/>
      <w:r w:rsidR="00134F1B" w:rsidRPr="006F5D9C">
        <w:rPr>
          <w:rFonts w:ascii="Arial" w:hAnsi="Arial" w:cs="Arial"/>
          <w:sz w:val="22"/>
          <w:szCs w:val="22"/>
        </w:rPr>
        <w:t>Levänen</w:t>
      </w:r>
      <w:proofErr w:type="spellEnd"/>
      <w:r w:rsidR="00134F1B" w:rsidRPr="006F5D9C">
        <w:rPr>
          <w:rFonts w:ascii="Arial" w:hAnsi="Arial" w:cs="Arial"/>
          <w:sz w:val="22"/>
          <w:szCs w:val="22"/>
        </w:rPr>
        <w:t xml:space="preserve"> et al., 2013; Gon et al., 2017</w:t>
      </w:r>
      <w:r w:rsidRPr="006F5D9C">
        <w:rPr>
          <w:rFonts w:ascii="Arial" w:hAnsi="Arial" w:cs="Arial"/>
          <w:sz w:val="22"/>
          <w:szCs w:val="22"/>
        </w:rPr>
        <w:t>). Common allergens known to trigger inflammatory responses include house dust mite (HDM), dog allergens and protease enzyme allergens, found in many household cleaning products</w:t>
      </w:r>
      <w:r w:rsidR="001C1143" w:rsidRPr="006F5D9C">
        <w:rPr>
          <w:rFonts w:ascii="Arial" w:hAnsi="Arial" w:cs="Arial"/>
          <w:sz w:val="22"/>
          <w:szCs w:val="22"/>
        </w:rPr>
        <w:t xml:space="preserve"> (Hopkins et al., 2026; Browne et al., 2026). </w:t>
      </w:r>
      <w:r w:rsidRPr="006F5D9C">
        <w:rPr>
          <w:rFonts w:ascii="Arial" w:hAnsi="Arial" w:cs="Arial"/>
          <w:sz w:val="22"/>
          <w:szCs w:val="22"/>
        </w:rPr>
        <w:t>Transcriptomics have emerged as a valuable tool to investigate miRNA cargo and subsequently investigate the biological role of differentially expressed miRNAs.</w:t>
      </w:r>
    </w:p>
    <w:p w14:paraId="4A959228" w14:textId="10E161AA" w:rsidR="00F730A4" w:rsidRPr="006F5D9C" w:rsidRDefault="00F730A4" w:rsidP="006F5D9C">
      <w:pPr>
        <w:spacing w:line="360" w:lineRule="auto"/>
        <w:rPr>
          <w:rFonts w:ascii="Arial" w:hAnsi="Arial" w:cs="Arial"/>
          <w:sz w:val="22"/>
          <w:szCs w:val="22"/>
        </w:rPr>
      </w:pPr>
      <w:r w:rsidRPr="006F5D9C">
        <w:rPr>
          <w:rFonts w:ascii="Arial" w:hAnsi="Arial" w:cs="Arial"/>
          <w:sz w:val="22"/>
          <w:szCs w:val="22"/>
        </w:rPr>
        <w:t xml:space="preserve">Advances in dose-delivery technologies have improved allergen exposure studies by enabling aerosolised delivery, which more closely reflects </w:t>
      </w:r>
      <w:r w:rsidRPr="006F5D9C">
        <w:rPr>
          <w:rFonts w:ascii="Arial" w:hAnsi="Arial" w:cs="Arial"/>
          <w:i/>
          <w:iCs/>
          <w:sz w:val="22"/>
          <w:szCs w:val="22"/>
        </w:rPr>
        <w:t>in vivo</w:t>
      </w:r>
      <w:r w:rsidRPr="006F5D9C">
        <w:rPr>
          <w:rFonts w:ascii="Arial" w:hAnsi="Arial" w:cs="Arial"/>
          <w:sz w:val="22"/>
          <w:szCs w:val="22"/>
        </w:rPr>
        <w:t xml:space="preserve"> airway exposure conditions compared with traditional liquid-based delivery systems. Previous studies have demonstrated that liquid-based allergen exposure can alter epithelial barrier integrity and alter the transcriptome in primary human bronchial epithelial cells (HBECs) </w:t>
      </w:r>
      <w:r w:rsidR="001C1143" w:rsidRPr="006F5D9C">
        <w:rPr>
          <w:rFonts w:ascii="Arial" w:hAnsi="Arial" w:cs="Arial"/>
          <w:sz w:val="22"/>
          <w:szCs w:val="22"/>
        </w:rPr>
        <w:t>(Mallek et al., 2024)</w:t>
      </w:r>
      <w:r w:rsidRPr="006F5D9C">
        <w:rPr>
          <w:rFonts w:ascii="Arial" w:hAnsi="Arial" w:cs="Arial"/>
          <w:sz w:val="22"/>
          <w:szCs w:val="22"/>
        </w:rPr>
        <w:t xml:space="preserve">. Two previous studies have adopted nebuliser technology to investigate the miRNA cargo of allergen-exposed airway epithelial cell-derived EVs and the biological relevance of pathways associated with differentially expressed miRNAs </w:t>
      </w:r>
      <w:r w:rsidR="001C1143" w:rsidRPr="006F5D9C">
        <w:rPr>
          <w:rFonts w:ascii="Arial" w:hAnsi="Arial" w:cs="Arial"/>
          <w:sz w:val="22"/>
          <w:szCs w:val="22"/>
        </w:rPr>
        <w:t xml:space="preserve">(Hopkins et al., 2026; Browne et al., 2026). </w:t>
      </w:r>
      <w:r w:rsidRPr="006F5D9C">
        <w:rPr>
          <w:rFonts w:ascii="Arial" w:hAnsi="Arial" w:cs="Arial"/>
          <w:sz w:val="22"/>
          <w:szCs w:val="22"/>
        </w:rPr>
        <w:lastRenderedPageBreak/>
        <w:t xml:space="preserve">In both studies, the transcriptomics analysis was performed using commercial services. The disadvantages of this are that it can be costly and in the case of closed-source software, locks reproducibility behind a paywall. </w:t>
      </w:r>
    </w:p>
    <w:p w14:paraId="70922401" w14:textId="23CFA4BC" w:rsidR="00F730A4" w:rsidRPr="006F5D9C" w:rsidRDefault="00F730A4" w:rsidP="006F5D9C">
      <w:pPr>
        <w:spacing w:line="360" w:lineRule="auto"/>
        <w:rPr>
          <w:rFonts w:ascii="Arial" w:eastAsia="Times New Roman" w:hAnsi="Arial" w:cs="Arial"/>
          <w:color w:val="000000"/>
          <w:sz w:val="22"/>
          <w:szCs w:val="22"/>
          <w:lang w:eastAsia="en-GB"/>
        </w:rPr>
      </w:pPr>
      <w:r w:rsidRPr="006F5D9C">
        <w:rPr>
          <w:rFonts w:ascii="Arial" w:eastAsia="Times New Roman" w:hAnsi="Arial" w:cs="Arial"/>
          <w:color w:val="000000"/>
          <w:sz w:val="22"/>
          <w:szCs w:val="22"/>
          <w:lang w:eastAsia="en-GB"/>
        </w:rPr>
        <w:t>This study aimed to create a transcriptomics workflow to re-analyse small RNA</w:t>
      </w:r>
      <w:r w:rsidR="005C267B">
        <w:rPr>
          <w:rFonts w:ascii="Arial" w:eastAsia="Times New Roman" w:hAnsi="Arial" w:cs="Arial"/>
          <w:color w:val="000000"/>
          <w:sz w:val="22"/>
          <w:szCs w:val="22"/>
          <w:lang w:eastAsia="en-GB"/>
        </w:rPr>
        <w:t xml:space="preserve"> s</w:t>
      </w:r>
      <w:r w:rsidRPr="006F5D9C">
        <w:rPr>
          <w:rFonts w:ascii="Arial" w:eastAsia="Times New Roman" w:hAnsi="Arial" w:cs="Arial"/>
          <w:color w:val="000000"/>
          <w:sz w:val="22"/>
          <w:szCs w:val="22"/>
          <w:lang w:eastAsia="en-GB"/>
        </w:rPr>
        <w:t>eq</w:t>
      </w:r>
      <w:r w:rsidR="005C267B">
        <w:rPr>
          <w:rFonts w:ascii="Arial" w:eastAsia="Times New Roman" w:hAnsi="Arial" w:cs="Arial"/>
          <w:color w:val="000000"/>
          <w:sz w:val="22"/>
          <w:szCs w:val="22"/>
          <w:lang w:eastAsia="en-GB"/>
        </w:rPr>
        <w:t>uencing (RNA-</w:t>
      </w:r>
      <w:proofErr w:type="spellStart"/>
      <w:r w:rsidR="005C267B">
        <w:rPr>
          <w:rFonts w:ascii="Arial" w:eastAsia="Times New Roman" w:hAnsi="Arial" w:cs="Arial"/>
          <w:color w:val="000000"/>
          <w:sz w:val="22"/>
          <w:szCs w:val="22"/>
          <w:lang w:eastAsia="en-GB"/>
        </w:rPr>
        <w:t>seq</w:t>
      </w:r>
      <w:proofErr w:type="spellEnd"/>
      <w:r w:rsidR="005C267B">
        <w:rPr>
          <w:rFonts w:ascii="Arial" w:eastAsia="Times New Roman" w:hAnsi="Arial" w:cs="Arial"/>
          <w:color w:val="000000"/>
          <w:sz w:val="22"/>
          <w:szCs w:val="22"/>
          <w:lang w:eastAsia="en-GB"/>
        </w:rPr>
        <w:t>)</w:t>
      </w:r>
      <w:r w:rsidRPr="006F5D9C">
        <w:rPr>
          <w:rFonts w:ascii="Arial" w:eastAsia="Times New Roman" w:hAnsi="Arial" w:cs="Arial"/>
          <w:color w:val="000000"/>
          <w:sz w:val="22"/>
          <w:szCs w:val="22"/>
          <w:lang w:eastAsia="en-GB"/>
        </w:rPr>
        <w:t xml:space="preserve"> data generated in previous allergen studies</w:t>
      </w:r>
      <w:r w:rsidR="001C1143" w:rsidRPr="006F5D9C">
        <w:rPr>
          <w:rFonts w:ascii="Arial" w:hAnsi="Arial" w:cs="Arial"/>
          <w:sz w:val="22"/>
          <w:szCs w:val="22"/>
        </w:rPr>
        <w:t xml:space="preserve"> </w:t>
      </w:r>
      <w:r w:rsidR="001C1143" w:rsidRPr="006F5D9C">
        <w:rPr>
          <w:rFonts w:ascii="Arial" w:eastAsia="Times New Roman" w:hAnsi="Arial" w:cs="Arial"/>
          <w:color w:val="000000"/>
          <w:sz w:val="22"/>
          <w:szCs w:val="22"/>
          <w:lang w:eastAsia="en-GB"/>
        </w:rPr>
        <w:t>Hopkins et al., 2026 and Browne et al., 2026</w:t>
      </w:r>
      <w:r w:rsidRPr="006F5D9C">
        <w:rPr>
          <w:rFonts w:ascii="Arial" w:hAnsi="Arial" w:cs="Arial"/>
          <w:sz w:val="22"/>
          <w:szCs w:val="22"/>
        </w:rPr>
        <w:t xml:space="preserve">. Whereas the previous analyses employed commercial services and platforms to conduct transcriptomics, this study uses exclusively open-source and open-access software. The workflow integrates sequencing data quality control, differential expression analysis and evaluates two approaches to pathway enrichment analysis, with a particular focus on identifying </w:t>
      </w:r>
      <w:r w:rsidRPr="006F5D9C">
        <w:rPr>
          <w:rFonts w:ascii="Arial" w:eastAsia="Times New Roman" w:hAnsi="Arial" w:cs="Arial"/>
          <w:color w:val="000000"/>
          <w:sz w:val="22"/>
          <w:szCs w:val="22"/>
          <w:lang w:eastAsia="en-GB"/>
        </w:rPr>
        <w:t xml:space="preserve">immune and inflammatory pathways relevant to </w:t>
      </w:r>
      <w:r w:rsidRPr="00180574">
        <w:rPr>
          <w:rFonts w:ascii="Arial" w:eastAsia="Times New Roman" w:hAnsi="Arial" w:cs="Arial"/>
          <w:color w:val="000000"/>
          <w:sz w:val="22"/>
          <w:szCs w:val="22"/>
          <w:lang w:eastAsia="en-GB"/>
        </w:rPr>
        <w:t>airway biology.</w:t>
      </w:r>
      <w:r w:rsidR="00180574" w:rsidRPr="00180574">
        <w:t xml:space="preserve"> </w:t>
      </w:r>
      <w:r w:rsidR="00180574" w:rsidRPr="00180574">
        <w:rPr>
          <w:rFonts w:ascii="Arial" w:eastAsia="Times New Roman" w:hAnsi="Arial" w:cs="Arial"/>
          <w:color w:val="000000"/>
          <w:sz w:val="22"/>
          <w:szCs w:val="22"/>
          <w:lang w:eastAsia="en-GB"/>
        </w:rPr>
        <w:t xml:space="preserve">At the time of this study, pathway analysis had not been performed on the Browne et al. 2026 dataset; accordingly, this work represents a novel analysis. </w:t>
      </w:r>
      <w:r w:rsidRPr="00180574">
        <w:rPr>
          <w:rFonts w:ascii="Arial" w:eastAsia="Times New Roman" w:hAnsi="Arial" w:cs="Arial"/>
          <w:color w:val="000000"/>
          <w:sz w:val="22"/>
          <w:szCs w:val="22"/>
          <w:lang w:eastAsia="en-GB"/>
        </w:rPr>
        <w:t>Collectively</w:t>
      </w:r>
      <w:r w:rsidRPr="006F5D9C">
        <w:rPr>
          <w:rFonts w:ascii="Arial" w:eastAsia="Times New Roman" w:hAnsi="Arial" w:cs="Arial"/>
          <w:color w:val="000000"/>
          <w:sz w:val="22"/>
          <w:szCs w:val="22"/>
          <w:lang w:eastAsia="en-GB"/>
        </w:rPr>
        <w:t>, this work establishes a reproducible, open-access workflow for the analysis of EV-derived miRNA sequencing data and highlights methodological considerations for improving the experimental design and transcriptomic analysis of future allergen exposure studies.</w:t>
      </w:r>
    </w:p>
    <w:p w14:paraId="11B53A81" w14:textId="77777777" w:rsidR="00F730A4" w:rsidRPr="006F5D9C" w:rsidRDefault="00F730A4" w:rsidP="006F5D9C">
      <w:pPr>
        <w:spacing w:line="360" w:lineRule="auto"/>
        <w:rPr>
          <w:rFonts w:ascii="Arial" w:hAnsi="Arial" w:cs="Arial"/>
          <w:sz w:val="22"/>
          <w:szCs w:val="22"/>
        </w:rPr>
      </w:pPr>
    </w:p>
    <w:p w14:paraId="5B4DD0DB" w14:textId="0DD022AC" w:rsidR="001D63A9" w:rsidRPr="006F5D9C" w:rsidRDefault="001D63A9" w:rsidP="006F5D9C">
      <w:pPr>
        <w:spacing w:line="360" w:lineRule="auto"/>
        <w:rPr>
          <w:rFonts w:ascii="Arial" w:hAnsi="Arial" w:cs="Arial"/>
          <w:sz w:val="22"/>
          <w:szCs w:val="22"/>
        </w:rPr>
      </w:pPr>
      <w:r w:rsidRPr="006C1F13">
        <w:rPr>
          <w:rFonts w:ascii="Arial" w:hAnsi="Arial" w:cs="Arial"/>
          <w:b/>
          <w:bCs/>
        </w:rPr>
        <w:t>Methods</w:t>
      </w:r>
    </w:p>
    <w:p w14:paraId="361C0C65" w14:textId="77777777" w:rsidR="009F4212" w:rsidRPr="006F5D9C" w:rsidRDefault="009F4212" w:rsidP="006F5D9C">
      <w:pPr>
        <w:spacing w:line="360" w:lineRule="auto"/>
        <w:rPr>
          <w:rFonts w:ascii="Arial" w:hAnsi="Arial" w:cs="Arial"/>
          <w:sz w:val="22"/>
          <w:szCs w:val="22"/>
        </w:rPr>
      </w:pPr>
      <w:r w:rsidRPr="006F5D9C">
        <w:rPr>
          <w:rFonts w:ascii="Arial" w:hAnsi="Arial" w:cs="Arial"/>
          <w:b/>
          <w:bCs/>
          <w:sz w:val="22"/>
          <w:szCs w:val="22"/>
        </w:rPr>
        <w:t>Workflow</w:t>
      </w:r>
    </w:p>
    <w:p w14:paraId="6D145D8C" w14:textId="77777777" w:rsidR="009F4212" w:rsidRPr="006F5D9C" w:rsidRDefault="009F4212" w:rsidP="006F5D9C">
      <w:pPr>
        <w:keepNext/>
        <w:spacing w:line="360" w:lineRule="auto"/>
        <w:rPr>
          <w:rFonts w:ascii="Arial" w:hAnsi="Arial" w:cs="Arial"/>
          <w:sz w:val="22"/>
          <w:szCs w:val="22"/>
        </w:rPr>
      </w:pPr>
      <w:r w:rsidRPr="006F5D9C">
        <w:rPr>
          <w:rFonts w:ascii="Arial" w:hAnsi="Arial" w:cs="Arial"/>
          <w:noProof/>
          <w:sz w:val="22"/>
          <w:szCs w:val="22"/>
        </w:rPr>
        <w:drawing>
          <wp:inline distT="0" distB="0" distL="0" distR="0" wp14:anchorId="74B59DD8" wp14:editId="76754F3E">
            <wp:extent cx="2285366" cy="5827420"/>
            <wp:effectExtent l="0" t="5715" r="0" b="0"/>
            <wp:docPr id="5593363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336377" name="Picture 559336377"/>
                    <pic:cNvPicPr/>
                  </pic:nvPicPr>
                  <pic:blipFill rotWithShape="1">
                    <a:blip r:embed="rId11"/>
                    <a:srcRect r="44502"/>
                    <a:stretch>
                      <a:fillRect/>
                    </a:stretch>
                  </pic:blipFill>
                  <pic:spPr bwMode="auto">
                    <a:xfrm rot="16200000">
                      <a:off x="0" y="0"/>
                      <a:ext cx="2303508" cy="5873679"/>
                    </a:xfrm>
                    <a:prstGeom prst="rect">
                      <a:avLst/>
                    </a:prstGeom>
                    <a:ln>
                      <a:noFill/>
                    </a:ln>
                    <a:extLst>
                      <a:ext uri="{53640926-AAD7-44D8-BBD7-CCE9431645EC}">
                        <a14:shadowObscured xmlns:a14="http://schemas.microsoft.com/office/drawing/2010/main"/>
                      </a:ext>
                    </a:extLst>
                  </pic:spPr>
                </pic:pic>
              </a:graphicData>
            </a:graphic>
          </wp:inline>
        </w:drawing>
      </w:r>
    </w:p>
    <w:p w14:paraId="4155C26A" w14:textId="4AAF5EE2" w:rsidR="009F4212" w:rsidRPr="00BC0594" w:rsidRDefault="009F4212" w:rsidP="00257F5E">
      <w:pPr>
        <w:pStyle w:val="Caption"/>
        <w:rPr>
          <w:rFonts w:ascii="Arial" w:hAnsi="Arial" w:cs="Arial"/>
          <w:i w:val="0"/>
          <w:iCs w:val="0"/>
          <w:color w:val="000000" w:themeColor="text1"/>
          <w:sz w:val="20"/>
          <w:szCs w:val="20"/>
        </w:rPr>
      </w:pPr>
      <w:r w:rsidRPr="00BC0594">
        <w:rPr>
          <w:rFonts w:ascii="Arial" w:hAnsi="Arial" w:cs="Arial"/>
          <w:b/>
          <w:bCs/>
          <w:i w:val="0"/>
          <w:iCs w:val="0"/>
          <w:color w:val="000000" w:themeColor="text1"/>
          <w:sz w:val="20"/>
          <w:szCs w:val="20"/>
        </w:rPr>
        <w:t>Figure 1: Workflow outline.</w:t>
      </w:r>
      <w:r w:rsidRPr="00BC0594">
        <w:rPr>
          <w:rFonts w:ascii="Arial" w:hAnsi="Arial" w:cs="Arial"/>
          <w:i w:val="0"/>
          <w:iCs w:val="0"/>
          <w:color w:val="000000" w:themeColor="text1"/>
          <w:sz w:val="20"/>
          <w:szCs w:val="20"/>
        </w:rPr>
        <w:t xml:space="preserve"> Previously acquired raw sequencing data for primary human bronchial epithelial cells (HBECs) exposed to 0.005, 0.08, 2 and 24 </w:t>
      </w:r>
      <w:proofErr w:type="spellStart"/>
      <w:r w:rsidRPr="00BC0594">
        <w:rPr>
          <w:rFonts w:ascii="Arial" w:hAnsi="Arial" w:cs="Arial"/>
          <w:i w:val="0"/>
          <w:iCs w:val="0"/>
          <w:color w:val="000000" w:themeColor="text1"/>
          <w:sz w:val="20"/>
          <w:szCs w:val="20"/>
        </w:rPr>
        <w:t>μg</w:t>
      </w:r>
      <w:proofErr w:type="spellEnd"/>
      <w:r w:rsidRPr="00BC0594">
        <w:rPr>
          <w:rFonts w:ascii="Arial" w:hAnsi="Arial" w:cs="Arial"/>
          <w:i w:val="0"/>
          <w:iCs w:val="0"/>
          <w:color w:val="000000" w:themeColor="text1"/>
          <w:sz w:val="20"/>
          <w:szCs w:val="20"/>
        </w:rPr>
        <w:t xml:space="preserve">/cm² protease allergen was obtained from Hopkins et al., 2026, and for Calu-3 lung adenocarcinoma cells exposed to Der p 1 active and Der p 1 inactive (house dust mite allergens) and Can f 1 (dog allergen) obtained from Browne et al., 2026. The differential expression phase (orange) was performed using primary HBECs and Calu-3 datasets. First, quality control was performed on raw sequencing data, then reads were trimmed and quality control was repeated. miRNAs were mapped to known mature miRNAs and quantified. Differential expression analysis was then performed by comparing each allergen exposure condition in primary HBECs and Calu-3 to a corresponding untreated group. The next phase (blue) focused on developing an optimal method for pathway enrichment analysis for differentially expressed (DE) miRNAs; only 24 </w:t>
      </w:r>
      <w:proofErr w:type="spellStart"/>
      <w:r w:rsidRPr="00BC0594">
        <w:rPr>
          <w:rFonts w:ascii="Arial" w:hAnsi="Arial" w:cs="Arial"/>
          <w:i w:val="0"/>
          <w:iCs w:val="0"/>
          <w:color w:val="000000" w:themeColor="text1"/>
          <w:sz w:val="20"/>
          <w:szCs w:val="20"/>
        </w:rPr>
        <w:t>μg</w:t>
      </w:r>
      <w:proofErr w:type="spellEnd"/>
      <w:r w:rsidRPr="00BC0594">
        <w:rPr>
          <w:rFonts w:ascii="Arial" w:hAnsi="Arial" w:cs="Arial"/>
          <w:i w:val="0"/>
          <w:iCs w:val="0"/>
          <w:color w:val="000000" w:themeColor="text1"/>
          <w:sz w:val="20"/>
          <w:szCs w:val="20"/>
        </w:rPr>
        <w:t>/cm² protease-treated primary HBECs were used for this phase. The final phase (purple) used literature to infer the biological function of DE miRNAs derived from the Calu-3 dataset.</w:t>
      </w:r>
      <w:r w:rsidR="00E121F7" w:rsidRPr="00BC0594">
        <w:rPr>
          <w:rFonts w:ascii="Arial" w:hAnsi="Arial" w:cs="Arial"/>
          <w:i w:val="0"/>
          <w:iCs w:val="0"/>
          <w:color w:val="000000" w:themeColor="text1"/>
          <w:sz w:val="20"/>
          <w:szCs w:val="20"/>
        </w:rPr>
        <w:t xml:space="preserve"> Figure generated </w:t>
      </w:r>
      <w:r w:rsidR="00A122C4" w:rsidRPr="00BC0594">
        <w:rPr>
          <w:rFonts w:ascii="Arial" w:hAnsi="Arial" w:cs="Arial"/>
          <w:i w:val="0"/>
          <w:iCs w:val="0"/>
          <w:color w:val="000000" w:themeColor="text1"/>
          <w:sz w:val="20"/>
          <w:szCs w:val="20"/>
        </w:rPr>
        <w:t>using draw.io.</w:t>
      </w:r>
    </w:p>
    <w:p w14:paraId="12102E68" w14:textId="77777777" w:rsidR="009F4212" w:rsidRPr="006F5D9C" w:rsidRDefault="009F4212" w:rsidP="006F5D9C">
      <w:pPr>
        <w:spacing w:line="360" w:lineRule="auto"/>
        <w:rPr>
          <w:rFonts w:ascii="Arial" w:hAnsi="Arial" w:cs="Arial"/>
          <w:sz w:val="22"/>
          <w:szCs w:val="22"/>
        </w:rPr>
      </w:pPr>
    </w:p>
    <w:p w14:paraId="11D113B7" w14:textId="77777777" w:rsidR="009F4212" w:rsidRPr="006F5D9C" w:rsidRDefault="009F4212" w:rsidP="006F5D9C">
      <w:pPr>
        <w:spacing w:line="360" w:lineRule="auto"/>
        <w:rPr>
          <w:rFonts w:ascii="Arial" w:hAnsi="Arial" w:cs="Arial"/>
          <w:sz w:val="22"/>
          <w:szCs w:val="22"/>
        </w:rPr>
      </w:pPr>
      <w:r w:rsidRPr="006F5D9C">
        <w:rPr>
          <w:rFonts w:ascii="Arial" w:hAnsi="Arial" w:cs="Arial"/>
          <w:sz w:val="22"/>
          <w:szCs w:val="22"/>
        </w:rPr>
        <w:t xml:space="preserve">These methods describe an independent analysis pipeline established prior to methods or results from any previously performed bioinformatics analysis being disclosed. </w:t>
      </w:r>
    </w:p>
    <w:p w14:paraId="1CEE1558" w14:textId="6C9CFDF7" w:rsidR="009F4212" w:rsidRPr="006F5D9C" w:rsidRDefault="009F4212" w:rsidP="006F5D9C">
      <w:pPr>
        <w:spacing w:line="360" w:lineRule="auto"/>
        <w:rPr>
          <w:rFonts w:ascii="Arial" w:hAnsi="Arial" w:cs="Arial"/>
          <w:sz w:val="22"/>
          <w:szCs w:val="22"/>
        </w:rPr>
      </w:pPr>
      <w:r w:rsidRPr="006F5D9C">
        <w:rPr>
          <w:rFonts w:ascii="Arial" w:hAnsi="Arial" w:cs="Arial"/>
          <w:sz w:val="22"/>
          <w:szCs w:val="22"/>
        </w:rPr>
        <w:t>Initially, only the primary HBEC dataset was made available, and th</w:t>
      </w:r>
      <w:r w:rsidR="00180574">
        <w:rPr>
          <w:rFonts w:ascii="Arial" w:hAnsi="Arial" w:cs="Arial"/>
          <w:sz w:val="22"/>
          <w:szCs w:val="22"/>
        </w:rPr>
        <w:t>ese</w:t>
      </w:r>
      <w:r w:rsidRPr="006F5D9C">
        <w:rPr>
          <w:rFonts w:ascii="Arial" w:hAnsi="Arial" w:cs="Arial"/>
          <w:sz w:val="22"/>
          <w:szCs w:val="22"/>
        </w:rPr>
        <w:t xml:space="preserve"> data w</w:t>
      </w:r>
      <w:r w:rsidR="00180574">
        <w:rPr>
          <w:rFonts w:ascii="Arial" w:hAnsi="Arial" w:cs="Arial"/>
          <w:sz w:val="22"/>
          <w:szCs w:val="22"/>
        </w:rPr>
        <w:t>ere</w:t>
      </w:r>
      <w:r w:rsidRPr="006F5D9C">
        <w:rPr>
          <w:rFonts w:ascii="Arial" w:hAnsi="Arial" w:cs="Arial"/>
          <w:sz w:val="22"/>
          <w:szCs w:val="22"/>
        </w:rPr>
        <w:t xml:space="preserve"> analysed to completion of pathway enrichment analysis method development before the Calu-3 dataset was made available.</w:t>
      </w:r>
    </w:p>
    <w:p w14:paraId="2282C7C5" w14:textId="77777777" w:rsidR="009F4212" w:rsidRPr="006F5D9C" w:rsidRDefault="009F4212" w:rsidP="006F5D9C">
      <w:pPr>
        <w:spacing w:line="360" w:lineRule="auto"/>
        <w:rPr>
          <w:rFonts w:ascii="Arial" w:hAnsi="Arial" w:cs="Arial"/>
          <w:sz w:val="22"/>
          <w:szCs w:val="22"/>
        </w:rPr>
      </w:pPr>
    </w:p>
    <w:p w14:paraId="44A904B1" w14:textId="51396920" w:rsidR="009F4212" w:rsidRPr="006F5D9C" w:rsidRDefault="009F4212" w:rsidP="006F5D9C">
      <w:pPr>
        <w:spacing w:line="360" w:lineRule="auto"/>
        <w:rPr>
          <w:rFonts w:ascii="Arial" w:hAnsi="Arial" w:cs="Arial"/>
          <w:b/>
          <w:bCs/>
          <w:sz w:val="22"/>
          <w:szCs w:val="22"/>
        </w:rPr>
      </w:pPr>
      <w:r w:rsidRPr="006F5D9C">
        <w:rPr>
          <w:rFonts w:ascii="Arial" w:hAnsi="Arial" w:cs="Arial"/>
          <w:b/>
          <w:bCs/>
          <w:sz w:val="22"/>
          <w:szCs w:val="22"/>
        </w:rPr>
        <w:t>Study data</w:t>
      </w:r>
    </w:p>
    <w:p w14:paraId="2325C502" w14:textId="21C615F2" w:rsidR="009F4212" w:rsidRPr="006F5D9C" w:rsidRDefault="009F4212" w:rsidP="006F5D9C">
      <w:pPr>
        <w:spacing w:line="360" w:lineRule="auto"/>
        <w:rPr>
          <w:rFonts w:ascii="Arial" w:hAnsi="Arial" w:cs="Arial"/>
          <w:sz w:val="22"/>
          <w:szCs w:val="22"/>
        </w:rPr>
      </w:pPr>
      <w:r w:rsidRPr="006F5D9C">
        <w:rPr>
          <w:rFonts w:ascii="Arial" w:hAnsi="Arial" w:cs="Arial"/>
          <w:sz w:val="22"/>
          <w:szCs w:val="22"/>
        </w:rPr>
        <w:t>This study uses raw next-generation sequencing (NGS) data acquired from small RNA-</w:t>
      </w:r>
      <w:proofErr w:type="spellStart"/>
      <w:r w:rsidRPr="006F5D9C">
        <w:rPr>
          <w:rFonts w:ascii="Arial" w:hAnsi="Arial" w:cs="Arial"/>
          <w:sz w:val="22"/>
          <w:szCs w:val="22"/>
        </w:rPr>
        <w:t>Seq</w:t>
      </w:r>
      <w:proofErr w:type="spellEnd"/>
      <w:r w:rsidRPr="006F5D9C">
        <w:rPr>
          <w:rFonts w:ascii="Arial" w:hAnsi="Arial" w:cs="Arial"/>
          <w:sz w:val="22"/>
          <w:szCs w:val="22"/>
        </w:rPr>
        <w:t xml:space="preserve"> using the </w:t>
      </w:r>
      <w:proofErr w:type="spellStart"/>
      <w:r w:rsidRPr="006F5D9C">
        <w:rPr>
          <w:rFonts w:ascii="Arial" w:hAnsi="Arial" w:cs="Arial"/>
          <w:sz w:val="22"/>
          <w:szCs w:val="22"/>
        </w:rPr>
        <w:t>miND</w:t>
      </w:r>
      <w:proofErr w:type="spellEnd"/>
      <w:r w:rsidRPr="006F5D9C">
        <w:rPr>
          <w:rFonts w:ascii="Arial" w:hAnsi="Arial" w:cs="Arial"/>
          <w:sz w:val="22"/>
          <w:szCs w:val="22"/>
        </w:rPr>
        <w:t xml:space="preserve">® analysis pipeline </w:t>
      </w:r>
      <w:r w:rsidR="00543DBF" w:rsidRPr="006F5D9C">
        <w:rPr>
          <w:rFonts w:ascii="Arial" w:hAnsi="Arial" w:cs="Arial"/>
          <w:sz w:val="22"/>
          <w:szCs w:val="22"/>
        </w:rPr>
        <w:t>(</w:t>
      </w:r>
      <w:proofErr w:type="spellStart"/>
      <w:r w:rsidR="00543DBF" w:rsidRPr="006F5D9C">
        <w:rPr>
          <w:rFonts w:ascii="Arial" w:hAnsi="Arial" w:cs="Arial"/>
          <w:sz w:val="22"/>
          <w:szCs w:val="22"/>
        </w:rPr>
        <w:t>Khamina</w:t>
      </w:r>
      <w:proofErr w:type="spellEnd"/>
      <w:r w:rsidR="00543DBF" w:rsidRPr="006F5D9C">
        <w:rPr>
          <w:rFonts w:ascii="Arial" w:hAnsi="Arial" w:cs="Arial"/>
          <w:sz w:val="22"/>
          <w:szCs w:val="22"/>
        </w:rPr>
        <w:t xml:space="preserve"> et al., 2022)</w:t>
      </w:r>
      <w:r w:rsidRPr="006F5D9C">
        <w:rPr>
          <w:rFonts w:ascii="Arial" w:hAnsi="Arial" w:cs="Arial"/>
          <w:sz w:val="22"/>
          <w:szCs w:val="22"/>
        </w:rPr>
        <w:t>. RNA was acquired from airway epithelium-derived EVs following cellular exposure to nebulised allergens, according to the methodology set out in</w:t>
      </w:r>
      <w:r w:rsidR="00E121F7" w:rsidRPr="006F5D9C">
        <w:rPr>
          <w:rFonts w:ascii="Arial" w:hAnsi="Arial" w:cs="Arial"/>
          <w:sz w:val="22"/>
          <w:szCs w:val="22"/>
        </w:rPr>
        <w:t xml:space="preserve"> (Hopkins et al., 2026; Browne et al., 2026). </w:t>
      </w:r>
      <w:r w:rsidRPr="006F5D9C">
        <w:rPr>
          <w:rFonts w:ascii="Arial" w:hAnsi="Arial" w:cs="Arial"/>
          <w:sz w:val="22"/>
          <w:szCs w:val="22"/>
        </w:rPr>
        <w:t xml:space="preserve">Both papers were submitted for review at the time of this study but not yet published. </w:t>
      </w:r>
    </w:p>
    <w:p w14:paraId="4AF28D20" w14:textId="68890022" w:rsidR="00F730A4" w:rsidRPr="006F5D9C" w:rsidRDefault="009F4212" w:rsidP="006F5D9C">
      <w:pPr>
        <w:spacing w:line="360" w:lineRule="auto"/>
        <w:rPr>
          <w:rFonts w:ascii="Arial" w:hAnsi="Arial" w:cs="Arial"/>
          <w:sz w:val="22"/>
          <w:szCs w:val="22"/>
        </w:rPr>
      </w:pPr>
      <w:r w:rsidRPr="006F5D9C">
        <w:rPr>
          <w:rFonts w:ascii="Arial" w:hAnsi="Arial" w:cs="Arial"/>
          <w:sz w:val="22"/>
          <w:szCs w:val="22"/>
        </w:rPr>
        <w:t xml:space="preserve">Hopkins et al., 2026 exposed primary HBECs to 0.005, 0.08, 2 and 24 </w:t>
      </w:r>
      <w:r w:rsidR="00E121F7" w:rsidRPr="006F5D9C">
        <w:rPr>
          <w:rFonts w:ascii="Arial" w:hAnsi="Arial" w:cs="Arial"/>
          <w:sz w:val="22"/>
          <w:szCs w:val="22"/>
        </w:rPr>
        <w:t>µ</w:t>
      </w:r>
      <w:r w:rsidRPr="006F5D9C">
        <w:rPr>
          <w:rFonts w:ascii="Arial" w:hAnsi="Arial" w:cs="Arial"/>
          <w:sz w:val="22"/>
          <w:szCs w:val="22"/>
        </w:rPr>
        <w:t>g/cm</w:t>
      </w:r>
      <w:r w:rsidRPr="00082FEE">
        <w:rPr>
          <w:rFonts w:ascii="Arial" w:hAnsi="Arial" w:cs="Arial"/>
          <w:sz w:val="22"/>
          <w:szCs w:val="22"/>
          <w:vertAlign w:val="superscript"/>
        </w:rPr>
        <w:t>2</w:t>
      </w:r>
      <w:r w:rsidRPr="006F5D9C">
        <w:rPr>
          <w:rFonts w:ascii="Arial" w:hAnsi="Arial" w:cs="Arial"/>
          <w:sz w:val="22"/>
          <w:szCs w:val="22"/>
        </w:rPr>
        <w:t xml:space="preserve"> protease enzyme allergen. Browne et al., 2026 exposed Calu-3 cells (lung adenocarcinoma cell line) to nebulised Can f 1 (dog allergen), active Der p 1 and inactive Der p 1 (HDM allergens). All conditions were executed in triplicate</w:t>
      </w:r>
      <w:r w:rsidR="00E121F7" w:rsidRPr="006F5D9C">
        <w:rPr>
          <w:rFonts w:ascii="Arial" w:hAnsi="Arial" w:cs="Arial"/>
          <w:sz w:val="22"/>
          <w:szCs w:val="22"/>
        </w:rPr>
        <w:t xml:space="preserve">. </w:t>
      </w:r>
    </w:p>
    <w:p w14:paraId="16AED35B" w14:textId="77777777" w:rsidR="001D63A9" w:rsidRPr="006F5D9C" w:rsidRDefault="001D63A9" w:rsidP="006F5D9C">
      <w:pPr>
        <w:spacing w:line="360" w:lineRule="auto"/>
        <w:rPr>
          <w:rFonts w:ascii="Arial" w:hAnsi="Arial" w:cs="Arial"/>
          <w:sz w:val="22"/>
          <w:szCs w:val="22"/>
        </w:rPr>
      </w:pPr>
    </w:p>
    <w:p w14:paraId="52DA7CC8" w14:textId="77777777" w:rsidR="009F4212" w:rsidRPr="006F5D9C" w:rsidRDefault="009F4212" w:rsidP="006F5D9C">
      <w:pPr>
        <w:spacing w:line="360" w:lineRule="auto"/>
        <w:rPr>
          <w:rFonts w:ascii="Arial" w:hAnsi="Arial" w:cs="Arial"/>
          <w:sz w:val="22"/>
          <w:szCs w:val="22"/>
        </w:rPr>
      </w:pPr>
      <w:r w:rsidRPr="006F5D9C">
        <w:rPr>
          <w:rFonts w:ascii="Arial" w:hAnsi="Arial" w:cs="Arial"/>
          <w:b/>
          <w:bCs/>
          <w:sz w:val="22"/>
          <w:szCs w:val="22"/>
        </w:rPr>
        <w:t>Preprocessing</w:t>
      </w:r>
      <w:r w:rsidRPr="006F5D9C">
        <w:rPr>
          <w:rFonts w:ascii="Arial" w:hAnsi="Arial" w:cs="Arial"/>
          <w:sz w:val="22"/>
          <w:szCs w:val="22"/>
        </w:rPr>
        <w:t xml:space="preserve"> </w:t>
      </w:r>
    </w:p>
    <w:p w14:paraId="22F1E6E4" w14:textId="5DC7D601" w:rsidR="009F4212" w:rsidRPr="006F5D9C" w:rsidRDefault="009F4212" w:rsidP="006F5D9C">
      <w:pPr>
        <w:spacing w:line="360" w:lineRule="auto"/>
        <w:rPr>
          <w:rFonts w:ascii="Arial" w:hAnsi="Arial" w:cs="Arial"/>
          <w:sz w:val="22"/>
          <w:szCs w:val="22"/>
        </w:rPr>
      </w:pPr>
      <w:r w:rsidRPr="006F5D9C">
        <w:rPr>
          <w:rFonts w:ascii="Arial" w:hAnsi="Arial" w:cs="Arial"/>
          <w:sz w:val="22"/>
          <w:szCs w:val="22"/>
        </w:rPr>
        <w:t xml:space="preserve">Raw sequencing reads were trimmed using </w:t>
      </w:r>
      <w:proofErr w:type="spellStart"/>
      <w:r w:rsidRPr="006F5D9C">
        <w:rPr>
          <w:rFonts w:ascii="Arial" w:hAnsi="Arial" w:cs="Arial"/>
          <w:sz w:val="22"/>
          <w:szCs w:val="22"/>
        </w:rPr>
        <w:t>Cutadapt</w:t>
      </w:r>
      <w:proofErr w:type="spellEnd"/>
      <w:r w:rsidRPr="006F5D9C">
        <w:rPr>
          <w:rFonts w:ascii="Arial" w:hAnsi="Arial" w:cs="Arial"/>
          <w:sz w:val="22"/>
          <w:szCs w:val="22"/>
        </w:rPr>
        <w:t xml:space="preserve"> </w:t>
      </w:r>
      <w:r w:rsidR="00E121F7" w:rsidRPr="006F5D9C">
        <w:rPr>
          <w:rFonts w:ascii="Arial" w:hAnsi="Arial" w:cs="Arial"/>
          <w:sz w:val="22"/>
          <w:szCs w:val="22"/>
        </w:rPr>
        <w:t>(v5.2)</w:t>
      </w:r>
      <w:r w:rsidRPr="006F5D9C">
        <w:rPr>
          <w:rFonts w:ascii="Arial" w:hAnsi="Arial" w:cs="Arial"/>
          <w:sz w:val="22"/>
          <w:szCs w:val="22"/>
        </w:rPr>
        <w:t>, targeting the Realseq3P adapter (TGGAATTCTC). Only reads measuring 18-30</w:t>
      </w:r>
      <w:r w:rsidR="00180574">
        <w:rPr>
          <w:rFonts w:ascii="Arial" w:hAnsi="Arial" w:cs="Arial"/>
          <w:sz w:val="22"/>
          <w:szCs w:val="22"/>
        </w:rPr>
        <w:t xml:space="preserve"> </w:t>
      </w:r>
      <w:proofErr w:type="spellStart"/>
      <w:r w:rsidR="005C267B">
        <w:rPr>
          <w:rFonts w:ascii="Arial" w:hAnsi="Arial" w:cs="Arial"/>
          <w:sz w:val="22"/>
          <w:szCs w:val="22"/>
        </w:rPr>
        <w:t>nt</w:t>
      </w:r>
      <w:proofErr w:type="spellEnd"/>
      <w:r w:rsidRPr="006F5D9C">
        <w:rPr>
          <w:rFonts w:ascii="Arial" w:hAnsi="Arial" w:cs="Arial"/>
          <w:sz w:val="22"/>
          <w:szCs w:val="22"/>
        </w:rPr>
        <w:t xml:space="preserve"> and quality &gt;30 (Phred) </w:t>
      </w:r>
      <w:proofErr w:type="gramStart"/>
      <w:r w:rsidRPr="006F5D9C">
        <w:rPr>
          <w:rFonts w:ascii="Arial" w:hAnsi="Arial" w:cs="Arial"/>
          <w:sz w:val="22"/>
          <w:szCs w:val="22"/>
        </w:rPr>
        <w:t>were</w:t>
      </w:r>
      <w:proofErr w:type="gramEnd"/>
      <w:r w:rsidRPr="006F5D9C">
        <w:rPr>
          <w:rFonts w:ascii="Arial" w:hAnsi="Arial" w:cs="Arial"/>
          <w:sz w:val="22"/>
          <w:szCs w:val="22"/>
        </w:rPr>
        <w:t xml:space="preserve"> retained; the first base of each read was unconditionally removed and reads without an adapter detected were discarded. Quality control was performed using </w:t>
      </w:r>
      <w:proofErr w:type="spellStart"/>
      <w:r w:rsidRPr="006F5D9C">
        <w:rPr>
          <w:rFonts w:ascii="Arial" w:hAnsi="Arial" w:cs="Arial"/>
          <w:sz w:val="22"/>
          <w:szCs w:val="22"/>
        </w:rPr>
        <w:t>FastQC</w:t>
      </w:r>
      <w:proofErr w:type="spellEnd"/>
      <w:r w:rsidRPr="006F5D9C">
        <w:rPr>
          <w:rFonts w:ascii="Arial" w:hAnsi="Arial" w:cs="Arial"/>
          <w:sz w:val="22"/>
          <w:szCs w:val="22"/>
        </w:rPr>
        <w:t xml:space="preserve"> </w:t>
      </w:r>
      <w:r w:rsidR="00E121F7" w:rsidRPr="006F5D9C">
        <w:rPr>
          <w:rFonts w:ascii="Arial" w:hAnsi="Arial" w:cs="Arial"/>
          <w:sz w:val="22"/>
          <w:szCs w:val="22"/>
        </w:rPr>
        <w:t>(v0.12.1)</w:t>
      </w:r>
      <w:r w:rsidRPr="006F5D9C">
        <w:rPr>
          <w:rFonts w:ascii="Arial" w:hAnsi="Arial" w:cs="Arial"/>
          <w:sz w:val="22"/>
          <w:szCs w:val="22"/>
        </w:rPr>
        <w:t xml:space="preserve"> and </w:t>
      </w:r>
      <w:proofErr w:type="spellStart"/>
      <w:r w:rsidRPr="006F5D9C">
        <w:rPr>
          <w:rFonts w:ascii="Arial" w:hAnsi="Arial" w:cs="Arial"/>
          <w:sz w:val="22"/>
          <w:szCs w:val="22"/>
        </w:rPr>
        <w:t>miRTrace</w:t>
      </w:r>
      <w:proofErr w:type="spellEnd"/>
      <w:r w:rsidRPr="006F5D9C">
        <w:rPr>
          <w:rFonts w:ascii="Arial" w:hAnsi="Arial" w:cs="Arial"/>
          <w:sz w:val="22"/>
          <w:szCs w:val="22"/>
        </w:rPr>
        <w:t xml:space="preserve"> </w:t>
      </w:r>
      <w:r w:rsidR="00E121F7" w:rsidRPr="006F5D9C">
        <w:rPr>
          <w:rFonts w:ascii="Arial" w:hAnsi="Arial" w:cs="Arial"/>
          <w:sz w:val="22"/>
          <w:szCs w:val="22"/>
        </w:rPr>
        <w:t>(v1.0.1)</w:t>
      </w:r>
      <w:r w:rsidRPr="006F5D9C">
        <w:rPr>
          <w:rFonts w:ascii="Arial" w:hAnsi="Arial" w:cs="Arial"/>
          <w:sz w:val="22"/>
          <w:szCs w:val="22"/>
        </w:rPr>
        <w:t xml:space="preserve"> and reported with </w:t>
      </w:r>
      <w:proofErr w:type="spellStart"/>
      <w:r w:rsidRPr="006F5D9C">
        <w:rPr>
          <w:rFonts w:ascii="Arial" w:hAnsi="Arial" w:cs="Arial"/>
          <w:sz w:val="22"/>
          <w:szCs w:val="22"/>
        </w:rPr>
        <w:t>MultiQC</w:t>
      </w:r>
      <w:proofErr w:type="spellEnd"/>
      <w:r w:rsidRPr="006F5D9C">
        <w:rPr>
          <w:rFonts w:ascii="Arial" w:hAnsi="Arial" w:cs="Arial"/>
          <w:sz w:val="22"/>
          <w:szCs w:val="22"/>
        </w:rPr>
        <w:t xml:space="preserve"> </w:t>
      </w:r>
      <w:r w:rsidR="00E121F7" w:rsidRPr="006F5D9C">
        <w:rPr>
          <w:rFonts w:ascii="Arial" w:hAnsi="Arial" w:cs="Arial"/>
          <w:sz w:val="22"/>
          <w:szCs w:val="22"/>
        </w:rPr>
        <w:t>(v1.34)</w:t>
      </w:r>
      <w:r w:rsidRPr="006F5D9C">
        <w:rPr>
          <w:rFonts w:ascii="Arial" w:hAnsi="Arial" w:cs="Arial"/>
          <w:sz w:val="22"/>
          <w:szCs w:val="22"/>
        </w:rPr>
        <w:t>.</w:t>
      </w:r>
    </w:p>
    <w:p w14:paraId="30533191" w14:textId="77777777" w:rsidR="009F4212" w:rsidRPr="006F5D9C" w:rsidRDefault="009F4212" w:rsidP="006F5D9C">
      <w:pPr>
        <w:spacing w:line="360" w:lineRule="auto"/>
        <w:rPr>
          <w:rFonts w:ascii="Arial" w:hAnsi="Arial" w:cs="Arial"/>
          <w:sz w:val="22"/>
          <w:szCs w:val="22"/>
        </w:rPr>
      </w:pPr>
    </w:p>
    <w:p w14:paraId="735952E5" w14:textId="51094F6A" w:rsidR="009F4212" w:rsidRPr="006F5D9C" w:rsidRDefault="009F4212" w:rsidP="006F5D9C">
      <w:pPr>
        <w:spacing w:line="360" w:lineRule="auto"/>
        <w:rPr>
          <w:rFonts w:ascii="Arial" w:hAnsi="Arial" w:cs="Arial"/>
          <w:b/>
          <w:bCs/>
          <w:sz w:val="22"/>
          <w:szCs w:val="22"/>
        </w:rPr>
      </w:pPr>
      <w:r w:rsidRPr="006F5D9C">
        <w:rPr>
          <w:rFonts w:ascii="Arial" w:hAnsi="Arial" w:cs="Arial"/>
          <w:b/>
          <w:bCs/>
          <w:sz w:val="22"/>
          <w:szCs w:val="22"/>
        </w:rPr>
        <w:t>Mapping and quantification</w:t>
      </w:r>
    </w:p>
    <w:p w14:paraId="0401784F" w14:textId="6173C679" w:rsidR="009F4212" w:rsidRPr="006F5D9C" w:rsidRDefault="009F4212" w:rsidP="006F5D9C">
      <w:pPr>
        <w:spacing w:line="360" w:lineRule="auto"/>
        <w:rPr>
          <w:rFonts w:ascii="Arial" w:hAnsi="Arial" w:cs="Arial"/>
          <w:sz w:val="22"/>
          <w:szCs w:val="22"/>
        </w:rPr>
      </w:pPr>
      <w:r w:rsidRPr="006F5D9C">
        <w:rPr>
          <w:rFonts w:ascii="Arial" w:hAnsi="Arial" w:cs="Arial"/>
          <w:sz w:val="22"/>
          <w:szCs w:val="22"/>
        </w:rPr>
        <w:t xml:space="preserve">Reads were collapsed using the miRDeep2 </w:t>
      </w:r>
      <w:r w:rsidR="00E121F7" w:rsidRPr="006F5D9C">
        <w:rPr>
          <w:rFonts w:ascii="Arial" w:hAnsi="Arial" w:cs="Arial"/>
          <w:sz w:val="22"/>
          <w:szCs w:val="22"/>
        </w:rPr>
        <w:t>(v2.0.1.3)</w:t>
      </w:r>
      <w:r w:rsidRPr="006F5D9C">
        <w:rPr>
          <w:rFonts w:ascii="Arial" w:hAnsi="Arial" w:cs="Arial"/>
          <w:sz w:val="22"/>
          <w:szCs w:val="22"/>
        </w:rPr>
        <w:t xml:space="preserve"> mapper.pl script then mapped to mature and hairpin references (</w:t>
      </w:r>
      <w:proofErr w:type="spellStart"/>
      <w:r w:rsidRPr="006F5D9C">
        <w:rPr>
          <w:rFonts w:ascii="Arial" w:hAnsi="Arial" w:cs="Arial"/>
          <w:sz w:val="22"/>
          <w:szCs w:val="22"/>
        </w:rPr>
        <w:t>miRBase</w:t>
      </w:r>
      <w:proofErr w:type="spellEnd"/>
      <w:r w:rsidRPr="006F5D9C">
        <w:rPr>
          <w:rFonts w:ascii="Arial" w:hAnsi="Arial" w:cs="Arial"/>
          <w:sz w:val="22"/>
          <w:szCs w:val="22"/>
        </w:rPr>
        <w:t xml:space="preserve"> </w:t>
      </w:r>
      <w:r w:rsidR="00543DBF" w:rsidRPr="006F5D9C">
        <w:rPr>
          <w:rFonts w:ascii="Arial" w:hAnsi="Arial" w:cs="Arial"/>
          <w:sz w:val="22"/>
          <w:szCs w:val="22"/>
        </w:rPr>
        <w:t>v22.1</w:t>
      </w:r>
      <w:r w:rsidRPr="006F5D9C">
        <w:rPr>
          <w:rFonts w:ascii="Arial" w:hAnsi="Arial" w:cs="Arial"/>
          <w:sz w:val="22"/>
          <w:szCs w:val="22"/>
        </w:rPr>
        <w:t>) and quantified using quantifier.pl, allowing for 1 mismatch.</w:t>
      </w:r>
    </w:p>
    <w:p w14:paraId="5C6F478A" w14:textId="77777777" w:rsidR="009F4212" w:rsidRPr="006F5D9C" w:rsidRDefault="009F4212" w:rsidP="006F5D9C">
      <w:pPr>
        <w:spacing w:line="360" w:lineRule="auto"/>
        <w:rPr>
          <w:rFonts w:ascii="Arial" w:hAnsi="Arial" w:cs="Arial"/>
          <w:sz w:val="22"/>
          <w:szCs w:val="22"/>
        </w:rPr>
      </w:pPr>
    </w:p>
    <w:p w14:paraId="5E63D127" w14:textId="69553D8C" w:rsidR="009F4212" w:rsidRPr="006F5D9C" w:rsidRDefault="009F4212" w:rsidP="006F5D9C">
      <w:pPr>
        <w:spacing w:line="360" w:lineRule="auto"/>
        <w:rPr>
          <w:rFonts w:ascii="Arial" w:hAnsi="Arial" w:cs="Arial"/>
          <w:b/>
          <w:bCs/>
          <w:sz w:val="22"/>
          <w:szCs w:val="22"/>
        </w:rPr>
      </w:pPr>
      <w:r w:rsidRPr="006F5D9C">
        <w:rPr>
          <w:rFonts w:ascii="Arial" w:hAnsi="Arial" w:cs="Arial"/>
          <w:b/>
          <w:bCs/>
          <w:sz w:val="22"/>
          <w:szCs w:val="22"/>
        </w:rPr>
        <w:t>Differential expression analysis</w:t>
      </w:r>
    </w:p>
    <w:p w14:paraId="306F6AF5" w14:textId="32E354DB" w:rsidR="009F4212" w:rsidRPr="006F5D9C" w:rsidRDefault="009F4212" w:rsidP="006F5D9C">
      <w:pPr>
        <w:spacing w:line="360" w:lineRule="auto"/>
        <w:rPr>
          <w:rFonts w:ascii="Arial" w:hAnsi="Arial" w:cs="Arial"/>
          <w:sz w:val="22"/>
          <w:szCs w:val="22"/>
        </w:rPr>
      </w:pPr>
      <w:r w:rsidRPr="006F5D9C">
        <w:rPr>
          <w:rFonts w:ascii="Arial" w:hAnsi="Arial" w:cs="Arial"/>
          <w:sz w:val="22"/>
          <w:szCs w:val="22"/>
        </w:rPr>
        <w:lastRenderedPageBreak/>
        <w:t xml:space="preserve">DE analysis was performed using </w:t>
      </w:r>
      <w:proofErr w:type="spellStart"/>
      <w:r w:rsidRPr="006F5D9C">
        <w:rPr>
          <w:rFonts w:ascii="Arial" w:hAnsi="Arial" w:cs="Arial"/>
          <w:sz w:val="22"/>
          <w:szCs w:val="22"/>
        </w:rPr>
        <w:t>edgeR</w:t>
      </w:r>
      <w:proofErr w:type="spellEnd"/>
      <w:r w:rsidRPr="006F5D9C">
        <w:rPr>
          <w:rFonts w:ascii="Arial" w:hAnsi="Arial" w:cs="Arial"/>
          <w:sz w:val="22"/>
          <w:szCs w:val="22"/>
        </w:rPr>
        <w:t xml:space="preserve"> </w:t>
      </w:r>
      <w:r w:rsidR="00E121F7" w:rsidRPr="006F5D9C">
        <w:rPr>
          <w:rFonts w:ascii="Arial" w:hAnsi="Arial" w:cs="Arial"/>
          <w:sz w:val="22"/>
          <w:szCs w:val="22"/>
        </w:rPr>
        <w:t>(v4.8.2)</w:t>
      </w:r>
      <w:r w:rsidRPr="006F5D9C">
        <w:rPr>
          <w:rFonts w:ascii="Arial" w:hAnsi="Arial" w:cs="Arial"/>
          <w:sz w:val="22"/>
          <w:szCs w:val="22"/>
        </w:rPr>
        <w:t>. Lowly expressed miRNAs were excluded using the default filtering provided by the package. Normalisation was performed using the trimmed mean of M-values normalisation and dispersion estimated using the negative binomial dispersion by weighted likelihood empirical Bayes. DE miRNAs were obtained from pairwise contrasts (treated versus untreated) using the quasi-likelihood F-test. False discovery rate (FDR) was controlled using the Benjamini-Hochberg (BH) multiple testing correction method. DE miRNAs were classified as significant based on a cut</w:t>
      </w:r>
      <w:r w:rsidR="00180574">
        <w:rPr>
          <w:rFonts w:ascii="Arial" w:hAnsi="Arial" w:cs="Arial"/>
          <w:sz w:val="22"/>
          <w:szCs w:val="22"/>
        </w:rPr>
        <w:t>-</w:t>
      </w:r>
      <w:r w:rsidRPr="006F5D9C">
        <w:rPr>
          <w:rFonts w:ascii="Arial" w:hAnsi="Arial" w:cs="Arial"/>
          <w:sz w:val="22"/>
          <w:szCs w:val="22"/>
        </w:rPr>
        <w:t>off of log 1-fold-change and FDR &lt; 0.05. An exploratory cut</w:t>
      </w:r>
      <w:r w:rsidR="00180574">
        <w:rPr>
          <w:rFonts w:ascii="Arial" w:hAnsi="Arial" w:cs="Arial"/>
          <w:sz w:val="22"/>
          <w:szCs w:val="22"/>
        </w:rPr>
        <w:t>-</w:t>
      </w:r>
      <w:r w:rsidRPr="006F5D9C">
        <w:rPr>
          <w:rFonts w:ascii="Arial" w:hAnsi="Arial" w:cs="Arial"/>
          <w:sz w:val="22"/>
          <w:szCs w:val="22"/>
        </w:rPr>
        <w:t>off was set at FDR &lt; 0.2 if few DE miRNAs were initially detected.</w:t>
      </w:r>
    </w:p>
    <w:p w14:paraId="2672D244" w14:textId="77777777" w:rsidR="009F4212" w:rsidRPr="006F5D9C" w:rsidRDefault="009F4212" w:rsidP="006F5D9C">
      <w:pPr>
        <w:spacing w:line="360" w:lineRule="auto"/>
        <w:rPr>
          <w:rFonts w:ascii="Arial" w:hAnsi="Arial" w:cs="Arial"/>
          <w:sz w:val="22"/>
          <w:szCs w:val="22"/>
        </w:rPr>
      </w:pPr>
    </w:p>
    <w:p w14:paraId="51461130" w14:textId="195EE15B" w:rsidR="009F4212" w:rsidRPr="006F5D9C" w:rsidRDefault="009F4212" w:rsidP="006F5D9C">
      <w:pPr>
        <w:spacing w:line="360" w:lineRule="auto"/>
        <w:rPr>
          <w:rFonts w:ascii="Arial" w:hAnsi="Arial" w:cs="Arial"/>
          <w:b/>
          <w:bCs/>
          <w:sz w:val="22"/>
          <w:szCs w:val="22"/>
        </w:rPr>
      </w:pPr>
      <w:r w:rsidRPr="006F5D9C">
        <w:rPr>
          <w:rFonts w:ascii="Arial" w:hAnsi="Arial" w:cs="Arial"/>
          <w:b/>
          <w:bCs/>
          <w:sz w:val="22"/>
          <w:szCs w:val="22"/>
        </w:rPr>
        <w:t>Pathway enrichment analysis (method development)</w:t>
      </w:r>
    </w:p>
    <w:p w14:paraId="6BD1BB38" w14:textId="58DB556E" w:rsidR="009F4212" w:rsidRPr="006F5D9C" w:rsidRDefault="009F4212" w:rsidP="006F5D9C">
      <w:pPr>
        <w:spacing w:line="360" w:lineRule="auto"/>
        <w:rPr>
          <w:rFonts w:ascii="Arial" w:hAnsi="Arial" w:cs="Arial"/>
          <w:sz w:val="22"/>
          <w:szCs w:val="22"/>
        </w:rPr>
      </w:pPr>
      <w:r w:rsidRPr="006F5D9C">
        <w:rPr>
          <w:rFonts w:ascii="Arial" w:hAnsi="Arial" w:cs="Arial"/>
          <w:sz w:val="22"/>
          <w:szCs w:val="22"/>
        </w:rPr>
        <w:t>Multiple automated pathway enrichment analysis techniques were explored as part of a method development phase intended to determine the optimal technique for use on the novel dataset acquired from Calu-3 cells (Supp</w:t>
      </w:r>
      <w:r w:rsidR="006F0B33" w:rsidRPr="006F5D9C">
        <w:rPr>
          <w:rFonts w:ascii="Arial" w:hAnsi="Arial" w:cs="Arial"/>
          <w:sz w:val="22"/>
          <w:szCs w:val="22"/>
        </w:rPr>
        <w:t>lementary</w:t>
      </w:r>
      <w:r w:rsidRPr="006F5D9C">
        <w:rPr>
          <w:rFonts w:ascii="Arial" w:hAnsi="Arial" w:cs="Arial"/>
          <w:sz w:val="22"/>
          <w:szCs w:val="22"/>
        </w:rPr>
        <w:t xml:space="preserve"> Table </w:t>
      </w:r>
      <w:r w:rsidR="006F0B33" w:rsidRPr="006F5D9C">
        <w:rPr>
          <w:rFonts w:ascii="Arial" w:hAnsi="Arial" w:cs="Arial"/>
          <w:sz w:val="22"/>
          <w:szCs w:val="22"/>
        </w:rPr>
        <w:t>1</w:t>
      </w:r>
      <w:r w:rsidRPr="006F5D9C">
        <w:rPr>
          <w:rFonts w:ascii="Arial" w:hAnsi="Arial" w:cs="Arial"/>
          <w:sz w:val="22"/>
          <w:szCs w:val="22"/>
        </w:rPr>
        <w:t xml:space="preserve">). DE miRNAs identified in the 24 </w:t>
      </w:r>
      <w:proofErr w:type="spellStart"/>
      <w:r w:rsidRPr="006F5D9C">
        <w:rPr>
          <w:rFonts w:ascii="Arial" w:hAnsi="Arial" w:cs="Arial"/>
          <w:sz w:val="22"/>
          <w:szCs w:val="22"/>
        </w:rPr>
        <w:t>μg</w:t>
      </w:r>
      <w:proofErr w:type="spellEnd"/>
      <w:r w:rsidRPr="006F5D9C">
        <w:rPr>
          <w:rFonts w:ascii="Arial" w:hAnsi="Arial" w:cs="Arial"/>
          <w:sz w:val="22"/>
          <w:szCs w:val="22"/>
        </w:rPr>
        <w:t>/cm² protease-treated primary HBEC group were used to test one free-of-charge target gene-level and miRNA-level enrichment tool. Significantly enriched pathways were then compared to pathway results obtained from one monetised pathway analysis service provider.</w:t>
      </w:r>
    </w:p>
    <w:p w14:paraId="3EF93D9C" w14:textId="77777777" w:rsidR="009F4212" w:rsidRPr="006F5D9C" w:rsidRDefault="009F4212" w:rsidP="006F5D9C">
      <w:pPr>
        <w:spacing w:line="360" w:lineRule="auto"/>
        <w:rPr>
          <w:rFonts w:ascii="Arial" w:hAnsi="Arial" w:cs="Arial"/>
          <w:sz w:val="22"/>
          <w:szCs w:val="22"/>
        </w:rPr>
      </w:pPr>
    </w:p>
    <w:p w14:paraId="353B4D3E" w14:textId="791F2B76" w:rsidR="009F4212" w:rsidRPr="006F5D9C" w:rsidRDefault="009F4212" w:rsidP="006F5D9C">
      <w:pPr>
        <w:spacing w:line="360" w:lineRule="auto"/>
        <w:rPr>
          <w:rFonts w:ascii="Arial" w:hAnsi="Arial" w:cs="Arial"/>
          <w:b/>
          <w:bCs/>
          <w:sz w:val="22"/>
          <w:szCs w:val="22"/>
        </w:rPr>
      </w:pPr>
      <w:r w:rsidRPr="006F5D9C">
        <w:rPr>
          <w:rFonts w:ascii="Arial" w:hAnsi="Arial" w:cs="Arial"/>
          <w:b/>
          <w:bCs/>
          <w:sz w:val="22"/>
          <w:szCs w:val="22"/>
        </w:rPr>
        <w:t>Target gene-level enrichment</w:t>
      </w:r>
    </w:p>
    <w:p w14:paraId="4C6C039C" w14:textId="1FA65A8B" w:rsidR="009F4212" w:rsidRPr="006F5D9C" w:rsidRDefault="009F4212" w:rsidP="006F5D9C">
      <w:pPr>
        <w:spacing w:line="360" w:lineRule="auto"/>
        <w:rPr>
          <w:rFonts w:ascii="Arial" w:hAnsi="Arial" w:cs="Arial"/>
          <w:sz w:val="22"/>
          <w:szCs w:val="22"/>
        </w:rPr>
      </w:pPr>
      <w:r w:rsidRPr="006F5D9C">
        <w:rPr>
          <w:rFonts w:ascii="Arial" w:hAnsi="Arial" w:cs="Arial"/>
          <w:sz w:val="22"/>
          <w:szCs w:val="22"/>
        </w:rPr>
        <w:t xml:space="preserve">Experimentally validated target genes of significantly DE miRNAs were identified using </w:t>
      </w:r>
      <w:proofErr w:type="spellStart"/>
      <w:r w:rsidRPr="006F5D9C">
        <w:rPr>
          <w:rFonts w:ascii="Arial" w:hAnsi="Arial" w:cs="Arial"/>
          <w:sz w:val="22"/>
          <w:szCs w:val="22"/>
        </w:rPr>
        <w:t>multiMiR</w:t>
      </w:r>
      <w:proofErr w:type="spellEnd"/>
      <w:r w:rsidRPr="006F5D9C">
        <w:rPr>
          <w:rFonts w:ascii="Arial" w:hAnsi="Arial" w:cs="Arial"/>
          <w:sz w:val="22"/>
          <w:szCs w:val="22"/>
        </w:rPr>
        <w:t xml:space="preserve"> </w:t>
      </w:r>
      <w:r w:rsidR="00543DBF" w:rsidRPr="006F5D9C">
        <w:rPr>
          <w:rFonts w:ascii="Arial" w:hAnsi="Arial" w:cs="Arial"/>
          <w:sz w:val="22"/>
          <w:szCs w:val="22"/>
        </w:rPr>
        <w:t>(v1.34.0)</w:t>
      </w:r>
      <w:r w:rsidRPr="006F5D9C">
        <w:rPr>
          <w:rFonts w:ascii="Arial" w:hAnsi="Arial" w:cs="Arial"/>
          <w:sz w:val="22"/>
          <w:szCs w:val="22"/>
        </w:rPr>
        <w:t xml:space="preserve"> R package by querying </w:t>
      </w:r>
      <w:proofErr w:type="spellStart"/>
      <w:r w:rsidRPr="006F5D9C">
        <w:rPr>
          <w:rFonts w:ascii="Arial" w:hAnsi="Arial" w:cs="Arial"/>
          <w:sz w:val="22"/>
          <w:szCs w:val="22"/>
        </w:rPr>
        <w:t>miRTarBase</w:t>
      </w:r>
      <w:proofErr w:type="spellEnd"/>
      <w:r w:rsidRPr="006F5D9C">
        <w:rPr>
          <w:rFonts w:ascii="Arial" w:hAnsi="Arial" w:cs="Arial"/>
          <w:sz w:val="22"/>
          <w:szCs w:val="22"/>
        </w:rPr>
        <w:t xml:space="preserve"> </w:t>
      </w:r>
      <w:r w:rsidR="00543DBF" w:rsidRPr="006F5D9C">
        <w:rPr>
          <w:rFonts w:ascii="Arial" w:hAnsi="Arial" w:cs="Arial"/>
          <w:sz w:val="22"/>
          <w:szCs w:val="22"/>
        </w:rPr>
        <w:t>(v9)</w:t>
      </w:r>
      <w:r w:rsidRPr="006F5D9C">
        <w:rPr>
          <w:rFonts w:ascii="Arial" w:hAnsi="Arial" w:cs="Arial"/>
          <w:sz w:val="22"/>
          <w:szCs w:val="22"/>
        </w:rPr>
        <w:t xml:space="preserve">. Pathway enrichment analysis of the target genes was performed using the </w:t>
      </w:r>
      <w:proofErr w:type="spellStart"/>
      <w:proofErr w:type="gramStart"/>
      <w:r w:rsidRPr="006F5D9C">
        <w:rPr>
          <w:rFonts w:ascii="Arial" w:hAnsi="Arial" w:cs="Arial"/>
          <w:sz w:val="22"/>
          <w:szCs w:val="22"/>
        </w:rPr>
        <w:t>enrichPathway</w:t>
      </w:r>
      <w:proofErr w:type="spellEnd"/>
      <w:r w:rsidRPr="006F5D9C">
        <w:rPr>
          <w:rFonts w:ascii="Arial" w:hAnsi="Arial" w:cs="Arial"/>
          <w:sz w:val="22"/>
          <w:szCs w:val="22"/>
        </w:rPr>
        <w:t>(</w:t>
      </w:r>
      <w:proofErr w:type="gramEnd"/>
      <w:r w:rsidRPr="006F5D9C">
        <w:rPr>
          <w:rFonts w:ascii="Arial" w:hAnsi="Arial" w:cs="Arial"/>
          <w:sz w:val="22"/>
          <w:szCs w:val="22"/>
        </w:rPr>
        <w:t xml:space="preserve">) function from the </w:t>
      </w:r>
      <w:proofErr w:type="spellStart"/>
      <w:r w:rsidRPr="006F5D9C">
        <w:rPr>
          <w:rFonts w:ascii="Arial" w:hAnsi="Arial" w:cs="Arial"/>
          <w:sz w:val="22"/>
          <w:szCs w:val="22"/>
        </w:rPr>
        <w:t>ReactomePA</w:t>
      </w:r>
      <w:proofErr w:type="spellEnd"/>
      <w:r w:rsidRPr="006F5D9C">
        <w:rPr>
          <w:rFonts w:ascii="Arial" w:hAnsi="Arial" w:cs="Arial"/>
          <w:sz w:val="22"/>
          <w:szCs w:val="22"/>
        </w:rPr>
        <w:t xml:space="preserve"> </w:t>
      </w:r>
      <w:r w:rsidR="00543DBF" w:rsidRPr="006F5D9C">
        <w:rPr>
          <w:rFonts w:ascii="Arial" w:hAnsi="Arial" w:cs="Arial"/>
          <w:sz w:val="22"/>
          <w:szCs w:val="22"/>
        </w:rPr>
        <w:t>(v1.56.0)</w:t>
      </w:r>
      <w:r w:rsidRPr="006F5D9C">
        <w:rPr>
          <w:rFonts w:ascii="Arial" w:hAnsi="Arial" w:cs="Arial"/>
          <w:sz w:val="22"/>
          <w:szCs w:val="22"/>
        </w:rPr>
        <w:t xml:space="preserve"> R package, which implements a hypergeometric over-representation test to identify </w:t>
      </w:r>
      <w:proofErr w:type="spellStart"/>
      <w:r w:rsidRPr="006F5D9C">
        <w:rPr>
          <w:rFonts w:ascii="Arial" w:hAnsi="Arial" w:cs="Arial"/>
          <w:sz w:val="22"/>
          <w:szCs w:val="22"/>
        </w:rPr>
        <w:t>Reactome</w:t>
      </w:r>
      <w:proofErr w:type="spellEnd"/>
      <w:r w:rsidRPr="006F5D9C">
        <w:rPr>
          <w:rFonts w:ascii="Arial" w:hAnsi="Arial" w:cs="Arial"/>
          <w:sz w:val="22"/>
          <w:szCs w:val="22"/>
        </w:rPr>
        <w:t xml:space="preserve"> pathways enriched among the target genes. The default background universe was used. The BH correction was applied to control the FDR. Only pathways containing 10-500 genes were tested; pathways with an adjusted P value &lt; 0.02 were considered significantly enriched.</w:t>
      </w:r>
    </w:p>
    <w:p w14:paraId="7E530B03" w14:textId="77777777" w:rsidR="009F4212" w:rsidRPr="006F5D9C" w:rsidRDefault="009F4212" w:rsidP="006F5D9C">
      <w:pPr>
        <w:spacing w:line="360" w:lineRule="auto"/>
        <w:rPr>
          <w:rFonts w:ascii="Arial" w:hAnsi="Arial" w:cs="Arial"/>
          <w:sz w:val="22"/>
          <w:szCs w:val="22"/>
        </w:rPr>
      </w:pPr>
    </w:p>
    <w:p w14:paraId="176FEB21" w14:textId="37EA9511" w:rsidR="009F4212" w:rsidRPr="006F5D9C" w:rsidRDefault="009F4212" w:rsidP="006F5D9C">
      <w:pPr>
        <w:spacing w:line="360" w:lineRule="auto"/>
        <w:rPr>
          <w:rFonts w:ascii="Arial" w:hAnsi="Arial" w:cs="Arial"/>
          <w:b/>
          <w:bCs/>
          <w:sz w:val="22"/>
          <w:szCs w:val="22"/>
        </w:rPr>
      </w:pPr>
      <w:r w:rsidRPr="006F5D9C">
        <w:rPr>
          <w:rFonts w:ascii="Arial" w:hAnsi="Arial" w:cs="Arial"/>
          <w:b/>
          <w:bCs/>
          <w:sz w:val="22"/>
          <w:szCs w:val="22"/>
        </w:rPr>
        <w:t>miRNA-level enrichment</w:t>
      </w:r>
    </w:p>
    <w:p w14:paraId="797432E1" w14:textId="108194A5" w:rsidR="009F4212" w:rsidRPr="006F5D9C" w:rsidRDefault="009F4212" w:rsidP="006F5D9C">
      <w:pPr>
        <w:spacing w:line="360" w:lineRule="auto"/>
        <w:rPr>
          <w:rFonts w:ascii="Arial" w:hAnsi="Arial" w:cs="Arial"/>
          <w:sz w:val="22"/>
          <w:szCs w:val="22"/>
        </w:rPr>
      </w:pPr>
      <w:r w:rsidRPr="006F5D9C">
        <w:rPr>
          <w:rFonts w:ascii="Arial" w:hAnsi="Arial" w:cs="Arial"/>
          <w:sz w:val="22"/>
          <w:szCs w:val="22"/>
        </w:rPr>
        <w:t xml:space="preserve">miRNA lists were generated in RStudio </w:t>
      </w:r>
      <w:r w:rsidR="00E121F7" w:rsidRPr="006F5D9C">
        <w:rPr>
          <w:rFonts w:ascii="Arial" w:hAnsi="Arial" w:cs="Arial"/>
          <w:sz w:val="22"/>
          <w:szCs w:val="22"/>
        </w:rPr>
        <w:t>(v4.6.0)</w:t>
      </w:r>
      <w:r w:rsidRPr="006F5D9C">
        <w:rPr>
          <w:rFonts w:ascii="Arial" w:hAnsi="Arial" w:cs="Arial"/>
          <w:sz w:val="22"/>
          <w:szCs w:val="22"/>
        </w:rPr>
        <w:t xml:space="preserve"> and submitted to </w:t>
      </w:r>
      <w:proofErr w:type="spellStart"/>
      <w:r w:rsidRPr="006F5D9C">
        <w:rPr>
          <w:rFonts w:ascii="Arial" w:hAnsi="Arial" w:cs="Arial"/>
          <w:sz w:val="22"/>
          <w:szCs w:val="22"/>
        </w:rPr>
        <w:t>miEAA</w:t>
      </w:r>
      <w:proofErr w:type="spellEnd"/>
      <w:r w:rsidRPr="006F5D9C">
        <w:rPr>
          <w:rFonts w:ascii="Arial" w:hAnsi="Arial" w:cs="Arial"/>
          <w:sz w:val="22"/>
          <w:szCs w:val="22"/>
        </w:rPr>
        <w:t xml:space="preserve"> </w:t>
      </w:r>
      <w:r w:rsidR="00E121F7" w:rsidRPr="006F5D9C">
        <w:rPr>
          <w:rFonts w:ascii="Arial" w:hAnsi="Arial" w:cs="Arial"/>
          <w:sz w:val="22"/>
          <w:szCs w:val="22"/>
        </w:rPr>
        <w:t>(v2.1</w:t>
      </w:r>
      <w:r w:rsidR="000B1E19">
        <w:rPr>
          <w:rFonts w:ascii="Arial" w:hAnsi="Arial" w:cs="Arial"/>
          <w:sz w:val="22"/>
          <w:szCs w:val="22"/>
        </w:rPr>
        <w:t>, accessed 10</w:t>
      </w:r>
      <w:r w:rsidR="000B1E19" w:rsidRPr="000B1E19">
        <w:rPr>
          <w:rFonts w:ascii="Arial" w:hAnsi="Arial" w:cs="Arial"/>
          <w:sz w:val="22"/>
          <w:szCs w:val="22"/>
          <w:vertAlign w:val="superscript"/>
        </w:rPr>
        <w:t>th</w:t>
      </w:r>
      <w:r w:rsidR="000B1E19">
        <w:rPr>
          <w:rFonts w:ascii="Arial" w:hAnsi="Arial" w:cs="Arial"/>
          <w:sz w:val="22"/>
          <w:szCs w:val="22"/>
        </w:rPr>
        <w:t xml:space="preserve"> July 2026</w:t>
      </w:r>
      <w:r w:rsidR="00E121F7" w:rsidRPr="006F5D9C">
        <w:rPr>
          <w:rFonts w:ascii="Arial" w:hAnsi="Arial" w:cs="Arial"/>
          <w:sz w:val="22"/>
          <w:szCs w:val="22"/>
        </w:rPr>
        <w:t>)</w:t>
      </w:r>
      <w:r w:rsidRPr="006F5D9C">
        <w:rPr>
          <w:rFonts w:ascii="Arial" w:hAnsi="Arial" w:cs="Arial"/>
          <w:sz w:val="22"/>
          <w:szCs w:val="22"/>
        </w:rPr>
        <w:t xml:space="preserve"> to identify enriched </w:t>
      </w:r>
      <w:proofErr w:type="spellStart"/>
      <w:r w:rsidRPr="006F5D9C">
        <w:rPr>
          <w:rFonts w:ascii="Arial" w:hAnsi="Arial" w:cs="Arial"/>
          <w:sz w:val="22"/>
          <w:szCs w:val="22"/>
        </w:rPr>
        <w:t>Reactome</w:t>
      </w:r>
      <w:proofErr w:type="spellEnd"/>
      <w:r w:rsidRPr="006F5D9C">
        <w:rPr>
          <w:rFonts w:ascii="Arial" w:hAnsi="Arial" w:cs="Arial"/>
          <w:sz w:val="22"/>
          <w:szCs w:val="22"/>
        </w:rPr>
        <w:t xml:space="preserve"> (</w:t>
      </w:r>
      <w:proofErr w:type="spellStart"/>
      <w:r w:rsidRPr="006F5D9C">
        <w:rPr>
          <w:rFonts w:ascii="Arial" w:hAnsi="Arial" w:cs="Arial"/>
          <w:sz w:val="22"/>
          <w:szCs w:val="22"/>
        </w:rPr>
        <w:t>miRPathDB</w:t>
      </w:r>
      <w:proofErr w:type="spellEnd"/>
      <w:r w:rsidRPr="006F5D9C">
        <w:rPr>
          <w:rFonts w:ascii="Arial" w:hAnsi="Arial" w:cs="Arial"/>
          <w:sz w:val="22"/>
          <w:szCs w:val="22"/>
        </w:rPr>
        <w:t xml:space="preserve">) pathways. For over-representation analysis (ORA), the test set comprised significantly upregulated or downregulated DE miRNAs, with all miRNAs detected in the experiment used as the background universe. To </w:t>
      </w:r>
      <w:r w:rsidRPr="006F5D9C">
        <w:rPr>
          <w:rFonts w:ascii="Arial" w:hAnsi="Arial" w:cs="Arial"/>
          <w:sz w:val="22"/>
          <w:szCs w:val="22"/>
        </w:rPr>
        <w:lastRenderedPageBreak/>
        <w:t>identify pathways enriched by coordinated, but not necessarily DE, miRNAs, miRNA-set enrichment analysis (miRNA-SEA) was performed using all detected miRNAs ranked by log fold change (</w:t>
      </w:r>
      <w:proofErr w:type="spellStart"/>
      <w:r w:rsidRPr="006F5D9C">
        <w:rPr>
          <w:rFonts w:ascii="Arial" w:hAnsi="Arial" w:cs="Arial"/>
          <w:sz w:val="22"/>
          <w:szCs w:val="22"/>
        </w:rPr>
        <w:t>logFC</w:t>
      </w:r>
      <w:proofErr w:type="spellEnd"/>
      <w:r w:rsidRPr="006F5D9C">
        <w:rPr>
          <w:rFonts w:ascii="Arial" w:hAnsi="Arial" w:cs="Arial"/>
          <w:sz w:val="22"/>
          <w:szCs w:val="22"/>
        </w:rPr>
        <w:t>). For both analyses, adjusted p-values were calculated using BH correction for FDR, and pathways with adjusted P value &lt; 0.05 were considered significantly enriched.</w:t>
      </w:r>
    </w:p>
    <w:p w14:paraId="499EEE46" w14:textId="77777777" w:rsidR="009F4212" w:rsidRPr="006F5D9C" w:rsidRDefault="009F4212" w:rsidP="006F5D9C">
      <w:pPr>
        <w:spacing w:line="360" w:lineRule="auto"/>
        <w:rPr>
          <w:rFonts w:ascii="Arial" w:hAnsi="Arial" w:cs="Arial"/>
          <w:sz w:val="22"/>
          <w:szCs w:val="22"/>
        </w:rPr>
      </w:pPr>
    </w:p>
    <w:p w14:paraId="446529EC" w14:textId="240D848B" w:rsidR="009F4212" w:rsidRPr="006F5D9C" w:rsidRDefault="009F4212" w:rsidP="006F5D9C">
      <w:pPr>
        <w:spacing w:line="360" w:lineRule="auto"/>
        <w:rPr>
          <w:rFonts w:ascii="Arial" w:hAnsi="Arial" w:cs="Arial"/>
          <w:b/>
          <w:bCs/>
          <w:sz w:val="22"/>
          <w:szCs w:val="22"/>
        </w:rPr>
      </w:pPr>
      <w:r w:rsidRPr="006F5D9C">
        <w:rPr>
          <w:rFonts w:ascii="Arial" w:hAnsi="Arial" w:cs="Arial"/>
          <w:b/>
          <w:bCs/>
          <w:sz w:val="22"/>
          <w:szCs w:val="22"/>
        </w:rPr>
        <w:t>Literature search</w:t>
      </w:r>
    </w:p>
    <w:p w14:paraId="78060F62" w14:textId="2C546E2C" w:rsidR="009F4212" w:rsidRDefault="009F4212" w:rsidP="006F5D9C">
      <w:pPr>
        <w:spacing w:line="360" w:lineRule="auto"/>
        <w:rPr>
          <w:rFonts w:ascii="Arial" w:hAnsi="Arial" w:cs="Arial"/>
          <w:sz w:val="22"/>
          <w:szCs w:val="22"/>
        </w:rPr>
      </w:pPr>
      <w:r w:rsidRPr="006F5D9C">
        <w:rPr>
          <w:rFonts w:ascii="Arial" w:hAnsi="Arial" w:cs="Arial"/>
          <w:sz w:val="22"/>
          <w:szCs w:val="22"/>
        </w:rPr>
        <w:t xml:space="preserve">Pathway enrichment analysis was not applied to Calu-3 cells as few DE miRNAs were identified, therefore statistical power was limited. Instead, a literature search was conducted to investigate whether the DE miRNAs identified in Calu-3 cells had previously been associated with biological processes relevant to </w:t>
      </w:r>
      <w:r w:rsidRPr="006F5D9C">
        <w:rPr>
          <w:rFonts w:ascii="Arial" w:eastAsia="Times New Roman" w:hAnsi="Arial" w:cs="Arial"/>
          <w:color w:val="000000"/>
          <w:sz w:val="22"/>
          <w:szCs w:val="22"/>
          <w:lang w:eastAsia="en-GB"/>
        </w:rPr>
        <w:t>airway immune signalling and allergic sensitisation</w:t>
      </w:r>
      <w:r w:rsidRPr="006F5D9C">
        <w:rPr>
          <w:rFonts w:ascii="Arial" w:hAnsi="Arial" w:cs="Arial"/>
          <w:sz w:val="22"/>
          <w:szCs w:val="22"/>
        </w:rPr>
        <w:t xml:space="preserve">. For each DE miRNA, the miRNA symbol was used as the query term in PubMed (National Library of Medicine, accessed </w:t>
      </w:r>
      <w:r w:rsidR="00E121F7" w:rsidRPr="006F5D9C">
        <w:rPr>
          <w:rFonts w:ascii="Arial" w:hAnsi="Arial" w:cs="Arial"/>
          <w:sz w:val="22"/>
          <w:szCs w:val="22"/>
        </w:rPr>
        <w:t>12</w:t>
      </w:r>
      <w:r w:rsidR="00E121F7" w:rsidRPr="006F5D9C">
        <w:rPr>
          <w:rFonts w:ascii="Arial" w:hAnsi="Arial" w:cs="Arial"/>
          <w:sz w:val="22"/>
          <w:szCs w:val="22"/>
          <w:vertAlign w:val="superscript"/>
        </w:rPr>
        <w:t>th</w:t>
      </w:r>
      <w:r w:rsidR="00E121F7" w:rsidRPr="006F5D9C">
        <w:rPr>
          <w:rFonts w:ascii="Arial" w:hAnsi="Arial" w:cs="Arial"/>
          <w:sz w:val="22"/>
          <w:szCs w:val="22"/>
        </w:rPr>
        <w:t xml:space="preserve"> July 2026</w:t>
      </w:r>
      <w:r w:rsidRPr="006F5D9C">
        <w:rPr>
          <w:rFonts w:ascii="Arial" w:hAnsi="Arial" w:cs="Arial"/>
          <w:sz w:val="22"/>
          <w:szCs w:val="22"/>
        </w:rPr>
        <w:t>) and combined with each of the following keywords using the Boolean operator “AND”: "airway", "immune", "allergic", "inflammation", "epithelial" and “extracellular vesicle”.</w:t>
      </w:r>
    </w:p>
    <w:p w14:paraId="3003AC9D" w14:textId="77777777" w:rsidR="006C1F13" w:rsidRPr="006F5D9C" w:rsidRDefault="006C1F13" w:rsidP="006F5D9C">
      <w:pPr>
        <w:spacing w:line="360" w:lineRule="auto"/>
        <w:rPr>
          <w:rFonts w:ascii="Arial" w:hAnsi="Arial" w:cs="Arial"/>
          <w:sz w:val="22"/>
          <w:szCs w:val="22"/>
        </w:rPr>
      </w:pPr>
    </w:p>
    <w:p w14:paraId="2ACCEFE7" w14:textId="6D53F14C" w:rsidR="009F4212" w:rsidRPr="006F5D9C" w:rsidRDefault="009F4212" w:rsidP="006F5D9C">
      <w:pPr>
        <w:spacing w:line="360" w:lineRule="auto"/>
        <w:rPr>
          <w:rFonts w:ascii="Arial" w:hAnsi="Arial" w:cs="Arial"/>
          <w:b/>
          <w:bCs/>
          <w:sz w:val="22"/>
          <w:szCs w:val="22"/>
        </w:rPr>
      </w:pPr>
      <w:r w:rsidRPr="006F5D9C">
        <w:rPr>
          <w:rFonts w:ascii="Arial" w:hAnsi="Arial" w:cs="Arial"/>
          <w:b/>
          <w:bCs/>
          <w:sz w:val="22"/>
          <w:szCs w:val="22"/>
        </w:rPr>
        <w:t>Statistics and data analyses</w:t>
      </w:r>
    </w:p>
    <w:p w14:paraId="131C2E5D" w14:textId="77777777" w:rsidR="009F4212" w:rsidRPr="006F5D9C" w:rsidRDefault="009F4212" w:rsidP="006F5D9C">
      <w:pPr>
        <w:spacing w:line="360" w:lineRule="auto"/>
        <w:rPr>
          <w:rFonts w:ascii="Arial" w:hAnsi="Arial" w:cs="Arial"/>
          <w:sz w:val="22"/>
          <w:szCs w:val="22"/>
        </w:rPr>
      </w:pPr>
      <w:r w:rsidRPr="006F5D9C">
        <w:rPr>
          <w:rFonts w:ascii="Arial" w:hAnsi="Arial" w:cs="Arial"/>
          <w:sz w:val="22"/>
          <w:szCs w:val="22"/>
        </w:rPr>
        <w:t xml:space="preserve">DE miRNAs with FDR &lt; 0.05 were considered significant; FDR &lt; 0.2 was applied as an exploratory significance threshold. Pathways identified through target-gene level enrichment were considered significantly enriched based on adjusted P value &lt; 0.02 or through miRNA-level enrichment based on adjusted P value &lt; 0.05. </w:t>
      </w:r>
    </w:p>
    <w:p w14:paraId="25FF56BC" w14:textId="3748B044" w:rsidR="009F4212" w:rsidRDefault="009F4212" w:rsidP="006F5D9C">
      <w:pPr>
        <w:spacing w:line="360" w:lineRule="auto"/>
        <w:rPr>
          <w:rFonts w:ascii="Arial" w:hAnsi="Arial" w:cs="Arial"/>
          <w:sz w:val="22"/>
          <w:szCs w:val="22"/>
        </w:rPr>
      </w:pPr>
      <w:r w:rsidRPr="006F5D9C">
        <w:rPr>
          <w:rFonts w:ascii="Arial" w:hAnsi="Arial" w:cs="Arial"/>
          <w:sz w:val="22"/>
          <w:szCs w:val="22"/>
        </w:rPr>
        <w:t>P</w:t>
      </w:r>
      <w:r w:rsidR="00C671D0">
        <w:rPr>
          <w:rFonts w:ascii="Arial" w:hAnsi="Arial" w:cs="Arial"/>
          <w:sz w:val="22"/>
          <w:szCs w:val="22"/>
        </w:rPr>
        <w:t>rincipal components</w:t>
      </w:r>
      <w:r w:rsidRPr="006F5D9C">
        <w:rPr>
          <w:rFonts w:ascii="Arial" w:hAnsi="Arial" w:cs="Arial"/>
          <w:sz w:val="22"/>
          <w:szCs w:val="22"/>
        </w:rPr>
        <w:t xml:space="preserve"> analysis </w:t>
      </w:r>
      <w:r w:rsidR="00C671D0">
        <w:rPr>
          <w:rFonts w:ascii="Arial" w:hAnsi="Arial" w:cs="Arial"/>
          <w:sz w:val="22"/>
          <w:szCs w:val="22"/>
        </w:rPr>
        <w:t xml:space="preserve">(PCA) </w:t>
      </w:r>
      <w:r w:rsidRPr="006F5D9C">
        <w:rPr>
          <w:rFonts w:ascii="Arial" w:hAnsi="Arial" w:cs="Arial"/>
          <w:sz w:val="22"/>
          <w:szCs w:val="22"/>
        </w:rPr>
        <w:t>was performed to assess variability in miRNA expression between cell-type specific allergen exposure conditions, and replicates. P</w:t>
      </w:r>
      <w:r w:rsidR="00C671D0">
        <w:rPr>
          <w:rFonts w:ascii="Arial" w:hAnsi="Arial" w:cs="Arial"/>
          <w:sz w:val="22"/>
          <w:szCs w:val="22"/>
        </w:rPr>
        <w:t>rincipal components (PCs)</w:t>
      </w:r>
      <w:r w:rsidRPr="006F5D9C">
        <w:rPr>
          <w:rFonts w:ascii="Arial" w:hAnsi="Arial" w:cs="Arial"/>
          <w:sz w:val="22"/>
          <w:szCs w:val="22"/>
        </w:rPr>
        <w:t xml:space="preserve"> were calculated using the </w:t>
      </w:r>
      <w:proofErr w:type="spellStart"/>
      <w:proofErr w:type="gramStart"/>
      <w:r w:rsidRPr="006F5D9C">
        <w:rPr>
          <w:rFonts w:ascii="Arial" w:hAnsi="Arial" w:cs="Arial"/>
          <w:sz w:val="22"/>
          <w:szCs w:val="22"/>
        </w:rPr>
        <w:t>prcomp</w:t>
      </w:r>
      <w:proofErr w:type="spellEnd"/>
      <w:r w:rsidRPr="006F5D9C">
        <w:rPr>
          <w:rFonts w:ascii="Arial" w:hAnsi="Arial" w:cs="Arial"/>
          <w:sz w:val="22"/>
          <w:szCs w:val="22"/>
        </w:rPr>
        <w:t>(</w:t>
      </w:r>
      <w:proofErr w:type="gramEnd"/>
      <w:r w:rsidRPr="006F5D9C">
        <w:rPr>
          <w:rFonts w:ascii="Arial" w:hAnsi="Arial" w:cs="Arial"/>
          <w:sz w:val="22"/>
          <w:szCs w:val="22"/>
        </w:rPr>
        <w:t>) function in RStudio using log2 CPM-normalised counts with a nominal value of 2 added to prevent infinite values. Heatmaps were generated using log2 CPM-normalised counts. All figures were generated in R</w:t>
      </w:r>
      <w:r w:rsidR="00180574">
        <w:rPr>
          <w:rFonts w:ascii="Arial" w:hAnsi="Arial" w:cs="Arial"/>
          <w:sz w:val="22"/>
          <w:szCs w:val="22"/>
        </w:rPr>
        <w:t>S</w:t>
      </w:r>
      <w:r w:rsidRPr="006F5D9C">
        <w:rPr>
          <w:rFonts w:ascii="Arial" w:hAnsi="Arial" w:cs="Arial"/>
          <w:sz w:val="22"/>
          <w:szCs w:val="22"/>
        </w:rPr>
        <w:t xml:space="preserve">tudio </w:t>
      </w:r>
      <w:r w:rsidR="00E121F7" w:rsidRPr="006F5D9C">
        <w:rPr>
          <w:rFonts w:ascii="Arial" w:hAnsi="Arial" w:cs="Arial"/>
          <w:sz w:val="22"/>
          <w:szCs w:val="22"/>
        </w:rPr>
        <w:t xml:space="preserve">(v4.6.0) </w:t>
      </w:r>
      <w:r w:rsidRPr="006F5D9C">
        <w:rPr>
          <w:rFonts w:ascii="Arial" w:hAnsi="Arial" w:cs="Arial"/>
          <w:sz w:val="22"/>
          <w:szCs w:val="22"/>
        </w:rPr>
        <w:t xml:space="preserve">using ggplot2 </w:t>
      </w:r>
      <w:r w:rsidR="00E121F7" w:rsidRPr="006F5D9C">
        <w:rPr>
          <w:rFonts w:ascii="Arial" w:hAnsi="Arial" w:cs="Arial"/>
          <w:sz w:val="22"/>
          <w:szCs w:val="22"/>
        </w:rPr>
        <w:t>(v4.0.3)</w:t>
      </w:r>
      <w:r w:rsidRPr="006F5D9C">
        <w:rPr>
          <w:rFonts w:ascii="Arial" w:hAnsi="Arial" w:cs="Arial"/>
          <w:sz w:val="22"/>
          <w:szCs w:val="22"/>
        </w:rPr>
        <w:t>, unless stated otherwise.</w:t>
      </w:r>
    </w:p>
    <w:p w14:paraId="14AFB497" w14:textId="1BF78253" w:rsidR="00D962AA" w:rsidRPr="006F5D9C" w:rsidRDefault="00D962AA" w:rsidP="006F5D9C">
      <w:pPr>
        <w:spacing w:line="360" w:lineRule="auto"/>
        <w:rPr>
          <w:rFonts w:ascii="Arial" w:hAnsi="Arial" w:cs="Arial"/>
          <w:sz w:val="22"/>
          <w:szCs w:val="22"/>
        </w:rPr>
      </w:pPr>
      <w:r>
        <w:rPr>
          <w:rFonts w:ascii="Arial" w:hAnsi="Arial" w:cs="Arial"/>
          <w:sz w:val="22"/>
          <w:szCs w:val="22"/>
        </w:rPr>
        <w:t>Statistical analyses were performed using R (v4.5.3). A full list of packages used can be found on the GitHub associated with this study</w:t>
      </w:r>
      <w:r w:rsidR="000B6A1D">
        <w:rPr>
          <w:rFonts w:ascii="Arial" w:hAnsi="Arial" w:cs="Arial"/>
          <w:sz w:val="22"/>
          <w:szCs w:val="22"/>
        </w:rPr>
        <w:t xml:space="preserve"> along with references for each software tool.</w:t>
      </w:r>
    </w:p>
    <w:p w14:paraId="4C21B68D" w14:textId="77777777" w:rsidR="009F4212" w:rsidRPr="006F5D9C" w:rsidRDefault="009F4212" w:rsidP="006F5D9C">
      <w:pPr>
        <w:spacing w:line="360" w:lineRule="auto"/>
        <w:rPr>
          <w:rFonts w:ascii="Arial" w:hAnsi="Arial" w:cs="Arial"/>
          <w:sz w:val="22"/>
          <w:szCs w:val="22"/>
        </w:rPr>
      </w:pPr>
    </w:p>
    <w:p w14:paraId="1C88CF14" w14:textId="1FBA3076" w:rsidR="009F4212" w:rsidRPr="006F5D9C" w:rsidRDefault="009F4212" w:rsidP="006F5D9C">
      <w:pPr>
        <w:spacing w:line="360" w:lineRule="auto"/>
        <w:rPr>
          <w:rFonts w:ascii="Arial" w:hAnsi="Arial" w:cs="Arial"/>
          <w:b/>
          <w:bCs/>
          <w:sz w:val="22"/>
          <w:szCs w:val="22"/>
        </w:rPr>
      </w:pPr>
      <w:r w:rsidRPr="006F5D9C">
        <w:rPr>
          <w:rFonts w:ascii="Arial" w:hAnsi="Arial" w:cs="Arial"/>
          <w:b/>
          <w:bCs/>
          <w:sz w:val="22"/>
          <w:szCs w:val="22"/>
        </w:rPr>
        <w:t xml:space="preserve">Previous work </w:t>
      </w:r>
    </w:p>
    <w:p w14:paraId="1DE3B436" w14:textId="172EACB0" w:rsidR="009F4212" w:rsidRPr="006F5D9C" w:rsidRDefault="009F4212" w:rsidP="006F5D9C">
      <w:pPr>
        <w:spacing w:line="360" w:lineRule="auto"/>
        <w:rPr>
          <w:rFonts w:ascii="Arial" w:hAnsi="Arial" w:cs="Arial"/>
          <w:sz w:val="22"/>
          <w:szCs w:val="22"/>
        </w:rPr>
      </w:pPr>
      <w:r w:rsidRPr="006F5D9C">
        <w:rPr>
          <w:rFonts w:ascii="Arial" w:hAnsi="Arial" w:cs="Arial"/>
          <w:sz w:val="22"/>
          <w:szCs w:val="22"/>
        </w:rPr>
        <w:t xml:space="preserve">DE analysis was previously performed for all allergen exposures in primary HBECs and Calu-3 cells by TAmiRNA using the </w:t>
      </w:r>
      <w:proofErr w:type="spellStart"/>
      <w:r w:rsidRPr="006F5D9C">
        <w:rPr>
          <w:rFonts w:ascii="Arial" w:hAnsi="Arial" w:cs="Arial"/>
          <w:sz w:val="22"/>
          <w:szCs w:val="22"/>
        </w:rPr>
        <w:t>miND</w:t>
      </w:r>
      <w:proofErr w:type="spellEnd"/>
      <w:r w:rsidRPr="006F5D9C">
        <w:rPr>
          <w:rFonts w:ascii="Arial" w:hAnsi="Arial" w:cs="Arial"/>
          <w:sz w:val="22"/>
          <w:szCs w:val="22"/>
        </w:rPr>
        <w:t xml:space="preserve">® pipeline </w:t>
      </w:r>
      <w:r w:rsidR="00A64698" w:rsidRPr="006F5D9C">
        <w:rPr>
          <w:rFonts w:ascii="Arial" w:hAnsi="Arial" w:cs="Arial"/>
          <w:sz w:val="22"/>
          <w:szCs w:val="22"/>
        </w:rPr>
        <w:t>(</w:t>
      </w:r>
      <w:proofErr w:type="spellStart"/>
      <w:r w:rsidR="00A64698" w:rsidRPr="006F5D9C">
        <w:rPr>
          <w:rFonts w:ascii="Arial" w:hAnsi="Arial" w:cs="Arial"/>
          <w:sz w:val="22"/>
          <w:szCs w:val="22"/>
        </w:rPr>
        <w:t>Khamina</w:t>
      </w:r>
      <w:proofErr w:type="spellEnd"/>
      <w:r w:rsidR="00A64698" w:rsidRPr="006F5D9C">
        <w:rPr>
          <w:rFonts w:ascii="Arial" w:hAnsi="Arial" w:cs="Arial"/>
          <w:sz w:val="22"/>
          <w:szCs w:val="22"/>
        </w:rPr>
        <w:t xml:space="preserve"> et al., 2022)</w:t>
      </w:r>
      <w:r w:rsidRPr="006F5D9C">
        <w:rPr>
          <w:rFonts w:ascii="Arial" w:hAnsi="Arial" w:cs="Arial"/>
          <w:sz w:val="22"/>
          <w:szCs w:val="22"/>
        </w:rPr>
        <w:t>. Pathway analysis was performed using DE miRNAs in primary HBECs following exposure to dose 24 µg/cm</w:t>
      </w:r>
      <w:r w:rsidRPr="00082FEE">
        <w:rPr>
          <w:rFonts w:ascii="Arial" w:hAnsi="Arial" w:cs="Arial"/>
          <w:sz w:val="22"/>
          <w:szCs w:val="22"/>
          <w:vertAlign w:val="superscript"/>
        </w:rPr>
        <w:t>2</w:t>
      </w:r>
      <w:r w:rsidRPr="006F5D9C">
        <w:rPr>
          <w:rFonts w:ascii="Arial" w:hAnsi="Arial" w:cs="Arial"/>
          <w:sz w:val="22"/>
          <w:szCs w:val="22"/>
        </w:rPr>
        <w:t xml:space="preserve"> </w:t>
      </w:r>
      <w:r w:rsidRPr="006F5D9C">
        <w:rPr>
          <w:rFonts w:ascii="Arial" w:hAnsi="Arial" w:cs="Arial"/>
          <w:sz w:val="22"/>
          <w:szCs w:val="22"/>
        </w:rPr>
        <w:lastRenderedPageBreak/>
        <w:t xml:space="preserve">protease allergen by Prof. </w:t>
      </w:r>
      <w:r w:rsidR="00A64698" w:rsidRPr="006F5D9C">
        <w:rPr>
          <w:rFonts w:ascii="Arial" w:hAnsi="Arial" w:cs="Arial"/>
          <w:sz w:val="22"/>
          <w:szCs w:val="22"/>
        </w:rPr>
        <w:t>Victoria James</w:t>
      </w:r>
      <w:r w:rsidRPr="006F5D9C">
        <w:rPr>
          <w:rFonts w:ascii="Arial" w:hAnsi="Arial" w:cs="Arial"/>
          <w:sz w:val="22"/>
          <w:szCs w:val="22"/>
        </w:rPr>
        <w:t xml:space="preserve"> using QIAGEN I</w:t>
      </w:r>
      <w:r w:rsidR="005C267B">
        <w:rPr>
          <w:rFonts w:ascii="Arial" w:hAnsi="Arial" w:cs="Arial"/>
          <w:sz w:val="22"/>
          <w:szCs w:val="22"/>
        </w:rPr>
        <w:t>ngenuity Pathway Analysis (I</w:t>
      </w:r>
      <w:r w:rsidRPr="006F5D9C">
        <w:rPr>
          <w:rFonts w:ascii="Arial" w:hAnsi="Arial" w:cs="Arial"/>
          <w:sz w:val="22"/>
          <w:szCs w:val="22"/>
        </w:rPr>
        <w:t>PA</w:t>
      </w:r>
      <w:r w:rsidR="005C267B">
        <w:rPr>
          <w:rFonts w:ascii="Arial" w:hAnsi="Arial" w:cs="Arial"/>
          <w:sz w:val="22"/>
          <w:szCs w:val="22"/>
        </w:rPr>
        <w:t>)</w:t>
      </w:r>
      <w:r w:rsidRPr="006F5D9C">
        <w:rPr>
          <w:rFonts w:ascii="Arial" w:hAnsi="Arial" w:cs="Arial"/>
          <w:sz w:val="22"/>
          <w:szCs w:val="22"/>
        </w:rPr>
        <w:t xml:space="preserve"> </w:t>
      </w:r>
      <w:r w:rsidR="00A64698" w:rsidRPr="006F5D9C">
        <w:rPr>
          <w:rFonts w:ascii="Arial" w:hAnsi="Arial" w:cs="Arial"/>
          <w:sz w:val="22"/>
          <w:szCs w:val="22"/>
        </w:rPr>
        <w:t>(https://digitalinsights.qiagen.com/products-overview/discovery-insights-portfolio/analysis-and-visualization/qiagen-ipa/)</w:t>
      </w:r>
      <w:r w:rsidRPr="006F5D9C">
        <w:rPr>
          <w:rFonts w:ascii="Arial" w:hAnsi="Arial" w:cs="Arial"/>
          <w:sz w:val="22"/>
          <w:szCs w:val="22"/>
        </w:rPr>
        <w:t xml:space="preserve">. Previous analysis and results are detailed in </w:t>
      </w:r>
      <w:r w:rsidR="00A64698" w:rsidRPr="006F5D9C">
        <w:rPr>
          <w:rFonts w:ascii="Arial" w:hAnsi="Arial" w:cs="Arial"/>
          <w:sz w:val="22"/>
          <w:szCs w:val="22"/>
        </w:rPr>
        <w:t xml:space="preserve">Hopkins et al., 2026 and Browne et al., 2026. </w:t>
      </w:r>
      <w:r w:rsidRPr="006F5D9C">
        <w:rPr>
          <w:rFonts w:ascii="Arial" w:hAnsi="Arial" w:cs="Arial"/>
          <w:sz w:val="22"/>
          <w:szCs w:val="22"/>
        </w:rPr>
        <w:t>Pathwa</w:t>
      </w:r>
      <w:r w:rsidR="00E121F7" w:rsidRPr="006F5D9C">
        <w:rPr>
          <w:rFonts w:ascii="Arial" w:hAnsi="Arial" w:cs="Arial"/>
          <w:sz w:val="22"/>
          <w:szCs w:val="22"/>
        </w:rPr>
        <w:t>y</w:t>
      </w:r>
      <w:r w:rsidRPr="006F5D9C">
        <w:rPr>
          <w:rFonts w:ascii="Arial" w:hAnsi="Arial" w:cs="Arial"/>
          <w:sz w:val="22"/>
          <w:szCs w:val="22"/>
        </w:rPr>
        <w:t xml:space="preserve"> analysis of DE miRNAs from Calu-3 cells in this study was novel.</w:t>
      </w:r>
    </w:p>
    <w:p w14:paraId="581EE7CB" w14:textId="77777777" w:rsidR="009F4212" w:rsidRPr="006F5D9C" w:rsidRDefault="009F4212" w:rsidP="006F5D9C">
      <w:pPr>
        <w:spacing w:line="360" w:lineRule="auto"/>
        <w:rPr>
          <w:rFonts w:ascii="Arial" w:hAnsi="Arial" w:cs="Arial"/>
          <w:sz w:val="22"/>
          <w:szCs w:val="22"/>
        </w:rPr>
      </w:pPr>
    </w:p>
    <w:p w14:paraId="5C1026DF" w14:textId="4BD248B7" w:rsidR="009F4212" w:rsidRPr="006F5D9C" w:rsidRDefault="009F4212" w:rsidP="006F5D9C">
      <w:pPr>
        <w:spacing w:line="360" w:lineRule="auto"/>
        <w:rPr>
          <w:rFonts w:ascii="Arial" w:hAnsi="Arial" w:cs="Arial"/>
          <w:b/>
          <w:bCs/>
          <w:sz w:val="22"/>
          <w:szCs w:val="22"/>
        </w:rPr>
      </w:pPr>
      <w:r w:rsidRPr="006F5D9C">
        <w:rPr>
          <w:rFonts w:ascii="Arial" w:hAnsi="Arial" w:cs="Arial"/>
          <w:b/>
          <w:bCs/>
          <w:sz w:val="22"/>
          <w:szCs w:val="22"/>
        </w:rPr>
        <w:t>Code availability</w:t>
      </w:r>
    </w:p>
    <w:p w14:paraId="6EEBA7BC" w14:textId="31C8B755" w:rsidR="009F4212" w:rsidRPr="006F5D9C" w:rsidRDefault="009F4212" w:rsidP="006F5D9C">
      <w:pPr>
        <w:spacing w:line="360" w:lineRule="auto"/>
        <w:rPr>
          <w:rFonts w:ascii="Arial" w:hAnsi="Arial" w:cs="Arial"/>
          <w:sz w:val="22"/>
          <w:szCs w:val="22"/>
        </w:rPr>
      </w:pPr>
      <w:r w:rsidRPr="006F5D9C">
        <w:rPr>
          <w:rFonts w:ascii="Arial" w:hAnsi="Arial" w:cs="Arial"/>
          <w:sz w:val="22"/>
          <w:szCs w:val="22"/>
        </w:rPr>
        <w:t xml:space="preserve">All code I developed for this study is available at </w:t>
      </w:r>
      <w:hyperlink r:id="rId12" w:history="1">
        <w:r w:rsidR="004C1D56" w:rsidRPr="00031996">
          <w:rPr>
            <w:rStyle w:val="Hyperlink"/>
            <w:rFonts w:ascii="Arial" w:hAnsi="Arial" w:cs="Arial"/>
            <w:sz w:val="22"/>
            <w:szCs w:val="22"/>
          </w:rPr>
          <w:t>https://github.com/CJ770411/L4137_HBEC_EV_Transcriptomics</w:t>
        </w:r>
      </w:hyperlink>
      <w:r w:rsidRPr="006F5D9C">
        <w:rPr>
          <w:rFonts w:ascii="Arial" w:hAnsi="Arial" w:cs="Arial"/>
          <w:sz w:val="22"/>
          <w:szCs w:val="22"/>
        </w:rPr>
        <w:t>.</w:t>
      </w:r>
      <w:r w:rsidR="004C1D56">
        <w:rPr>
          <w:rFonts w:ascii="Arial" w:hAnsi="Arial" w:cs="Arial"/>
          <w:sz w:val="22"/>
          <w:szCs w:val="22"/>
        </w:rPr>
        <w:t xml:space="preserve"> </w:t>
      </w:r>
      <w:r w:rsidRPr="006F5D9C">
        <w:rPr>
          <w:rFonts w:ascii="Arial" w:hAnsi="Arial" w:cs="Arial"/>
          <w:sz w:val="22"/>
          <w:szCs w:val="22"/>
        </w:rPr>
        <w:t xml:space="preserve">I generated a custom-made template bash script (template.sh) to standardise script structure, perform log and error handling, and accelerate creation of new scripts. Access to project worklogs and all drafts can be requested from </w:t>
      </w:r>
      <w:hyperlink r:id="rId13" w:history="1">
        <w:r w:rsidRPr="006F5D9C">
          <w:rPr>
            <w:rStyle w:val="Hyperlink"/>
            <w:rFonts w:ascii="Arial" w:hAnsi="Arial" w:cs="Arial"/>
            <w:sz w:val="22"/>
            <w:szCs w:val="22"/>
          </w:rPr>
          <w:t>https://github.com/CJ770411/L4137_HBEC_EV_Transcriptomics-Project</w:t>
        </w:r>
      </w:hyperlink>
      <w:r w:rsidRPr="006F5D9C">
        <w:rPr>
          <w:rFonts w:ascii="Arial" w:hAnsi="Arial" w:cs="Arial"/>
          <w:sz w:val="22"/>
          <w:szCs w:val="22"/>
        </w:rPr>
        <w:t>.</w:t>
      </w:r>
    </w:p>
    <w:p w14:paraId="5BFF5EFB" w14:textId="77777777" w:rsidR="009F4212" w:rsidRPr="006F5D9C" w:rsidRDefault="009F4212" w:rsidP="006F5D9C">
      <w:pPr>
        <w:spacing w:line="360" w:lineRule="auto"/>
        <w:rPr>
          <w:rFonts w:ascii="Arial" w:hAnsi="Arial" w:cs="Arial"/>
          <w:sz w:val="22"/>
          <w:szCs w:val="22"/>
        </w:rPr>
      </w:pPr>
    </w:p>
    <w:p w14:paraId="7A68E94E" w14:textId="77777777" w:rsidR="009F4212" w:rsidRPr="006F5D9C" w:rsidRDefault="009F4212" w:rsidP="006F5D9C">
      <w:pPr>
        <w:spacing w:line="360" w:lineRule="auto"/>
        <w:rPr>
          <w:rFonts w:ascii="Arial" w:hAnsi="Arial" w:cs="Arial"/>
          <w:sz w:val="22"/>
          <w:szCs w:val="22"/>
        </w:rPr>
      </w:pPr>
    </w:p>
    <w:p w14:paraId="66CE61CE" w14:textId="10B4F35A" w:rsidR="001D63A9" w:rsidRPr="006F5D9C" w:rsidRDefault="001D63A9" w:rsidP="006F5D9C">
      <w:pPr>
        <w:spacing w:line="360" w:lineRule="auto"/>
        <w:rPr>
          <w:rFonts w:ascii="Arial" w:hAnsi="Arial" w:cs="Arial"/>
          <w:sz w:val="22"/>
          <w:szCs w:val="22"/>
        </w:rPr>
      </w:pPr>
      <w:r w:rsidRPr="006C1F13">
        <w:rPr>
          <w:rFonts w:ascii="Arial" w:hAnsi="Arial" w:cs="Arial"/>
          <w:b/>
          <w:bCs/>
        </w:rPr>
        <w:t>Results</w:t>
      </w:r>
    </w:p>
    <w:p w14:paraId="6BD6DFED" w14:textId="21CC46A0" w:rsidR="00F30DE9" w:rsidRPr="006F5D9C" w:rsidRDefault="00F30DE9" w:rsidP="006F5D9C">
      <w:pPr>
        <w:spacing w:line="360" w:lineRule="auto"/>
        <w:rPr>
          <w:rFonts w:ascii="Arial" w:hAnsi="Arial" w:cs="Arial"/>
          <w:b/>
          <w:bCs/>
          <w:sz w:val="22"/>
          <w:szCs w:val="22"/>
        </w:rPr>
      </w:pPr>
      <w:r w:rsidRPr="006F5D9C">
        <w:rPr>
          <w:rFonts w:ascii="Arial" w:hAnsi="Arial" w:cs="Arial"/>
          <w:b/>
          <w:bCs/>
          <w:sz w:val="22"/>
          <w:szCs w:val="22"/>
        </w:rPr>
        <w:t>Review of quality-control (QC) metrics to identify samples with unique QC profiles</w:t>
      </w:r>
    </w:p>
    <w:p w14:paraId="2D598162" w14:textId="37822C84" w:rsidR="00F30DE9" w:rsidRDefault="00F30DE9" w:rsidP="006F5D9C">
      <w:pPr>
        <w:spacing w:line="360" w:lineRule="auto"/>
        <w:rPr>
          <w:rFonts w:ascii="Arial" w:hAnsi="Arial" w:cs="Arial"/>
          <w:sz w:val="22"/>
          <w:szCs w:val="22"/>
        </w:rPr>
      </w:pPr>
      <w:r w:rsidRPr="006F5D9C">
        <w:rPr>
          <w:rFonts w:ascii="Arial" w:hAnsi="Arial" w:cs="Arial"/>
          <w:sz w:val="22"/>
          <w:szCs w:val="22"/>
        </w:rPr>
        <w:t xml:space="preserve">Quality control metrics generated by </w:t>
      </w:r>
      <w:proofErr w:type="spellStart"/>
      <w:r w:rsidRPr="006F5D9C">
        <w:rPr>
          <w:rFonts w:ascii="Arial" w:hAnsi="Arial" w:cs="Arial"/>
          <w:sz w:val="22"/>
          <w:szCs w:val="22"/>
        </w:rPr>
        <w:t>FastQC</w:t>
      </w:r>
      <w:proofErr w:type="spellEnd"/>
      <w:r w:rsidRPr="006F5D9C">
        <w:rPr>
          <w:rFonts w:ascii="Arial" w:hAnsi="Arial" w:cs="Arial"/>
          <w:sz w:val="22"/>
          <w:szCs w:val="22"/>
        </w:rPr>
        <w:t xml:space="preserve"> and </w:t>
      </w:r>
      <w:proofErr w:type="spellStart"/>
      <w:r w:rsidRPr="006F5D9C">
        <w:rPr>
          <w:rFonts w:ascii="Arial" w:hAnsi="Arial" w:cs="Arial"/>
          <w:sz w:val="22"/>
          <w:szCs w:val="22"/>
        </w:rPr>
        <w:t>miRTrace</w:t>
      </w:r>
      <w:proofErr w:type="spellEnd"/>
      <w:r w:rsidRPr="006F5D9C">
        <w:rPr>
          <w:rFonts w:ascii="Arial" w:hAnsi="Arial" w:cs="Arial"/>
          <w:sz w:val="22"/>
          <w:szCs w:val="22"/>
        </w:rPr>
        <w:t xml:space="preserve"> using trimmed reads were analysed for all primary HBEC and Calu-3 samples to identify samples with distinct profiles (Supplementary </w:t>
      </w:r>
      <w:r w:rsidR="006F0B33" w:rsidRPr="006F5D9C">
        <w:rPr>
          <w:rFonts w:ascii="Arial" w:hAnsi="Arial" w:cs="Arial"/>
          <w:sz w:val="22"/>
          <w:szCs w:val="22"/>
        </w:rPr>
        <w:t>Figure 1,2</w:t>
      </w:r>
      <w:r w:rsidRPr="006F5D9C">
        <w:rPr>
          <w:rFonts w:ascii="Arial" w:hAnsi="Arial" w:cs="Arial"/>
          <w:sz w:val="22"/>
          <w:szCs w:val="22"/>
        </w:rPr>
        <w:t xml:space="preserve">). The three 24 </w:t>
      </w:r>
      <w:proofErr w:type="spellStart"/>
      <w:r w:rsidRPr="006F5D9C">
        <w:rPr>
          <w:rFonts w:ascii="Arial" w:hAnsi="Arial" w:cs="Arial"/>
          <w:sz w:val="22"/>
          <w:szCs w:val="22"/>
        </w:rPr>
        <w:t>μg</w:t>
      </w:r>
      <w:proofErr w:type="spellEnd"/>
      <w:r w:rsidRPr="006F5D9C">
        <w:rPr>
          <w:rFonts w:ascii="Arial" w:hAnsi="Arial" w:cs="Arial"/>
          <w:sz w:val="22"/>
          <w:szCs w:val="22"/>
        </w:rPr>
        <w:t>/cm</w:t>
      </w:r>
      <w:r w:rsidRPr="00082FEE">
        <w:rPr>
          <w:rFonts w:ascii="Arial" w:hAnsi="Arial" w:cs="Arial"/>
          <w:sz w:val="22"/>
          <w:szCs w:val="22"/>
          <w:vertAlign w:val="superscript"/>
        </w:rPr>
        <w:t>2</w:t>
      </w:r>
      <w:r w:rsidRPr="006F5D9C">
        <w:rPr>
          <w:rFonts w:ascii="Arial" w:hAnsi="Arial" w:cs="Arial"/>
          <w:sz w:val="22"/>
          <w:szCs w:val="22"/>
        </w:rPr>
        <w:t xml:space="preserve"> protease-treated primary HBEC replicates displayed distinct </w:t>
      </w:r>
      <w:r w:rsidR="005C267B">
        <w:rPr>
          <w:rFonts w:ascii="Arial" w:hAnsi="Arial" w:cs="Arial"/>
          <w:sz w:val="22"/>
          <w:szCs w:val="22"/>
        </w:rPr>
        <w:t xml:space="preserve">guanine-cytosine (GC) </w:t>
      </w:r>
      <w:r w:rsidRPr="006F5D9C">
        <w:rPr>
          <w:rFonts w:ascii="Arial" w:hAnsi="Arial" w:cs="Arial"/>
          <w:sz w:val="22"/>
          <w:szCs w:val="22"/>
        </w:rPr>
        <w:t>content, read-length, and sequence duplication profiles compared with the remaining primary HBEC samples and Calu-3 samples (Figure 2).</w:t>
      </w:r>
    </w:p>
    <w:p w14:paraId="0740FC44" w14:textId="77777777" w:rsidR="00735691" w:rsidRPr="006F5D9C" w:rsidRDefault="00735691" w:rsidP="00735691">
      <w:pPr>
        <w:spacing w:line="360" w:lineRule="auto"/>
        <w:rPr>
          <w:rFonts w:ascii="Arial" w:hAnsi="Arial" w:cs="Arial"/>
          <w:sz w:val="22"/>
          <w:szCs w:val="22"/>
        </w:rPr>
      </w:pPr>
      <w:r w:rsidRPr="006F5D9C">
        <w:rPr>
          <w:rFonts w:ascii="Arial" w:hAnsi="Arial" w:cs="Arial"/>
          <w:sz w:val="22"/>
          <w:szCs w:val="22"/>
        </w:rPr>
        <w:lastRenderedPageBreak/>
        <w:t xml:space="preserve"> </w:t>
      </w:r>
      <w:r w:rsidRPr="006F5D9C">
        <w:rPr>
          <w:rFonts w:ascii="Arial" w:hAnsi="Arial" w:cs="Arial"/>
          <w:noProof/>
          <w:sz w:val="22"/>
          <w:szCs w:val="22"/>
        </w:rPr>
        <w:drawing>
          <wp:inline distT="0" distB="0" distL="0" distR="0" wp14:anchorId="0637BE71" wp14:editId="2391A754">
            <wp:extent cx="4795595" cy="5594684"/>
            <wp:effectExtent l="0" t="0" r="5080" b="6350"/>
            <wp:docPr id="788267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267284" name="Picture 788267284"/>
                    <pic:cNvPicPr/>
                  </pic:nvPicPr>
                  <pic:blipFill>
                    <a:blip r:embed="rId14"/>
                    <a:stretch>
                      <a:fillRect/>
                    </a:stretch>
                  </pic:blipFill>
                  <pic:spPr>
                    <a:xfrm>
                      <a:off x="0" y="0"/>
                      <a:ext cx="4812843" cy="5614806"/>
                    </a:xfrm>
                    <a:prstGeom prst="rect">
                      <a:avLst/>
                    </a:prstGeom>
                  </pic:spPr>
                </pic:pic>
              </a:graphicData>
            </a:graphic>
          </wp:inline>
        </w:drawing>
      </w:r>
    </w:p>
    <w:p w14:paraId="631A623E" w14:textId="7BD9B6C6" w:rsidR="00735691" w:rsidRPr="00BC0594" w:rsidRDefault="00735691" w:rsidP="00257F5E">
      <w:pPr>
        <w:spacing w:line="240" w:lineRule="auto"/>
        <w:rPr>
          <w:rFonts w:ascii="Arial" w:hAnsi="Arial" w:cs="Arial"/>
          <w:sz w:val="20"/>
          <w:szCs w:val="20"/>
        </w:rPr>
      </w:pPr>
      <w:r w:rsidRPr="00BC0594">
        <w:rPr>
          <w:rFonts w:ascii="Arial" w:hAnsi="Arial" w:cs="Arial"/>
          <w:b/>
          <w:bCs/>
          <w:sz w:val="20"/>
          <w:szCs w:val="20"/>
        </w:rPr>
        <w:t>Figure 2: Primary HBEC samples sequencing library quality control.</w:t>
      </w:r>
      <w:r w:rsidRPr="00BC0594">
        <w:rPr>
          <w:rFonts w:ascii="Arial" w:hAnsi="Arial" w:cs="Arial"/>
          <w:sz w:val="20"/>
          <w:szCs w:val="20"/>
        </w:rPr>
        <w:t xml:space="preserve"> FASTQ files for all trimmed primary human bronchial epithelial cell (HBEC) samples (N=15) exposed to protease allergen were assessed for quality using </w:t>
      </w:r>
      <w:proofErr w:type="spellStart"/>
      <w:r w:rsidRPr="00BC0594">
        <w:rPr>
          <w:rFonts w:ascii="Arial" w:hAnsi="Arial" w:cs="Arial"/>
          <w:sz w:val="20"/>
          <w:szCs w:val="20"/>
        </w:rPr>
        <w:t>FastQC</w:t>
      </w:r>
      <w:proofErr w:type="spellEnd"/>
      <w:r w:rsidRPr="00BC0594">
        <w:rPr>
          <w:rFonts w:ascii="Arial" w:hAnsi="Arial" w:cs="Arial"/>
          <w:sz w:val="20"/>
          <w:szCs w:val="20"/>
        </w:rPr>
        <w:t xml:space="preserve"> (A, C) and </w:t>
      </w:r>
      <w:proofErr w:type="spellStart"/>
      <w:r w:rsidRPr="00BC0594">
        <w:rPr>
          <w:rFonts w:ascii="Arial" w:hAnsi="Arial" w:cs="Arial"/>
          <w:sz w:val="20"/>
          <w:szCs w:val="20"/>
        </w:rPr>
        <w:t>miRTrace</w:t>
      </w:r>
      <w:proofErr w:type="spellEnd"/>
      <w:r w:rsidRPr="00BC0594">
        <w:rPr>
          <w:rFonts w:ascii="Arial" w:hAnsi="Arial" w:cs="Arial"/>
          <w:sz w:val="20"/>
          <w:szCs w:val="20"/>
        </w:rPr>
        <w:t xml:space="preserve"> (B) then compiled into a single report using </w:t>
      </w:r>
      <w:proofErr w:type="spellStart"/>
      <w:r w:rsidRPr="00BC0594">
        <w:rPr>
          <w:rFonts w:ascii="Arial" w:hAnsi="Arial" w:cs="Arial"/>
          <w:sz w:val="20"/>
          <w:szCs w:val="20"/>
        </w:rPr>
        <w:t>MultiQC</w:t>
      </w:r>
      <w:proofErr w:type="spellEnd"/>
      <w:r w:rsidRPr="00BC0594">
        <w:rPr>
          <w:rFonts w:ascii="Arial" w:hAnsi="Arial" w:cs="Arial"/>
          <w:sz w:val="20"/>
          <w:szCs w:val="20"/>
        </w:rPr>
        <w:t xml:space="preserve">. </w:t>
      </w:r>
      <w:proofErr w:type="spellStart"/>
      <w:r w:rsidRPr="00BC0594">
        <w:rPr>
          <w:rFonts w:ascii="Arial" w:hAnsi="Arial" w:cs="Arial"/>
          <w:sz w:val="20"/>
          <w:szCs w:val="20"/>
        </w:rPr>
        <w:t>MultiQC</w:t>
      </w:r>
      <w:proofErr w:type="spellEnd"/>
      <w:r w:rsidRPr="00BC0594">
        <w:rPr>
          <w:rFonts w:ascii="Arial" w:hAnsi="Arial" w:cs="Arial"/>
          <w:sz w:val="20"/>
          <w:szCs w:val="20"/>
        </w:rPr>
        <w:t xml:space="preserve"> plot data was then loaded into RStudio to generate the plots in this figure. (A) Read GC content distribution with per-read GC content shown as a percentage on the x-axis and the proportion of the whole library at a given GC content shown as a percentage on the y-axis. (B) Read length distribution with per-read length in base pairs on the x-axis and the number of reads of a given length shown on y-axis. (C) Read duplication levels calculated from the first 100,000 reads in each FASTQ file; FASTQC documentation states this should </w:t>
      </w:r>
      <w:r w:rsidR="00640210">
        <w:rPr>
          <w:rFonts w:ascii="Arial" w:hAnsi="Arial" w:cs="Arial"/>
          <w:sz w:val="20"/>
          <w:szCs w:val="20"/>
        </w:rPr>
        <w:t xml:space="preserve">give a representative view </w:t>
      </w:r>
      <w:r w:rsidRPr="00BC0594">
        <w:rPr>
          <w:rFonts w:ascii="Arial" w:hAnsi="Arial" w:cs="Arial"/>
          <w:sz w:val="20"/>
          <w:szCs w:val="20"/>
        </w:rPr>
        <w:t xml:space="preserve">of the whole library. The category of per-read sequence duplication is shown on the x-axis (higher duplication levels are shown towards the right of the x-axis) and the proportion of the whole library at a given duplication rate as a percentage on the y-axis.  All plots are coloured by treatment group where dose is in </w:t>
      </w:r>
      <w:proofErr w:type="spellStart"/>
      <w:r w:rsidRPr="00BC0594">
        <w:rPr>
          <w:rFonts w:ascii="Arial" w:hAnsi="Arial" w:cs="Arial"/>
          <w:sz w:val="20"/>
          <w:szCs w:val="20"/>
        </w:rPr>
        <w:t>μg</w:t>
      </w:r>
      <w:proofErr w:type="spellEnd"/>
      <w:r w:rsidRPr="00BC0594">
        <w:rPr>
          <w:rFonts w:ascii="Arial" w:hAnsi="Arial" w:cs="Arial"/>
          <w:sz w:val="20"/>
          <w:szCs w:val="20"/>
        </w:rPr>
        <w:t>/cm².</w:t>
      </w:r>
    </w:p>
    <w:p w14:paraId="5DC550DC" w14:textId="2A68905C" w:rsidR="00F30DE9" w:rsidRPr="006F5D9C" w:rsidRDefault="00F30DE9" w:rsidP="006F5D9C">
      <w:pPr>
        <w:spacing w:line="360" w:lineRule="auto"/>
        <w:rPr>
          <w:rFonts w:ascii="Arial" w:hAnsi="Arial" w:cs="Arial"/>
          <w:sz w:val="22"/>
          <w:szCs w:val="22"/>
        </w:rPr>
      </w:pPr>
      <w:r w:rsidRPr="006F5D9C">
        <w:rPr>
          <w:rFonts w:ascii="Arial" w:hAnsi="Arial" w:cs="Arial"/>
          <w:sz w:val="22"/>
          <w:szCs w:val="22"/>
        </w:rPr>
        <w:t xml:space="preserve">The modal per-read GC content of the 24 </w:t>
      </w:r>
      <w:proofErr w:type="spellStart"/>
      <w:r w:rsidRPr="006F5D9C">
        <w:rPr>
          <w:rFonts w:ascii="Arial" w:hAnsi="Arial" w:cs="Arial"/>
          <w:sz w:val="22"/>
          <w:szCs w:val="22"/>
        </w:rPr>
        <w:t>μg</w:t>
      </w:r>
      <w:proofErr w:type="spellEnd"/>
      <w:r w:rsidRPr="006F5D9C">
        <w:rPr>
          <w:rFonts w:ascii="Arial" w:hAnsi="Arial" w:cs="Arial"/>
          <w:sz w:val="22"/>
          <w:szCs w:val="22"/>
        </w:rPr>
        <w:t>/cm</w:t>
      </w:r>
      <w:r w:rsidRPr="00082FEE">
        <w:rPr>
          <w:rFonts w:ascii="Arial" w:hAnsi="Arial" w:cs="Arial"/>
          <w:sz w:val="22"/>
          <w:szCs w:val="22"/>
          <w:vertAlign w:val="superscript"/>
        </w:rPr>
        <w:t>2</w:t>
      </w:r>
      <w:r w:rsidRPr="006F5D9C">
        <w:rPr>
          <w:rFonts w:ascii="Arial" w:hAnsi="Arial" w:cs="Arial"/>
          <w:sz w:val="22"/>
          <w:szCs w:val="22"/>
        </w:rPr>
        <w:t xml:space="preserve"> replicates was 57%, 80%, and 61%, respectively. In contrast, all other samples exhibited an approximately normal GC-content distribution with a modal GC content of ~49%. GC content across all trimmed reads was higher in the 24 </w:t>
      </w:r>
      <w:proofErr w:type="spellStart"/>
      <w:r w:rsidRPr="006F5D9C">
        <w:rPr>
          <w:rFonts w:ascii="Arial" w:hAnsi="Arial" w:cs="Arial"/>
          <w:sz w:val="22"/>
          <w:szCs w:val="22"/>
        </w:rPr>
        <w:t>μg</w:t>
      </w:r>
      <w:proofErr w:type="spellEnd"/>
      <w:r w:rsidRPr="006F5D9C">
        <w:rPr>
          <w:rFonts w:ascii="Arial" w:hAnsi="Arial" w:cs="Arial"/>
          <w:sz w:val="22"/>
          <w:szCs w:val="22"/>
        </w:rPr>
        <w:t>/cm</w:t>
      </w:r>
      <w:r w:rsidRPr="00082FEE">
        <w:rPr>
          <w:rFonts w:ascii="Arial" w:hAnsi="Arial" w:cs="Arial"/>
          <w:sz w:val="22"/>
          <w:szCs w:val="22"/>
          <w:vertAlign w:val="superscript"/>
        </w:rPr>
        <w:t>2</w:t>
      </w:r>
      <w:r w:rsidRPr="006F5D9C">
        <w:rPr>
          <w:rFonts w:ascii="Arial" w:hAnsi="Arial" w:cs="Arial"/>
          <w:sz w:val="22"/>
          <w:szCs w:val="22"/>
        </w:rPr>
        <w:t xml:space="preserve"> replicates, with a mean of 62.67% compared to 50.75% in the remaining primary HBEC samples (Figure 2</w:t>
      </w:r>
      <w:r w:rsidR="00ED68C6" w:rsidRPr="006F5D9C">
        <w:rPr>
          <w:rFonts w:ascii="Arial" w:hAnsi="Arial" w:cs="Arial"/>
          <w:sz w:val="22"/>
          <w:szCs w:val="22"/>
        </w:rPr>
        <w:t>A</w:t>
      </w:r>
      <w:r w:rsidRPr="006F5D9C">
        <w:rPr>
          <w:rFonts w:ascii="Arial" w:hAnsi="Arial" w:cs="Arial"/>
          <w:sz w:val="22"/>
          <w:szCs w:val="22"/>
        </w:rPr>
        <w:t xml:space="preserve">), and 49.75% in Calu-3 samples </w:t>
      </w:r>
      <w:r w:rsidR="006F0B33" w:rsidRPr="006F5D9C">
        <w:rPr>
          <w:rFonts w:ascii="Arial" w:hAnsi="Arial" w:cs="Arial"/>
          <w:sz w:val="22"/>
          <w:szCs w:val="22"/>
        </w:rPr>
        <w:t>(Supplementary Figure 1,2).</w:t>
      </w:r>
      <w:r w:rsidRPr="006F5D9C">
        <w:rPr>
          <w:rFonts w:ascii="Arial" w:hAnsi="Arial" w:cs="Arial"/>
          <w:sz w:val="22"/>
          <w:szCs w:val="22"/>
        </w:rPr>
        <w:t xml:space="preserve"> </w:t>
      </w:r>
    </w:p>
    <w:p w14:paraId="75BBF3F7" w14:textId="67C54962" w:rsidR="00F30DE9" w:rsidRPr="006F5D9C" w:rsidRDefault="00F30DE9" w:rsidP="006F5D9C">
      <w:pPr>
        <w:spacing w:line="360" w:lineRule="auto"/>
        <w:rPr>
          <w:rFonts w:ascii="Arial" w:hAnsi="Arial" w:cs="Arial"/>
          <w:sz w:val="22"/>
          <w:szCs w:val="22"/>
        </w:rPr>
      </w:pPr>
      <w:r w:rsidRPr="006F5D9C">
        <w:rPr>
          <w:rFonts w:ascii="Arial" w:hAnsi="Arial" w:cs="Arial"/>
          <w:sz w:val="22"/>
          <w:szCs w:val="22"/>
        </w:rPr>
        <w:lastRenderedPageBreak/>
        <w:t xml:space="preserve">Read-length distributions ranged from 18–30 bp. The modal read length was 21 bp in all samples except the 24 </w:t>
      </w:r>
      <w:proofErr w:type="spellStart"/>
      <w:r w:rsidRPr="006F5D9C">
        <w:rPr>
          <w:rFonts w:ascii="Arial" w:hAnsi="Arial" w:cs="Arial"/>
          <w:sz w:val="22"/>
          <w:szCs w:val="22"/>
        </w:rPr>
        <w:t>μg</w:t>
      </w:r>
      <w:proofErr w:type="spellEnd"/>
      <w:r w:rsidRPr="006F5D9C">
        <w:rPr>
          <w:rFonts w:ascii="Arial" w:hAnsi="Arial" w:cs="Arial"/>
          <w:sz w:val="22"/>
          <w:szCs w:val="22"/>
        </w:rPr>
        <w:t>/cm</w:t>
      </w:r>
      <w:r w:rsidRPr="00082FEE">
        <w:rPr>
          <w:rFonts w:ascii="Arial" w:hAnsi="Arial" w:cs="Arial"/>
          <w:sz w:val="22"/>
          <w:szCs w:val="22"/>
          <w:vertAlign w:val="superscript"/>
        </w:rPr>
        <w:t>2</w:t>
      </w:r>
      <w:r w:rsidRPr="006F5D9C">
        <w:rPr>
          <w:rFonts w:ascii="Arial" w:hAnsi="Arial" w:cs="Arial"/>
          <w:sz w:val="22"/>
          <w:szCs w:val="22"/>
        </w:rPr>
        <w:t xml:space="preserve"> replicates. In these samples, the modal read length was 18 bp, with a mean of 623,413 18 bp reads, compared with 314,956 in the remaining primary HBEC samples (Figure 2</w:t>
      </w:r>
      <w:r w:rsidR="00ED68C6" w:rsidRPr="006F5D9C">
        <w:rPr>
          <w:rFonts w:ascii="Arial" w:hAnsi="Arial" w:cs="Arial"/>
          <w:sz w:val="22"/>
          <w:szCs w:val="22"/>
        </w:rPr>
        <w:t>B</w:t>
      </w:r>
      <w:r w:rsidRPr="006F5D9C">
        <w:rPr>
          <w:rFonts w:ascii="Arial" w:hAnsi="Arial" w:cs="Arial"/>
          <w:sz w:val="22"/>
          <w:szCs w:val="22"/>
        </w:rPr>
        <w:t>), and 280,651 in Calu-3 samples.</w:t>
      </w:r>
    </w:p>
    <w:p w14:paraId="468B4816" w14:textId="43EE43AB" w:rsidR="00F30DE9" w:rsidRPr="006F5D9C" w:rsidRDefault="00F30DE9" w:rsidP="006F5D9C">
      <w:pPr>
        <w:spacing w:line="360" w:lineRule="auto"/>
        <w:rPr>
          <w:rFonts w:ascii="Arial" w:hAnsi="Arial" w:cs="Arial"/>
          <w:sz w:val="22"/>
          <w:szCs w:val="22"/>
        </w:rPr>
      </w:pPr>
      <w:r w:rsidRPr="006F5D9C">
        <w:rPr>
          <w:rFonts w:ascii="Arial" w:hAnsi="Arial" w:cs="Arial"/>
          <w:sz w:val="22"/>
          <w:szCs w:val="22"/>
        </w:rPr>
        <w:t xml:space="preserve">The 24 </w:t>
      </w:r>
      <w:proofErr w:type="spellStart"/>
      <w:r w:rsidRPr="006F5D9C">
        <w:rPr>
          <w:rFonts w:ascii="Arial" w:hAnsi="Arial" w:cs="Arial"/>
          <w:sz w:val="22"/>
          <w:szCs w:val="22"/>
        </w:rPr>
        <w:t>μg</w:t>
      </w:r>
      <w:proofErr w:type="spellEnd"/>
      <w:r w:rsidRPr="006F5D9C">
        <w:rPr>
          <w:rFonts w:ascii="Arial" w:hAnsi="Arial" w:cs="Arial"/>
          <w:sz w:val="22"/>
          <w:szCs w:val="22"/>
        </w:rPr>
        <w:t>/cm</w:t>
      </w:r>
      <w:r w:rsidRPr="00082FEE">
        <w:rPr>
          <w:rFonts w:ascii="Arial" w:hAnsi="Arial" w:cs="Arial"/>
          <w:sz w:val="22"/>
          <w:szCs w:val="22"/>
          <w:vertAlign w:val="superscript"/>
        </w:rPr>
        <w:t>2</w:t>
      </w:r>
      <w:r w:rsidRPr="006F5D9C">
        <w:rPr>
          <w:rFonts w:ascii="Arial" w:hAnsi="Arial" w:cs="Arial"/>
          <w:sz w:val="22"/>
          <w:szCs w:val="22"/>
        </w:rPr>
        <w:t xml:space="preserve"> replicates exhibited higher levels of sequence duplication than the remaining samples, containing a mean of 42.1% of reads with duplication levels greater than 10,000-fold, compared with 5.3% in the remaining primary HBEC samples (Figure 2</w:t>
      </w:r>
      <w:r w:rsidR="00ED68C6" w:rsidRPr="006F5D9C">
        <w:rPr>
          <w:rFonts w:ascii="Arial" w:hAnsi="Arial" w:cs="Arial"/>
          <w:sz w:val="22"/>
          <w:szCs w:val="22"/>
        </w:rPr>
        <w:t>C</w:t>
      </w:r>
      <w:r w:rsidRPr="006F5D9C">
        <w:rPr>
          <w:rFonts w:ascii="Arial" w:hAnsi="Arial" w:cs="Arial"/>
          <w:sz w:val="22"/>
          <w:szCs w:val="22"/>
        </w:rPr>
        <w:t>), and 3.7% in Calu-3 samples</w:t>
      </w:r>
    </w:p>
    <w:p w14:paraId="17DC2DA5" w14:textId="77777777" w:rsidR="00F30DE9" w:rsidRPr="006F5D9C" w:rsidRDefault="00F30DE9" w:rsidP="006F5D9C">
      <w:pPr>
        <w:spacing w:line="360" w:lineRule="auto"/>
        <w:rPr>
          <w:rFonts w:ascii="Arial" w:hAnsi="Arial" w:cs="Arial"/>
          <w:b/>
          <w:bCs/>
          <w:sz w:val="22"/>
          <w:szCs w:val="22"/>
        </w:rPr>
      </w:pPr>
    </w:p>
    <w:p w14:paraId="225FB813" w14:textId="01FE67AE" w:rsidR="00F30DE9" w:rsidRPr="006F5D9C" w:rsidRDefault="00F30DE9" w:rsidP="006F5D9C">
      <w:pPr>
        <w:spacing w:line="360" w:lineRule="auto"/>
        <w:rPr>
          <w:rFonts w:ascii="Arial" w:hAnsi="Arial" w:cs="Arial"/>
          <w:b/>
          <w:bCs/>
          <w:sz w:val="22"/>
          <w:szCs w:val="22"/>
        </w:rPr>
      </w:pPr>
      <w:r w:rsidRPr="006F5D9C">
        <w:rPr>
          <w:rFonts w:ascii="Arial" w:hAnsi="Arial" w:cs="Arial"/>
          <w:b/>
          <w:bCs/>
          <w:sz w:val="22"/>
          <w:szCs w:val="22"/>
        </w:rPr>
        <w:t>Assessment of miRNA representation in trimmed read sequencing libraries</w:t>
      </w:r>
    </w:p>
    <w:p w14:paraId="4D2586C5" w14:textId="5E97899E" w:rsidR="00F30DE9" w:rsidRDefault="00F30DE9" w:rsidP="006F5D9C">
      <w:pPr>
        <w:spacing w:line="360" w:lineRule="auto"/>
        <w:rPr>
          <w:rFonts w:ascii="Arial" w:hAnsi="Arial" w:cs="Arial"/>
          <w:sz w:val="22"/>
          <w:szCs w:val="22"/>
        </w:rPr>
      </w:pPr>
      <w:r w:rsidRPr="006F5D9C">
        <w:rPr>
          <w:rFonts w:ascii="Arial" w:hAnsi="Arial" w:cs="Arial"/>
          <w:sz w:val="22"/>
          <w:szCs w:val="22"/>
        </w:rPr>
        <w:t xml:space="preserve">RNA composition was analysed using </w:t>
      </w:r>
      <w:proofErr w:type="spellStart"/>
      <w:r w:rsidRPr="006F5D9C">
        <w:rPr>
          <w:rFonts w:ascii="Arial" w:hAnsi="Arial" w:cs="Arial"/>
          <w:sz w:val="22"/>
          <w:szCs w:val="22"/>
        </w:rPr>
        <w:t>miRTrace</w:t>
      </w:r>
      <w:proofErr w:type="spellEnd"/>
      <w:r w:rsidRPr="006F5D9C">
        <w:rPr>
          <w:rFonts w:ascii="Arial" w:hAnsi="Arial" w:cs="Arial"/>
          <w:sz w:val="22"/>
          <w:szCs w:val="22"/>
        </w:rPr>
        <w:t xml:space="preserve"> for all trimmed primary HBEC and Calu-3 samples. For primary HBEC samples, the mean number of reads assigned to miRNAs by </w:t>
      </w:r>
      <w:proofErr w:type="spellStart"/>
      <w:r w:rsidRPr="006F5D9C">
        <w:rPr>
          <w:rFonts w:ascii="Arial" w:hAnsi="Arial" w:cs="Arial"/>
          <w:sz w:val="22"/>
          <w:szCs w:val="22"/>
        </w:rPr>
        <w:t>miRTrace</w:t>
      </w:r>
      <w:proofErr w:type="spellEnd"/>
      <w:r w:rsidRPr="006F5D9C">
        <w:rPr>
          <w:rFonts w:ascii="Arial" w:hAnsi="Arial" w:cs="Arial"/>
          <w:sz w:val="22"/>
          <w:szCs w:val="22"/>
        </w:rPr>
        <w:t xml:space="preserve"> was 44,681, representing 0.75% of total trimmed reads. For Calu-3 samples, the mean number of reads assigned to miRNAs was 2,496, representing 0.045% of total trimmed reads, with a range of 594–4,379 reads (Figure 3</w:t>
      </w:r>
      <w:r w:rsidR="00ED68C6" w:rsidRPr="006F5D9C">
        <w:rPr>
          <w:rFonts w:ascii="Arial" w:hAnsi="Arial" w:cs="Arial"/>
          <w:sz w:val="22"/>
          <w:szCs w:val="22"/>
        </w:rPr>
        <w:t>A</w:t>
      </w:r>
      <w:r w:rsidRPr="006F5D9C">
        <w:rPr>
          <w:rFonts w:ascii="Arial" w:hAnsi="Arial" w:cs="Arial"/>
          <w:sz w:val="22"/>
          <w:szCs w:val="22"/>
        </w:rPr>
        <w:t>).</w:t>
      </w:r>
    </w:p>
    <w:p w14:paraId="00C400B8" w14:textId="77777777" w:rsidR="00735691" w:rsidRDefault="00735691" w:rsidP="006F5D9C">
      <w:pPr>
        <w:spacing w:line="360" w:lineRule="auto"/>
        <w:rPr>
          <w:rFonts w:ascii="Arial" w:hAnsi="Arial" w:cs="Arial"/>
          <w:sz w:val="22"/>
          <w:szCs w:val="22"/>
        </w:rPr>
      </w:pPr>
    </w:p>
    <w:p w14:paraId="544BFF1C" w14:textId="77777777" w:rsidR="00735691" w:rsidRPr="006F5D9C" w:rsidRDefault="00735691" w:rsidP="00735691">
      <w:pPr>
        <w:spacing w:line="360" w:lineRule="auto"/>
        <w:rPr>
          <w:rFonts w:ascii="Arial" w:hAnsi="Arial" w:cs="Arial"/>
          <w:sz w:val="22"/>
          <w:szCs w:val="22"/>
        </w:rPr>
      </w:pPr>
      <w:r w:rsidRPr="006F5D9C">
        <w:rPr>
          <w:rFonts w:ascii="Arial" w:hAnsi="Arial" w:cs="Arial"/>
          <w:noProof/>
          <w:sz w:val="22"/>
          <w:szCs w:val="22"/>
        </w:rPr>
        <w:drawing>
          <wp:inline distT="0" distB="0" distL="0" distR="0" wp14:anchorId="03EF1806" wp14:editId="07F626C7">
            <wp:extent cx="5731276" cy="4193759"/>
            <wp:effectExtent l="0" t="0" r="0" b="0"/>
            <wp:docPr id="6769684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968496" name="Picture 676968496"/>
                    <pic:cNvPicPr/>
                  </pic:nvPicPr>
                  <pic:blipFill>
                    <a:blip r:embed="rId15"/>
                    <a:stretch>
                      <a:fillRect/>
                    </a:stretch>
                  </pic:blipFill>
                  <pic:spPr>
                    <a:xfrm>
                      <a:off x="0" y="0"/>
                      <a:ext cx="5748654" cy="4206475"/>
                    </a:xfrm>
                    <a:prstGeom prst="rect">
                      <a:avLst/>
                    </a:prstGeom>
                  </pic:spPr>
                </pic:pic>
              </a:graphicData>
            </a:graphic>
          </wp:inline>
        </w:drawing>
      </w:r>
    </w:p>
    <w:p w14:paraId="0286AEDD" w14:textId="26A3EA66" w:rsidR="00735691" w:rsidRPr="00BC0594" w:rsidRDefault="00735691" w:rsidP="00257F5E">
      <w:pPr>
        <w:spacing w:line="240" w:lineRule="auto"/>
        <w:rPr>
          <w:rFonts w:ascii="Arial" w:hAnsi="Arial" w:cs="Arial"/>
          <w:sz w:val="20"/>
          <w:szCs w:val="20"/>
        </w:rPr>
      </w:pPr>
      <w:r w:rsidRPr="00BC0594">
        <w:rPr>
          <w:rFonts w:ascii="Arial" w:hAnsi="Arial" w:cs="Arial"/>
          <w:b/>
          <w:bCs/>
          <w:sz w:val="20"/>
          <w:szCs w:val="20"/>
        </w:rPr>
        <w:t>Figure 3: RNA composition analysis of primary HBEC and Calu-3 datasets.</w:t>
      </w:r>
      <w:r w:rsidRPr="00BC0594">
        <w:rPr>
          <w:rFonts w:ascii="Arial" w:hAnsi="Arial" w:cs="Arial"/>
          <w:sz w:val="20"/>
          <w:szCs w:val="20"/>
        </w:rPr>
        <w:t xml:space="preserve"> Sequencing reads for all trimmed primary human bronchial epithelial cell (HBEC) samples (N=15) and Calu-3 samples </w:t>
      </w:r>
      <w:r w:rsidRPr="00BC0594">
        <w:rPr>
          <w:rFonts w:ascii="Arial" w:hAnsi="Arial" w:cs="Arial"/>
          <w:sz w:val="20"/>
          <w:szCs w:val="20"/>
        </w:rPr>
        <w:lastRenderedPageBreak/>
        <w:t xml:space="preserve">(N=12) were categorised according to RNA species using </w:t>
      </w:r>
      <w:proofErr w:type="spellStart"/>
      <w:r w:rsidRPr="00BC0594">
        <w:rPr>
          <w:rFonts w:ascii="Arial" w:hAnsi="Arial" w:cs="Arial"/>
          <w:sz w:val="20"/>
          <w:szCs w:val="20"/>
        </w:rPr>
        <w:t>miRTrace</w:t>
      </w:r>
      <w:proofErr w:type="spellEnd"/>
      <w:r w:rsidRPr="00BC0594">
        <w:rPr>
          <w:rFonts w:ascii="Arial" w:hAnsi="Arial" w:cs="Arial"/>
          <w:sz w:val="20"/>
          <w:szCs w:val="20"/>
        </w:rPr>
        <w:t xml:space="preserve"> software then compiled into a single report using </w:t>
      </w:r>
      <w:proofErr w:type="spellStart"/>
      <w:r w:rsidRPr="00BC0594">
        <w:rPr>
          <w:rFonts w:ascii="Arial" w:hAnsi="Arial" w:cs="Arial"/>
          <w:sz w:val="20"/>
          <w:szCs w:val="20"/>
        </w:rPr>
        <w:t>MultiQC</w:t>
      </w:r>
      <w:proofErr w:type="spellEnd"/>
      <w:r w:rsidRPr="00BC0594">
        <w:rPr>
          <w:rFonts w:ascii="Arial" w:hAnsi="Arial" w:cs="Arial"/>
          <w:sz w:val="20"/>
          <w:szCs w:val="20"/>
        </w:rPr>
        <w:t xml:space="preserve">. </w:t>
      </w:r>
      <w:proofErr w:type="spellStart"/>
      <w:r w:rsidRPr="00BC0594">
        <w:rPr>
          <w:rFonts w:ascii="Arial" w:hAnsi="Arial" w:cs="Arial"/>
          <w:sz w:val="20"/>
          <w:szCs w:val="20"/>
        </w:rPr>
        <w:t>MultiQC</w:t>
      </w:r>
      <w:proofErr w:type="spellEnd"/>
      <w:r w:rsidRPr="00BC0594">
        <w:rPr>
          <w:rFonts w:ascii="Arial" w:hAnsi="Arial" w:cs="Arial"/>
          <w:sz w:val="20"/>
          <w:szCs w:val="20"/>
        </w:rPr>
        <w:t xml:space="preserve"> plot data was then loaded into RStudio to generate the plots in this figure. (A) Boxplots showing the miRNA-assigned read count across all samples for the primary HBEC and Calu-3 experiments. The type of cells investigated in the experiment is shown on the x-axis and number of reads categorised as miRNA are shown on the y-axis; mean miRNA count is indicated with a red star. (B) Boxplots showing the miRNA-assigned read count across each exposure condition in the primary HBEC experiment, where there is n=3 samples per condition. Exposure condition is shown on the x-axis where dose is in </w:t>
      </w:r>
      <w:proofErr w:type="spellStart"/>
      <w:r w:rsidRPr="00BC0594">
        <w:rPr>
          <w:rFonts w:ascii="Arial" w:hAnsi="Arial" w:cs="Arial"/>
          <w:sz w:val="20"/>
          <w:szCs w:val="20"/>
        </w:rPr>
        <w:t>μg</w:t>
      </w:r>
      <w:proofErr w:type="spellEnd"/>
      <w:r w:rsidRPr="00BC0594">
        <w:rPr>
          <w:rFonts w:ascii="Arial" w:hAnsi="Arial" w:cs="Arial"/>
          <w:sz w:val="20"/>
          <w:szCs w:val="20"/>
        </w:rPr>
        <w:t xml:space="preserve">/cm², the number of reads categorised as miRNA are shown on the y-axis; mean miRNA count is indicated with a red star. (C) Boxplots showing the miRNA-assigned read count across each exposure condition in the Calu-3 experiment, where there is n=3 samples per condition. Exposure condition is shown on the x-axis where “Dog” = Can f 1, “HDM Active” = Der p 1 (active) and “HDM Inactive” = Der p 1 (inactive); the number of reads categorised as miRNA are shown on the y-axis, mean miRNA count is indicated with a red star. (D, E) Sequencing library RNA composition of all primary HBECs (D) and Calu-3 (E) samples where each distinct RNA species is displayed as a proportion of the total library and indicated with a </w:t>
      </w:r>
      <w:r w:rsidR="00640210">
        <w:rPr>
          <w:rFonts w:ascii="Arial" w:hAnsi="Arial" w:cs="Arial"/>
          <w:sz w:val="20"/>
          <w:szCs w:val="20"/>
        </w:rPr>
        <w:t>distinct</w:t>
      </w:r>
      <w:r w:rsidRPr="00BC0594">
        <w:rPr>
          <w:rFonts w:ascii="Arial" w:hAnsi="Arial" w:cs="Arial"/>
          <w:sz w:val="20"/>
          <w:szCs w:val="20"/>
        </w:rPr>
        <w:t xml:space="preserve"> colour. Samples are shown on the y-axis and are grouped by their experimental condition along with the replicate number which is presented in brackets. For primary HBEC samples, doses are in </w:t>
      </w:r>
      <w:proofErr w:type="spellStart"/>
      <w:r w:rsidRPr="00BC0594">
        <w:rPr>
          <w:rFonts w:ascii="Arial" w:hAnsi="Arial" w:cs="Arial"/>
          <w:sz w:val="20"/>
          <w:szCs w:val="20"/>
        </w:rPr>
        <w:t>μg</w:t>
      </w:r>
      <w:proofErr w:type="spellEnd"/>
      <w:r w:rsidRPr="00BC0594">
        <w:rPr>
          <w:rFonts w:ascii="Arial" w:hAnsi="Arial" w:cs="Arial"/>
          <w:sz w:val="20"/>
          <w:szCs w:val="20"/>
        </w:rPr>
        <w:t xml:space="preserve">/cm². RNA species abbreviations: “miRNA” = </w:t>
      </w:r>
      <w:r w:rsidR="00640210" w:rsidRPr="00BC0594">
        <w:rPr>
          <w:rFonts w:ascii="Arial" w:hAnsi="Arial" w:cs="Arial"/>
          <w:sz w:val="20"/>
          <w:szCs w:val="20"/>
        </w:rPr>
        <w:t>micro-RNA</w:t>
      </w:r>
      <w:r w:rsidRPr="00BC0594">
        <w:rPr>
          <w:rFonts w:ascii="Arial" w:hAnsi="Arial" w:cs="Arial"/>
          <w:sz w:val="20"/>
          <w:szCs w:val="20"/>
        </w:rPr>
        <w:t>, “rRNA” = ribosomal RNA, “tRNA” = transfer RNA.</w:t>
      </w:r>
    </w:p>
    <w:p w14:paraId="33B0138D" w14:textId="6F762CD8" w:rsidR="00F30DE9" w:rsidRPr="006F5D9C" w:rsidRDefault="00F30DE9" w:rsidP="006F5D9C">
      <w:pPr>
        <w:spacing w:line="360" w:lineRule="auto"/>
        <w:rPr>
          <w:rFonts w:ascii="Arial" w:hAnsi="Arial" w:cs="Arial"/>
          <w:sz w:val="22"/>
          <w:szCs w:val="22"/>
        </w:rPr>
      </w:pPr>
      <w:r w:rsidRPr="006F5D9C">
        <w:rPr>
          <w:rFonts w:ascii="Arial" w:hAnsi="Arial" w:cs="Arial"/>
          <w:sz w:val="22"/>
          <w:szCs w:val="22"/>
        </w:rPr>
        <w:t xml:space="preserve">To investigate the effect of allergen exposure on miRNA abundance, the number of reads assigned to miRNAs was calculated for each exposure condition. For primary HBECs, untreated samples had the lowest mean number of reads assigned to miRNAs (13,289; range: 11,098–16,332), whereas samples exposed to 24 </w:t>
      </w:r>
      <w:proofErr w:type="spellStart"/>
      <w:r w:rsidRPr="006F5D9C">
        <w:rPr>
          <w:rFonts w:ascii="Arial" w:hAnsi="Arial" w:cs="Arial"/>
          <w:sz w:val="22"/>
          <w:szCs w:val="22"/>
        </w:rPr>
        <w:t>μg</w:t>
      </w:r>
      <w:proofErr w:type="spellEnd"/>
      <w:r w:rsidRPr="006F5D9C">
        <w:rPr>
          <w:rFonts w:ascii="Arial" w:hAnsi="Arial" w:cs="Arial"/>
          <w:sz w:val="22"/>
          <w:szCs w:val="22"/>
        </w:rPr>
        <w:t xml:space="preserve">/cm² had the highest mean (74,738) (Figure </w:t>
      </w:r>
      <w:r w:rsidR="00ED68C6" w:rsidRPr="006F5D9C">
        <w:rPr>
          <w:rFonts w:ascii="Arial" w:hAnsi="Arial" w:cs="Arial"/>
          <w:sz w:val="22"/>
          <w:szCs w:val="22"/>
        </w:rPr>
        <w:t>3B</w:t>
      </w:r>
      <w:r w:rsidRPr="006F5D9C">
        <w:rPr>
          <w:rFonts w:ascii="Arial" w:hAnsi="Arial" w:cs="Arial"/>
          <w:sz w:val="22"/>
          <w:szCs w:val="22"/>
        </w:rPr>
        <w:t xml:space="preserve">). However, the number of reads assigned to miRNAs did not show a clear dose-dependent trend, with the 0.005 </w:t>
      </w:r>
      <w:proofErr w:type="spellStart"/>
      <w:r w:rsidRPr="006F5D9C">
        <w:rPr>
          <w:rFonts w:ascii="Arial" w:hAnsi="Arial" w:cs="Arial"/>
          <w:sz w:val="22"/>
          <w:szCs w:val="22"/>
        </w:rPr>
        <w:t>μg</w:t>
      </w:r>
      <w:proofErr w:type="spellEnd"/>
      <w:r w:rsidRPr="006F5D9C">
        <w:rPr>
          <w:rFonts w:ascii="Arial" w:hAnsi="Arial" w:cs="Arial"/>
          <w:sz w:val="22"/>
          <w:szCs w:val="22"/>
        </w:rPr>
        <w:t xml:space="preserve">/cm² group having the second-highest mean, followed by the 0.08 and 2 </w:t>
      </w:r>
      <w:proofErr w:type="spellStart"/>
      <w:r w:rsidRPr="006F5D9C">
        <w:rPr>
          <w:rFonts w:ascii="Arial" w:hAnsi="Arial" w:cs="Arial"/>
          <w:sz w:val="22"/>
          <w:szCs w:val="22"/>
        </w:rPr>
        <w:t>μg</w:t>
      </w:r>
      <w:proofErr w:type="spellEnd"/>
      <w:r w:rsidRPr="006F5D9C">
        <w:rPr>
          <w:rFonts w:ascii="Arial" w:hAnsi="Arial" w:cs="Arial"/>
          <w:sz w:val="22"/>
          <w:szCs w:val="22"/>
        </w:rPr>
        <w:t xml:space="preserve">/cm² groups, respectively. The elevated mean in the 0.005 </w:t>
      </w:r>
      <w:proofErr w:type="spellStart"/>
      <w:r w:rsidRPr="006F5D9C">
        <w:rPr>
          <w:rFonts w:ascii="Arial" w:hAnsi="Arial" w:cs="Arial"/>
          <w:sz w:val="22"/>
          <w:szCs w:val="22"/>
        </w:rPr>
        <w:t>μg</w:t>
      </w:r>
      <w:proofErr w:type="spellEnd"/>
      <w:r w:rsidRPr="006F5D9C">
        <w:rPr>
          <w:rFonts w:ascii="Arial" w:hAnsi="Arial" w:cs="Arial"/>
          <w:sz w:val="22"/>
          <w:szCs w:val="22"/>
        </w:rPr>
        <w:t xml:space="preserve">/cm² group was influenced by a single replicate (replicate </w:t>
      </w:r>
      <w:r w:rsidR="00ED68C6" w:rsidRPr="006F5D9C">
        <w:rPr>
          <w:rFonts w:ascii="Arial" w:hAnsi="Arial" w:cs="Arial"/>
          <w:sz w:val="22"/>
          <w:szCs w:val="22"/>
        </w:rPr>
        <w:t>3</w:t>
      </w:r>
      <w:r w:rsidRPr="006F5D9C">
        <w:rPr>
          <w:rFonts w:ascii="Arial" w:hAnsi="Arial" w:cs="Arial"/>
          <w:sz w:val="22"/>
          <w:szCs w:val="22"/>
        </w:rPr>
        <w:t xml:space="preserve">), which contained 135,524 reads assigned to miRNAs, the highest value observed among all samples. For Calu-3 samples, the Der p 1 active group had the highest mean number of reads assigned to miRNAs, whereas the Can f 1 group had the lowest (Figure </w:t>
      </w:r>
      <w:r w:rsidR="00ED68C6" w:rsidRPr="006F5D9C">
        <w:rPr>
          <w:rFonts w:ascii="Arial" w:hAnsi="Arial" w:cs="Arial"/>
          <w:sz w:val="22"/>
          <w:szCs w:val="22"/>
        </w:rPr>
        <w:t>3C</w:t>
      </w:r>
      <w:r w:rsidRPr="006F5D9C">
        <w:rPr>
          <w:rFonts w:ascii="Arial" w:hAnsi="Arial" w:cs="Arial"/>
          <w:sz w:val="22"/>
          <w:szCs w:val="22"/>
        </w:rPr>
        <w:t>).</w:t>
      </w:r>
    </w:p>
    <w:p w14:paraId="04EAD5DA" w14:textId="33F2CD54" w:rsidR="00F30DE9" w:rsidRPr="006F5D9C" w:rsidRDefault="00F30DE9" w:rsidP="006F5D9C">
      <w:pPr>
        <w:spacing w:line="360" w:lineRule="auto"/>
        <w:rPr>
          <w:rFonts w:ascii="Arial" w:hAnsi="Arial" w:cs="Arial"/>
          <w:sz w:val="22"/>
          <w:szCs w:val="22"/>
        </w:rPr>
      </w:pPr>
      <w:r w:rsidRPr="006F5D9C">
        <w:rPr>
          <w:rFonts w:ascii="Arial" w:hAnsi="Arial" w:cs="Arial"/>
          <w:sz w:val="22"/>
          <w:szCs w:val="22"/>
        </w:rPr>
        <w:t xml:space="preserve">Analysis of other RNA species revealed that primary HBEC samples exposed to 24 </w:t>
      </w:r>
      <w:proofErr w:type="spellStart"/>
      <w:r w:rsidRPr="006F5D9C">
        <w:rPr>
          <w:rFonts w:ascii="Arial" w:hAnsi="Arial" w:cs="Arial"/>
          <w:sz w:val="22"/>
          <w:szCs w:val="22"/>
        </w:rPr>
        <w:t>μg</w:t>
      </w:r>
      <w:proofErr w:type="spellEnd"/>
      <w:r w:rsidRPr="006F5D9C">
        <w:rPr>
          <w:rFonts w:ascii="Arial" w:hAnsi="Arial" w:cs="Arial"/>
          <w:sz w:val="22"/>
          <w:szCs w:val="22"/>
        </w:rPr>
        <w:t xml:space="preserve">/cm² contained a higher proportion of transfer RNA (tRNA) and ribosomal RNA (rRNA) than the other exposure groups. The mean proportion of rRNA in the 24 </w:t>
      </w:r>
      <w:proofErr w:type="spellStart"/>
      <w:r w:rsidRPr="006F5D9C">
        <w:rPr>
          <w:rFonts w:ascii="Arial" w:hAnsi="Arial" w:cs="Arial"/>
          <w:sz w:val="22"/>
          <w:szCs w:val="22"/>
        </w:rPr>
        <w:t>μg</w:t>
      </w:r>
      <w:proofErr w:type="spellEnd"/>
      <w:r w:rsidRPr="006F5D9C">
        <w:rPr>
          <w:rFonts w:ascii="Arial" w:hAnsi="Arial" w:cs="Arial"/>
          <w:sz w:val="22"/>
          <w:szCs w:val="22"/>
        </w:rPr>
        <w:t>/cm² group was 53.4%, compared with a mean of 8.52% across the remaining primary HBEC samples (Figure 3</w:t>
      </w:r>
      <w:r w:rsidR="00ED68C6" w:rsidRPr="006F5D9C">
        <w:rPr>
          <w:rFonts w:ascii="Arial" w:hAnsi="Arial" w:cs="Arial"/>
          <w:sz w:val="22"/>
          <w:szCs w:val="22"/>
        </w:rPr>
        <w:t>D</w:t>
      </w:r>
      <w:r w:rsidRPr="006F5D9C">
        <w:rPr>
          <w:rFonts w:ascii="Arial" w:hAnsi="Arial" w:cs="Arial"/>
          <w:sz w:val="22"/>
          <w:szCs w:val="22"/>
        </w:rPr>
        <w:t>). In Calu-3 samples, only small proportions of reads were assigned to rRNA and tRNA (Figure 3</w:t>
      </w:r>
      <w:r w:rsidR="00ED68C6" w:rsidRPr="006F5D9C">
        <w:rPr>
          <w:rFonts w:ascii="Arial" w:hAnsi="Arial" w:cs="Arial"/>
          <w:sz w:val="22"/>
          <w:szCs w:val="22"/>
        </w:rPr>
        <w:t>E</w:t>
      </w:r>
      <w:r w:rsidRPr="006F5D9C">
        <w:rPr>
          <w:rFonts w:ascii="Arial" w:hAnsi="Arial" w:cs="Arial"/>
          <w:sz w:val="22"/>
          <w:szCs w:val="22"/>
        </w:rPr>
        <w:t xml:space="preserve">). These findings demonstrated that the 24 </w:t>
      </w:r>
      <w:proofErr w:type="spellStart"/>
      <w:r w:rsidRPr="006F5D9C">
        <w:rPr>
          <w:rFonts w:ascii="Arial" w:hAnsi="Arial" w:cs="Arial"/>
          <w:sz w:val="22"/>
          <w:szCs w:val="22"/>
        </w:rPr>
        <w:t>μg</w:t>
      </w:r>
      <w:proofErr w:type="spellEnd"/>
      <w:r w:rsidRPr="006F5D9C">
        <w:rPr>
          <w:rFonts w:ascii="Arial" w:hAnsi="Arial" w:cs="Arial"/>
          <w:sz w:val="22"/>
          <w:szCs w:val="22"/>
        </w:rPr>
        <w:t>/cm² samples exhibited distinct RNA composition profiles compared with the other protease exposure conditions.</w:t>
      </w:r>
    </w:p>
    <w:p w14:paraId="2A21E088" w14:textId="6ED12AF5" w:rsidR="00F30DE9" w:rsidRPr="00BC0594" w:rsidRDefault="00F30DE9" w:rsidP="00735691">
      <w:pPr>
        <w:spacing w:line="360" w:lineRule="auto"/>
        <w:rPr>
          <w:rFonts w:ascii="Arial" w:hAnsi="Arial" w:cs="Arial"/>
          <w:sz w:val="20"/>
          <w:szCs w:val="20"/>
        </w:rPr>
      </w:pPr>
      <w:r w:rsidRPr="006F5D9C">
        <w:rPr>
          <w:rFonts w:ascii="Arial" w:hAnsi="Arial" w:cs="Arial"/>
          <w:sz w:val="22"/>
          <w:szCs w:val="22"/>
        </w:rPr>
        <w:t>Overall, the lowest number of reads assigned to miRNAs in primary HBECs was observed in untreated samples. Furthermore, only a small proportion of trimmed reads from the Calu-3 sequencing libraries were assigned to miRNAs, which may limit the statistical power of downstream DE analysis.</w:t>
      </w:r>
    </w:p>
    <w:p w14:paraId="25B73F26" w14:textId="77777777" w:rsidR="00F30DE9" w:rsidRPr="006F5D9C" w:rsidRDefault="00F30DE9" w:rsidP="006F5D9C">
      <w:pPr>
        <w:spacing w:line="360" w:lineRule="auto"/>
        <w:rPr>
          <w:rFonts w:ascii="Arial" w:hAnsi="Arial" w:cs="Arial"/>
          <w:b/>
          <w:bCs/>
          <w:sz w:val="22"/>
          <w:szCs w:val="22"/>
        </w:rPr>
      </w:pPr>
    </w:p>
    <w:p w14:paraId="4F0D17DC" w14:textId="2896368B" w:rsidR="00F30DE9" w:rsidRPr="006F5D9C" w:rsidRDefault="00F30DE9" w:rsidP="006F5D9C">
      <w:pPr>
        <w:spacing w:line="360" w:lineRule="auto"/>
        <w:rPr>
          <w:rFonts w:ascii="Arial" w:hAnsi="Arial" w:cs="Arial"/>
          <w:b/>
          <w:bCs/>
          <w:sz w:val="22"/>
          <w:szCs w:val="22"/>
        </w:rPr>
      </w:pPr>
      <w:r w:rsidRPr="006F5D9C">
        <w:rPr>
          <w:rFonts w:ascii="Arial" w:hAnsi="Arial" w:cs="Arial"/>
          <w:b/>
          <w:bCs/>
          <w:sz w:val="22"/>
          <w:szCs w:val="22"/>
        </w:rPr>
        <w:t>Identification of differentially expressed EV-associated miRNAs</w:t>
      </w:r>
    </w:p>
    <w:p w14:paraId="44593C46" w14:textId="5DF811FF" w:rsidR="00F30DE9" w:rsidRPr="006F5D9C" w:rsidRDefault="00F30DE9" w:rsidP="006F5D9C">
      <w:pPr>
        <w:spacing w:line="360" w:lineRule="auto"/>
        <w:rPr>
          <w:rFonts w:ascii="Arial" w:hAnsi="Arial" w:cs="Arial"/>
          <w:sz w:val="22"/>
          <w:szCs w:val="22"/>
        </w:rPr>
      </w:pPr>
      <w:r w:rsidRPr="006F5D9C">
        <w:rPr>
          <w:rFonts w:ascii="Arial" w:hAnsi="Arial" w:cs="Arial"/>
          <w:sz w:val="22"/>
          <w:szCs w:val="22"/>
        </w:rPr>
        <w:lastRenderedPageBreak/>
        <w:t>Prior to DE analysis, a principal components analysis was used to investigate the relationship between replicates and exposure conditions within primary HBEC samples and Calu-3 samples (Figure 4</w:t>
      </w:r>
      <w:proofErr w:type="gramStart"/>
      <w:r w:rsidR="00ED68C6" w:rsidRPr="006F5D9C">
        <w:rPr>
          <w:rFonts w:ascii="Arial" w:hAnsi="Arial" w:cs="Arial"/>
          <w:sz w:val="22"/>
          <w:szCs w:val="22"/>
        </w:rPr>
        <w:t>A,B</w:t>
      </w:r>
      <w:proofErr w:type="gramEnd"/>
      <w:r w:rsidRPr="006F5D9C">
        <w:rPr>
          <w:rFonts w:ascii="Arial" w:hAnsi="Arial" w:cs="Arial"/>
          <w:sz w:val="22"/>
          <w:szCs w:val="22"/>
        </w:rPr>
        <w:t xml:space="preserve">). In primary HBEC samples, PCA showed separation between 24 </w:t>
      </w:r>
      <w:proofErr w:type="spellStart"/>
      <w:r w:rsidRPr="006F5D9C">
        <w:rPr>
          <w:rFonts w:ascii="Arial" w:hAnsi="Arial" w:cs="Arial"/>
          <w:sz w:val="22"/>
          <w:szCs w:val="22"/>
        </w:rPr>
        <w:t>μg</w:t>
      </w:r>
      <w:proofErr w:type="spellEnd"/>
      <w:r w:rsidRPr="006F5D9C">
        <w:rPr>
          <w:rFonts w:ascii="Arial" w:hAnsi="Arial" w:cs="Arial"/>
          <w:sz w:val="22"/>
          <w:szCs w:val="22"/>
        </w:rPr>
        <w:t xml:space="preserve">/cm² protease-treated samples and untreated samples along PC1, which explained 25% of the variance. Some separation between replicates was observed in the untreated group (replicate 3) and the 0.005 </w:t>
      </w:r>
      <w:proofErr w:type="spellStart"/>
      <w:r w:rsidRPr="006F5D9C">
        <w:rPr>
          <w:rFonts w:ascii="Arial" w:hAnsi="Arial" w:cs="Arial"/>
          <w:sz w:val="22"/>
          <w:szCs w:val="22"/>
        </w:rPr>
        <w:t>μg</w:t>
      </w:r>
      <w:proofErr w:type="spellEnd"/>
      <w:r w:rsidRPr="006F5D9C">
        <w:rPr>
          <w:rFonts w:ascii="Arial" w:hAnsi="Arial" w:cs="Arial"/>
          <w:sz w:val="22"/>
          <w:szCs w:val="22"/>
        </w:rPr>
        <w:t xml:space="preserve">/cm² group (replicate 2). Within the Calu-3 samples, </w:t>
      </w:r>
      <w:proofErr w:type="gramStart"/>
      <w:r w:rsidRPr="006F5D9C">
        <w:rPr>
          <w:rFonts w:ascii="Arial" w:hAnsi="Arial" w:cs="Arial"/>
          <w:sz w:val="22"/>
          <w:szCs w:val="22"/>
        </w:rPr>
        <w:t>Can</w:t>
      </w:r>
      <w:proofErr w:type="gramEnd"/>
      <w:r w:rsidRPr="006F5D9C">
        <w:rPr>
          <w:rFonts w:ascii="Arial" w:hAnsi="Arial" w:cs="Arial"/>
          <w:sz w:val="22"/>
          <w:szCs w:val="22"/>
        </w:rPr>
        <w:t xml:space="preserve"> f 1 (replicate 1) and untreated (replicate 2) samples showed separation from their corresponding replicates, whereas the remaining samples displayed clustering within their respective exposure groups. No samples were excluded based on PCA separation as each exposure group consisted of only three biological replicates and removal of samples would further reduce the statistical power of downstream DE analysis.</w:t>
      </w:r>
    </w:p>
    <w:p w14:paraId="02F012C7" w14:textId="388219E2" w:rsidR="00F30DE9" w:rsidRPr="006F5D9C" w:rsidRDefault="00F30DE9" w:rsidP="006F5D9C">
      <w:pPr>
        <w:spacing w:line="360" w:lineRule="auto"/>
        <w:rPr>
          <w:rFonts w:ascii="Arial" w:hAnsi="Arial" w:cs="Arial"/>
          <w:sz w:val="22"/>
          <w:szCs w:val="22"/>
        </w:rPr>
      </w:pPr>
      <w:r w:rsidRPr="006F5D9C">
        <w:rPr>
          <w:rFonts w:ascii="Arial" w:hAnsi="Arial" w:cs="Arial"/>
          <w:noProof/>
          <w:sz w:val="22"/>
          <w:szCs w:val="22"/>
        </w:rPr>
        <w:drawing>
          <wp:inline distT="0" distB="0" distL="0" distR="0" wp14:anchorId="7227D375" wp14:editId="60F07BD3">
            <wp:extent cx="5731510" cy="4011632"/>
            <wp:effectExtent l="0" t="0" r="0" b="1905"/>
            <wp:docPr id="81200333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003336" name="Picture 812003336"/>
                    <pic:cNvPicPr/>
                  </pic:nvPicPr>
                  <pic:blipFill>
                    <a:blip r:embed="rId16"/>
                    <a:stretch>
                      <a:fillRect/>
                    </a:stretch>
                  </pic:blipFill>
                  <pic:spPr>
                    <a:xfrm>
                      <a:off x="0" y="0"/>
                      <a:ext cx="5731510" cy="4011632"/>
                    </a:xfrm>
                    <a:prstGeom prst="rect">
                      <a:avLst/>
                    </a:prstGeom>
                  </pic:spPr>
                </pic:pic>
              </a:graphicData>
            </a:graphic>
          </wp:inline>
        </w:drawing>
      </w:r>
    </w:p>
    <w:p w14:paraId="04112FB4" w14:textId="5CE2848A" w:rsidR="00F30DE9" w:rsidRPr="00BC0594" w:rsidRDefault="00F30DE9" w:rsidP="00257F5E">
      <w:pPr>
        <w:spacing w:line="240" w:lineRule="auto"/>
        <w:rPr>
          <w:rFonts w:ascii="Arial" w:hAnsi="Arial" w:cs="Arial"/>
          <w:sz w:val="20"/>
          <w:szCs w:val="20"/>
        </w:rPr>
      </w:pPr>
      <w:r w:rsidRPr="00BC0594">
        <w:rPr>
          <w:rFonts w:ascii="Arial" w:hAnsi="Arial" w:cs="Arial"/>
          <w:b/>
          <w:bCs/>
          <w:sz w:val="20"/>
          <w:szCs w:val="20"/>
        </w:rPr>
        <w:t>Figure 4: Principal components analysis and differential expression results.</w:t>
      </w:r>
      <w:r w:rsidRPr="00BC0594">
        <w:rPr>
          <w:rFonts w:ascii="Arial" w:hAnsi="Arial" w:cs="Arial"/>
          <w:sz w:val="20"/>
          <w:szCs w:val="20"/>
        </w:rPr>
        <w:t xml:space="preserve"> Sample-sample distances were calculated using the </w:t>
      </w:r>
      <w:proofErr w:type="spellStart"/>
      <w:proofErr w:type="gramStart"/>
      <w:r w:rsidRPr="00640210">
        <w:rPr>
          <w:rFonts w:ascii="Arial" w:hAnsi="Arial" w:cs="Arial"/>
          <w:i/>
          <w:iCs/>
          <w:sz w:val="20"/>
          <w:szCs w:val="20"/>
        </w:rPr>
        <w:t>prcomp</w:t>
      </w:r>
      <w:proofErr w:type="spellEnd"/>
      <w:r w:rsidR="00640210">
        <w:rPr>
          <w:rFonts w:ascii="Arial" w:hAnsi="Arial" w:cs="Arial"/>
          <w:i/>
          <w:iCs/>
          <w:sz w:val="20"/>
          <w:szCs w:val="20"/>
        </w:rPr>
        <w:t>(</w:t>
      </w:r>
      <w:proofErr w:type="gramEnd"/>
      <w:r w:rsidR="00640210">
        <w:rPr>
          <w:rFonts w:ascii="Arial" w:hAnsi="Arial" w:cs="Arial"/>
          <w:i/>
          <w:iCs/>
          <w:sz w:val="20"/>
          <w:szCs w:val="20"/>
        </w:rPr>
        <w:t>)</w:t>
      </w:r>
      <w:r w:rsidRPr="00BC0594">
        <w:rPr>
          <w:rFonts w:ascii="Arial" w:hAnsi="Arial" w:cs="Arial"/>
          <w:sz w:val="20"/>
          <w:szCs w:val="20"/>
        </w:rPr>
        <w:t xml:space="preserve"> </w:t>
      </w:r>
      <w:r w:rsidR="00640210">
        <w:rPr>
          <w:rFonts w:ascii="Arial" w:hAnsi="Arial" w:cs="Arial"/>
          <w:sz w:val="20"/>
          <w:szCs w:val="20"/>
        </w:rPr>
        <w:t xml:space="preserve">function </w:t>
      </w:r>
      <w:r w:rsidRPr="00BC0594">
        <w:rPr>
          <w:rFonts w:ascii="Arial" w:hAnsi="Arial" w:cs="Arial"/>
          <w:sz w:val="20"/>
          <w:szCs w:val="20"/>
        </w:rPr>
        <w:t xml:space="preserve">from the default </w:t>
      </w:r>
      <w:r w:rsidRPr="00640210">
        <w:rPr>
          <w:rFonts w:ascii="Arial" w:hAnsi="Arial" w:cs="Arial"/>
          <w:i/>
          <w:iCs/>
          <w:sz w:val="20"/>
          <w:szCs w:val="20"/>
        </w:rPr>
        <w:t>stats</w:t>
      </w:r>
      <w:r w:rsidRPr="00BC0594">
        <w:rPr>
          <w:rFonts w:ascii="Arial" w:hAnsi="Arial" w:cs="Arial"/>
          <w:sz w:val="20"/>
          <w:szCs w:val="20"/>
        </w:rPr>
        <w:t xml:space="preserve"> package in RStudio based on log2 counts per million values for all samples retained after filtering in the </w:t>
      </w:r>
      <w:proofErr w:type="spellStart"/>
      <w:r w:rsidRPr="00640210">
        <w:rPr>
          <w:rFonts w:ascii="Arial" w:hAnsi="Arial" w:cs="Arial"/>
          <w:i/>
          <w:iCs/>
          <w:sz w:val="20"/>
          <w:szCs w:val="20"/>
        </w:rPr>
        <w:t>edgeR</w:t>
      </w:r>
      <w:proofErr w:type="spellEnd"/>
      <w:r w:rsidRPr="00BC0594">
        <w:rPr>
          <w:rFonts w:ascii="Arial" w:hAnsi="Arial" w:cs="Arial"/>
          <w:sz w:val="20"/>
          <w:szCs w:val="20"/>
        </w:rPr>
        <w:t xml:space="preserve"> differential expression workflow, with a prior count of 2 applied. Only the top two principal components (PCs) are shown; percentage variance explained is shown in brackets next to the PC on the x- and y-axes. Each dot represents an individual sample which is labelled with the condition and replicate numbers in brackets. Samples are coloured by allergen-exposure condition, where dose is in </w:t>
      </w:r>
      <w:proofErr w:type="spellStart"/>
      <w:r w:rsidRPr="00BC0594">
        <w:rPr>
          <w:rFonts w:ascii="Arial" w:hAnsi="Arial" w:cs="Arial"/>
          <w:sz w:val="20"/>
          <w:szCs w:val="20"/>
        </w:rPr>
        <w:t>μg</w:t>
      </w:r>
      <w:proofErr w:type="spellEnd"/>
      <w:r w:rsidRPr="00BC0594">
        <w:rPr>
          <w:rFonts w:ascii="Arial" w:hAnsi="Arial" w:cs="Arial"/>
          <w:sz w:val="20"/>
          <w:szCs w:val="20"/>
        </w:rPr>
        <w:t xml:space="preserve">/cm². (A) Primary HBEC samples (N=15). (B) Calu-3 samples (N=12). Differential expression analysis was performed using the </w:t>
      </w:r>
      <w:proofErr w:type="spellStart"/>
      <w:r w:rsidRPr="00BC0594">
        <w:rPr>
          <w:rFonts w:ascii="Arial" w:hAnsi="Arial" w:cs="Arial"/>
          <w:sz w:val="20"/>
          <w:szCs w:val="20"/>
        </w:rPr>
        <w:t>edgeR</w:t>
      </w:r>
      <w:proofErr w:type="spellEnd"/>
      <w:r w:rsidRPr="00BC0594">
        <w:rPr>
          <w:rFonts w:ascii="Arial" w:hAnsi="Arial" w:cs="Arial"/>
          <w:sz w:val="20"/>
          <w:szCs w:val="20"/>
        </w:rPr>
        <w:t xml:space="preserve"> R package, using miRNAs detected across all exposure conditions in the primary human bronchial epithelial cell (HBEC) experiment (n=147) and Calu-3 experiment (n=58). (C) Differentially expression results from the primary HBEC and Calu-3 experiments. Allergen-exposure conditions are shown on the x-axis with primary HBEC conditions shown in green and Calu-3 conditions in purple; dose is in </w:t>
      </w:r>
      <w:proofErr w:type="spellStart"/>
      <w:r w:rsidRPr="00BC0594">
        <w:rPr>
          <w:rFonts w:ascii="Arial" w:hAnsi="Arial" w:cs="Arial"/>
          <w:sz w:val="20"/>
          <w:szCs w:val="20"/>
        </w:rPr>
        <w:t>μg</w:t>
      </w:r>
      <w:proofErr w:type="spellEnd"/>
      <w:r w:rsidRPr="00BC0594">
        <w:rPr>
          <w:rFonts w:ascii="Arial" w:hAnsi="Arial" w:cs="Arial"/>
          <w:sz w:val="20"/>
          <w:szCs w:val="20"/>
        </w:rPr>
        <w:t>/cm². Bar</w:t>
      </w:r>
      <w:r w:rsidR="00180574">
        <w:rPr>
          <w:rFonts w:ascii="Arial" w:hAnsi="Arial" w:cs="Arial"/>
          <w:sz w:val="20"/>
          <w:szCs w:val="20"/>
        </w:rPr>
        <w:t xml:space="preserve"> </w:t>
      </w:r>
      <w:r w:rsidRPr="00BC0594">
        <w:rPr>
          <w:rFonts w:ascii="Arial" w:hAnsi="Arial" w:cs="Arial"/>
          <w:sz w:val="20"/>
          <w:szCs w:val="20"/>
        </w:rPr>
        <w:t>chart generated in RStudio.</w:t>
      </w:r>
    </w:p>
    <w:p w14:paraId="2E5BA093" w14:textId="01654F3F" w:rsidR="00F30DE9" w:rsidRPr="006F5D9C" w:rsidRDefault="00F30DE9" w:rsidP="006F5D9C">
      <w:pPr>
        <w:spacing w:line="360" w:lineRule="auto"/>
        <w:rPr>
          <w:rFonts w:ascii="Arial" w:hAnsi="Arial" w:cs="Arial"/>
          <w:sz w:val="22"/>
          <w:szCs w:val="22"/>
        </w:rPr>
      </w:pPr>
      <w:r w:rsidRPr="006F5D9C">
        <w:rPr>
          <w:rFonts w:ascii="Arial" w:hAnsi="Arial" w:cs="Arial"/>
          <w:sz w:val="22"/>
          <w:szCs w:val="22"/>
        </w:rPr>
        <w:lastRenderedPageBreak/>
        <w:t xml:space="preserve">Reads mapped to known </w:t>
      </w:r>
      <w:r w:rsidRPr="006F5D9C">
        <w:rPr>
          <w:rFonts w:ascii="Arial" w:hAnsi="Arial" w:cs="Arial"/>
          <w:i/>
          <w:iCs/>
          <w:sz w:val="22"/>
          <w:szCs w:val="22"/>
        </w:rPr>
        <w:t xml:space="preserve">Homo sapiens </w:t>
      </w:r>
      <w:r w:rsidRPr="006F5D9C">
        <w:rPr>
          <w:rFonts w:ascii="Arial" w:hAnsi="Arial" w:cs="Arial"/>
          <w:sz w:val="22"/>
          <w:szCs w:val="22"/>
        </w:rPr>
        <w:t xml:space="preserve">miRNAs annotated in the </w:t>
      </w:r>
      <w:proofErr w:type="spellStart"/>
      <w:r w:rsidRPr="006F5D9C">
        <w:rPr>
          <w:rFonts w:ascii="Arial" w:hAnsi="Arial" w:cs="Arial"/>
          <w:sz w:val="22"/>
          <w:szCs w:val="22"/>
        </w:rPr>
        <w:t>miRBase</w:t>
      </w:r>
      <w:proofErr w:type="spellEnd"/>
      <w:r w:rsidRPr="006F5D9C">
        <w:rPr>
          <w:rFonts w:ascii="Arial" w:hAnsi="Arial" w:cs="Arial"/>
          <w:sz w:val="22"/>
          <w:szCs w:val="22"/>
        </w:rPr>
        <w:t xml:space="preserve"> database were analysed using </w:t>
      </w:r>
      <w:proofErr w:type="spellStart"/>
      <w:r w:rsidRPr="006F5D9C">
        <w:rPr>
          <w:rFonts w:ascii="Arial" w:hAnsi="Arial" w:cs="Arial"/>
          <w:sz w:val="22"/>
          <w:szCs w:val="22"/>
        </w:rPr>
        <w:t>edgeR</w:t>
      </w:r>
      <w:proofErr w:type="spellEnd"/>
      <w:r w:rsidRPr="006F5D9C">
        <w:rPr>
          <w:rFonts w:ascii="Arial" w:hAnsi="Arial" w:cs="Arial"/>
          <w:sz w:val="22"/>
          <w:szCs w:val="22"/>
        </w:rPr>
        <w:t xml:space="preserve"> to identify differentially expressed miRNAs between treated and untreated primary HBEC samples and Calu-3 samples. In primary HBECs, 147 of the 562 miRNAs detected across all protease exposure conditions were retained following removal of lowly expressed miRNAs. In the 24 </w:t>
      </w:r>
      <w:proofErr w:type="spellStart"/>
      <w:r w:rsidRPr="006F5D9C">
        <w:rPr>
          <w:rFonts w:ascii="Arial" w:hAnsi="Arial" w:cs="Arial"/>
          <w:sz w:val="22"/>
          <w:szCs w:val="22"/>
        </w:rPr>
        <w:t>μg</w:t>
      </w:r>
      <w:proofErr w:type="spellEnd"/>
      <w:r w:rsidRPr="006F5D9C">
        <w:rPr>
          <w:rFonts w:ascii="Arial" w:hAnsi="Arial" w:cs="Arial"/>
          <w:sz w:val="22"/>
          <w:szCs w:val="22"/>
        </w:rPr>
        <w:t>/cm² exposure group, 27 miRNAs were significantly differentially expressed based on |</w:t>
      </w:r>
      <w:proofErr w:type="spellStart"/>
      <w:r w:rsidRPr="006F5D9C">
        <w:rPr>
          <w:rFonts w:ascii="Arial" w:hAnsi="Arial" w:cs="Arial"/>
          <w:sz w:val="22"/>
          <w:szCs w:val="22"/>
        </w:rPr>
        <w:t>logFC</w:t>
      </w:r>
      <w:proofErr w:type="spellEnd"/>
      <w:r w:rsidRPr="006F5D9C">
        <w:rPr>
          <w:rFonts w:ascii="Arial" w:hAnsi="Arial" w:cs="Arial"/>
          <w:sz w:val="22"/>
          <w:szCs w:val="22"/>
        </w:rPr>
        <w:t xml:space="preserve">| &gt; 1 and FDR &lt; 0.05 (Figure </w:t>
      </w:r>
      <w:r w:rsidR="00ED68C6" w:rsidRPr="006F5D9C">
        <w:rPr>
          <w:rFonts w:ascii="Arial" w:hAnsi="Arial" w:cs="Arial"/>
          <w:sz w:val="22"/>
          <w:szCs w:val="22"/>
        </w:rPr>
        <w:t>4C</w:t>
      </w:r>
      <w:r w:rsidRPr="006F5D9C">
        <w:rPr>
          <w:rFonts w:ascii="Arial" w:hAnsi="Arial" w:cs="Arial"/>
          <w:sz w:val="22"/>
          <w:szCs w:val="22"/>
        </w:rPr>
        <w:t>). The remaining protease exposure groups demonstrated little differential expression, with 2–3 differentially expressed miRNAs identified per condition (Figure 4</w:t>
      </w:r>
      <w:r w:rsidR="00ED68C6" w:rsidRPr="006F5D9C">
        <w:rPr>
          <w:rFonts w:ascii="Arial" w:hAnsi="Arial" w:cs="Arial"/>
          <w:sz w:val="22"/>
          <w:szCs w:val="22"/>
        </w:rPr>
        <w:t>C</w:t>
      </w:r>
      <w:r w:rsidRPr="006F5D9C">
        <w:rPr>
          <w:rFonts w:ascii="Arial" w:hAnsi="Arial" w:cs="Arial"/>
          <w:sz w:val="22"/>
          <w:szCs w:val="22"/>
        </w:rPr>
        <w:t xml:space="preserve">). </w:t>
      </w:r>
    </w:p>
    <w:p w14:paraId="0C2C043E" w14:textId="653920BE" w:rsidR="00F30DE9" w:rsidRPr="006F5D9C" w:rsidRDefault="00F30DE9" w:rsidP="006F5D9C">
      <w:pPr>
        <w:spacing w:line="360" w:lineRule="auto"/>
        <w:rPr>
          <w:rFonts w:ascii="Arial" w:hAnsi="Arial" w:cs="Arial"/>
          <w:sz w:val="22"/>
          <w:szCs w:val="22"/>
        </w:rPr>
      </w:pPr>
      <w:r w:rsidRPr="006F5D9C">
        <w:rPr>
          <w:rFonts w:ascii="Arial" w:hAnsi="Arial" w:cs="Arial"/>
          <w:sz w:val="22"/>
          <w:szCs w:val="22"/>
        </w:rPr>
        <w:t>In Calu-3 cells, 58 out of the 263 detected miRNAs were retained following filtering. Given the low abundance of miRNA-assigned reads and the inconsistent replicate clustering observed in the PCA, differential expression analyses in Calu-3 cells were expected to have reduced statistical power. Two DE miRNAs were identified in the Can f 1 exposure condition using |</w:t>
      </w:r>
      <w:proofErr w:type="spellStart"/>
      <w:r w:rsidRPr="006F5D9C">
        <w:rPr>
          <w:rFonts w:ascii="Arial" w:hAnsi="Arial" w:cs="Arial"/>
          <w:sz w:val="22"/>
          <w:szCs w:val="22"/>
        </w:rPr>
        <w:t>logFC</w:t>
      </w:r>
      <w:proofErr w:type="spellEnd"/>
      <w:r w:rsidRPr="006F5D9C">
        <w:rPr>
          <w:rFonts w:ascii="Arial" w:hAnsi="Arial" w:cs="Arial"/>
          <w:sz w:val="22"/>
          <w:szCs w:val="22"/>
        </w:rPr>
        <w:t>| &gt; 1 and FDR &lt; 0.05 (Figure 4</w:t>
      </w:r>
      <w:r w:rsidR="006F0B33" w:rsidRPr="006F5D9C">
        <w:rPr>
          <w:rFonts w:ascii="Arial" w:hAnsi="Arial" w:cs="Arial"/>
          <w:sz w:val="22"/>
          <w:szCs w:val="22"/>
        </w:rPr>
        <w:t>C</w:t>
      </w:r>
      <w:r w:rsidRPr="006F5D9C">
        <w:rPr>
          <w:rFonts w:ascii="Arial" w:hAnsi="Arial" w:cs="Arial"/>
          <w:sz w:val="22"/>
          <w:szCs w:val="22"/>
        </w:rPr>
        <w:t>). Applying an exploratory significance threshold of FDR &lt; 0.2 identified one additional DE miRNA was detected in the Der p 1 inactive condition; no DE miRNAs were detected in the Der p 1 active condition (Figure 4</w:t>
      </w:r>
      <w:r w:rsidR="00ED68C6" w:rsidRPr="006F5D9C">
        <w:rPr>
          <w:rFonts w:ascii="Arial" w:hAnsi="Arial" w:cs="Arial"/>
          <w:sz w:val="22"/>
          <w:szCs w:val="22"/>
        </w:rPr>
        <w:t>C</w:t>
      </w:r>
      <w:r w:rsidRPr="006F5D9C">
        <w:rPr>
          <w:rFonts w:ascii="Arial" w:hAnsi="Arial" w:cs="Arial"/>
          <w:sz w:val="22"/>
          <w:szCs w:val="22"/>
        </w:rPr>
        <w:t xml:space="preserve">). All DE miRNAs are detailed in Supplementary Table </w:t>
      </w:r>
      <w:r w:rsidR="006F0B33" w:rsidRPr="006F5D9C">
        <w:rPr>
          <w:rFonts w:ascii="Arial" w:hAnsi="Arial" w:cs="Arial"/>
          <w:sz w:val="22"/>
          <w:szCs w:val="22"/>
        </w:rPr>
        <w:t>2</w:t>
      </w:r>
      <w:r w:rsidRPr="006F5D9C">
        <w:rPr>
          <w:rFonts w:ascii="Arial" w:hAnsi="Arial" w:cs="Arial"/>
          <w:sz w:val="22"/>
          <w:szCs w:val="22"/>
        </w:rPr>
        <w:t>.</w:t>
      </w:r>
    </w:p>
    <w:p w14:paraId="0FAB7407" w14:textId="77777777" w:rsidR="00F30DE9" w:rsidRPr="006F5D9C" w:rsidRDefault="00F30DE9" w:rsidP="006F5D9C">
      <w:pPr>
        <w:spacing w:line="360" w:lineRule="auto"/>
        <w:rPr>
          <w:rFonts w:ascii="Arial" w:hAnsi="Arial" w:cs="Arial"/>
          <w:sz w:val="22"/>
          <w:szCs w:val="22"/>
        </w:rPr>
      </w:pPr>
      <w:r w:rsidRPr="006F5D9C">
        <w:rPr>
          <w:rFonts w:ascii="Arial" w:hAnsi="Arial" w:cs="Arial"/>
          <w:sz w:val="22"/>
          <w:szCs w:val="22"/>
        </w:rPr>
        <w:t xml:space="preserve">Overall, the greatest number of DE miRNAs was identified in the 24 </w:t>
      </w:r>
      <w:proofErr w:type="spellStart"/>
      <w:r w:rsidRPr="006F5D9C">
        <w:rPr>
          <w:rFonts w:ascii="Arial" w:hAnsi="Arial" w:cs="Arial"/>
          <w:sz w:val="22"/>
          <w:szCs w:val="22"/>
        </w:rPr>
        <w:t>μg</w:t>
      </w:r>
      <w:proofErr w:type="spellEnd"/>
      <w:r w:rsidRPr="006F5D9C">
        <w:rPr>
          <w:rFonts w:ascii="Arial" w:hAnsi="Arial" w:cs="Arial"/>
          <w:sz w:val="22"/>
          <w:szCs w:val="22"/>
        </w:rPr>
        <w:t>/cm² protease-treated primary HBEC samples, whereas the remaining primary HBEC and all Calu-3 treatment conditions exhibited minimal differential expression.</w:t>
      </w:r>
    </w:p>
    <w:p w14:paraId="2BB70DB9" w14:textId="77777777" w:rsidR="00F30DE9" w:rsidRPr="006F5D9C" w:rsidRDefault="00F30DE9" w:rsidP="006F5D9C">
      <w:pPr>
        <w:spacing w:line="360" w:lineRule="auto"/>
        <w:rPr>
          <w:rFonts w:ascii="Arial" w:hAnsi="Arial" w:cs="Arial"/>
          <w:sz w:val="22"/>
          <w:szCs w:val="22"/>
        </w:rPr>
      </w:pPr>
    </w:p>
    <w:p w14:paraId="5E0F35F1" w14:textId="77777777" w:rsidR="00F30DE9" w:rsidRPr="006F5D9C" w:rsidRDefault="00F30DE9" w:rsidP="006F5D9C">
      <w:pPr>
        <w:spacing w:line="360" w:lineRule="auto"/>
        <w:rPr>
          <w:rFonts w:ascii="Arial" w:hAnsi="Arial" w:cs="Arial"/>
          <w:b/>
          <w:bCs/>
          <w:sz w:val="22"/>
          <w:szCs w:val="22"/>
        </w:rPr>
      </w:pPr>
      <w:r w:rsidRPr="006F5D9C">
        <w:rPr>
          <w:rFonts w:ascii="Arial" w:hAnsi="Arial" w:cs="Arial"/>
          <w:b/>
          <w:bCs/>
          <w:sz w:val="22"/>
          <w:szCs w:val="22"/>
        </w:rPr>
        <w:t>Profiling of differentially expressed miRNA signatures</w:t>
      </w:r>
    </w:p>
    <w:p w14:paraId="08954D4C" w14:textId="77777777" w:rsidR="00F30DE9" w:rsidRPr="006F5D9C" w:rsidRDefault="00F30DE9" w:rsidP="006F5D9C">
      <w:pPr>
        <w:spacing w:line="360" w:lineRule="auto"/>
        <w:rPr>
          <w:rFonts w:ascii="Arial" w:hAnsi="Arial" w:cs="Arial"/>
          <w:sz w:val="22"/>
          <w:szCs w:val="22"/>
        </w:rPr>
      </w:pPr>
      <w:r w:rsidRPr="006F5D9C">
        <w:rPr>
          <w:rFonts w:ascii="Arial" w:hAnsi="Arial" w:cs="Arial"/>
          <w:sz w:val="22"/>
          <w:szCs w:val="22"/>
        </w:rPr>
        <w:t xml:space="preserve">DE miRNAs were compared across exposure conditions within each cell type and between cell types to identify shared expression signatures. Within the primary HBEC experiment, miR-34b-3p was differentially expressed in all four protease exposure groups. miR-3960 was differentially expressed in the 0.08, 2 and 24 </w:t>
      </w:r>
      <w:proofErr w:type="spellStart"/>
      <w:r w:rsidRPr="006F5D9C">
        <w:rPr>
          <w:rFonts w:ascii="Arial" w:hAnsi="Arial" w:cs="Arial"/>
          <w:sz w:val="22"/>
          <w:szCs w:val="22"/>
        </w:rPr>
        <w:t>μg</w:t>
      </w:r>
      <w:proofErr w:type="spellEnd"/>
      <w:r w:rsidRPr="006F5D9C">
        <w:rPr>
          <w:rFonts w:ascii="Arial" w:hAnsi="Arial" w:cs="Arial"/>
          <w:sz w:val="22"/>
          <w:szCs w:val="22"/>
        </w:rPr>
        <w:t xml:space="preserve">/cm² exposure groups, whereas miR-193b-3p and miR-148a-3p were differentially expressed in both the 0.005 and 24 </w:t>
      </w:r>
      <w:proofErr w:type="spellStart"/>
      <w:r w:rsidRPr="006F5D9C">
        <w:rPr>
          <w:rFonts w:ascii="Arial" w:hAnsi="Arial" w:cs="Arial"/>
          <w:sz w:val="22"/>
          <w:szCs w:val="22"/>
        </w:rPr>
        <w:t>μg</w:t>
      </w:r>
      <w:proofErr w:type="spellEnd"/>
      <w:r w:rsidRPr="006F5D9C">
        <w:rPr>
          <w:rFonts w:ascii="Arial" w:hAnsi="Arial" w:cs="Arial"/>
          <w:sz w:val="22"/>
          <w:szCs w:val="22"/>
        </w:rPr>
        <w:t xml:space="preserve">/cm² exposure groups. Within the Calu-3 experiment, miR-574-5p was differentially expressed in the Can f 1 and Der p 1 inactive exposure groups. miR-125b-5p was the only miRNA that was differentially expressed across both cell types, being detected in the 24 </w:t>
      </w:r>
      <w:proofErr w:type="spellStart"/>
      <w:r w:rsidRPr="006F5D9C">
        <w:rPr>
          <w:rFonts w:ascii="Arial" w:hAnsi="Arial" w:cs="Arial"/>
          <w:sz w:val="22"/>
          <w:szCs w:val="22"/>
        </w:rPr>
        <w:t>μg</w:t>
      </w:r>
      <w:proofErr w:type="spellEnd"/>
      <w:r w:rsidRPr="006F5D9C">
        <w:rPr>
          <w:rFonts w:ascii="Arial" w:hAnsi="Arial" w:cs="Arial"/>
          <w:sz w:val="22"/>
          <w:szCs w:val="22"/>
        </w:rPr>
        <w:t>/cm² protease-treated primary HBEC samples and the Can f 1-treated Calu-3 samples.</w:t>
      </w:r>
    </w:p>
    <w:p w14:paraId="62C321EB" w14:textId="59BF70B8" w:rsidR="00F30DE9" w:rsidRPr="006F5D9C" w:rsidRDefault="00F30DE9" w:rsidP="006F5D9C">
      <w:pPr>
        <w:spacing w:line="360" w:lineRule="auto"/>
        <w:rPr>
          <w:rFonts w:ascii="Arial" w:hAnsi="Arial" w:cs="Arial"/>
          <w:sz w:val="22"/>
          <w:szCs w:val="22"/>
        </w:rPr>
      </w:pPr>
      <w:r w:rsidRPr="006F5D9C">
        <w:rPr>
          <w:rFonts w:ascii="Arial" w:hAnsi="Arial" w:cs="Arial"/>
          <w:sz w:val="22"/>
          <w:szCs w:val="22"/>
        </w:rPr>
        <w:t xml:space="preserve">Further analysis focused on the 24 </w:t>
      </w:r>
      <w:proofErr w:type="spellStart"/>
      <w:r w:rsidRPr="006F5D9C">
        <w:rPr>
          <w:rFonts w:ascii="Arial" w:hAnsi="Arial" w:cs="Arial"/>
          <w:sz w:val="22"/>
          <w:szCs w:val="22"/>
        </w:rPr>
        <w:t>μg</w:t>
      </w:r>
      <w:proofErr w:type="spellEnd"/>
      <w:r w:rsidRPr="006F5D9C">
        <w:rPr>
          <w:rFonts w:ascii="Arial" w:hAnsi="Arial" w:cs="Arial"/>
          <w:sz w:val="22"/>
          <w:szCs w:val="22"/>
        </w:rPr>
        <w:t>/cm² protease-treated primary HBEC group, which contained 27 DE miRNAs</w:t>
      </w:r>
      <w:r w:rsidR="00735691">
        <w:rPr>
          <w:rFonts w:ascii="Arial" w:hAnsi="Arial" w:cs="Arial"/>
          <w:sz w:val="22"/>
          <w:szCs w:val="22"/>
        </w:rPr>
        <w:t xml:space="preserve"> (Figure 5)</w:t>
      </w:r>
      <w:r w:rsidRPr="006F5D9C">
        <w:rPr>
          <w:rFonts w:ascii="Arial" w:hAnsi="Arial" w:cs="Arial"/>
          <w:sz w:val="22"/>
          <w:szCs w:val="22"/>
        </w:rPr>
        <w:t xml:space="preserve">, whereas the remaining exposure groups contained few significantly DE miRNAs. </w:t>
      </w:r>
    </w:p>
    <w:p w14:paraId="1299B905" w14:textId="5F83F9F5" w:rsidR="00F30DE9" w:rsidRPr="006F5D9C" w:rsidRDefault="00F30DE9" w:rsidP="006F5D9C">
      <w:pPr>
        <w:spacing w:line="360" w:lineRule="auto"/>
        <w:rPr>
          <w:rFonts w:ascii="Arial" w:hAnsi="Arial" w:cs="Arial"/>
          <w:sz w:val="22"/>
          <w:szCs w:val="22"/>
        </w:rPr>
      </w:pPr>
      <w:r w:rsidRPr="006F5D9C">
        <w:rPr>
          <w:rFonts w:ascii="Arial" w:hAnsi="Arial" w:cs="Arial"/>
          <w:i/>
          <w:iCs/>
          <w:noProof/>
          <w:color w:val="000000" w:themeColor="text1"/>
          <w:sz w:val="22"/>
          <w:szCs w:val="22"/>
        </w:rPr>
        <w:lastRenderedPageBreak/>
        <w:drawing>
          <wp:inline distT="0" distB="0" distL="0" distR="0" wp14:anchorId="65191D25" wp14:editId="11D4545D">
            <wp:extent cx="5731510" cy="3820795"/>
            <wp:effectExtent l="0" t="0" r="0" b="1905"/>
            <wp:docPr id="58197640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976407" name="Picture 581976407"/>
                    <pic:cNvPicPr/>
                  </pic:nvPicPr>
                  <pic:blipFill>
                    <a:blip r:embed="rId17"/>
                    <a:stretch>
                      <a:fillRect/>
                    </a:stretch>
                  </pic:blipFill>
                  <pic:spPr>
                    <a:xfrm>
                      <a:off x="0" y="0"/>
                      <a:ext cx="5731510" cy="3820795"/>
                    </a:xfrm>
                    <a:prstGeom prst="rect">
                      <a:avLst/>
                    </a:prstGeom>
                  </pic:spPr>
                </pic:pic>
              </a:graphicData>
            </a:graphic>
          </wp:inline>
        </w:drawing>
      </w:r>
    </w:p>
    <w:p w14:paraId="0E10B142" w14:textId="5C7B04E4" w:rsidR="001D63A9" w:rsidRPr="00BC0594" w:rsidRDefault="00F30DE9" w:rsidP="00257F5E">
      <w:pPr>
        <w:spacing w:line="240" w:lineRule="auto"/>
        <w:rPr>
          <w:rFonts w:ascii="Arial" w:hAnsi="Arial" w:cs="Arial"/>
          <w:sz w:val="20"/>
          <w:szCs w:val="20"/>
        </w:rPr>
      </w:pPr>
      <w:r w:rsidRPr="00BC0594">
        <w:rPr>
          <w:rFonts w:ascii="Arial" w:hAnsi="Arial" w:cs="Arial"/>
          <w:b/>
          <w:bCs/>
          <w:sz w:val="20"/>
          <w:szCs w:val="20"/>
        </w:rPr>
        <w:t xml:space="preserve">Figure 5: Analysis of differential expression in 24 </w:t>
      </w:r>
      <w:proofErr w:type="spellStart"/>
      <w:r w:rsidRPr="00BC0594">
        <w:rPr>
          <w:rFonts w:ascii="Arial" w:hAnsi="Arial" w:cs="Arial"/>
          <w:b/>
          <w:bCs/>
          <w:sz w:val="20"/>
          <w:szCs w:val="20"/>
        </w:rPr>
        <w:t>μg</w:t>
      </w:r>
      <w:proofErr w:type="spellEnd"/>
      <w:r w:rsidRPr="00BC0594">
        <w:rPr>
          <w:rFonts w:ascii="Arial" w:hAnsi="Arial" w:cs="Arial"/>
          <w:b/>
          <w:bCs/>
          <w:sz w:val="20"/>
          <w:szCs w:val="20"/>
        </w:rPr>
        <w:t>/cm² protease-treated primary HBEC samples.</w:t>
      </w:r>
      <w:r w:rsidRPr="00BC0594">
        <w:rPr>
          <w:rFonts w:ascii="Arial" w:hAnsi="Arial" w:cs="Arial"/>
          <w:sz w:val="20"/>
          <w:szCs w:val="20"/>
        </w:rPr>
        <w:t xml:space="preserve"> Differential expression results generated from the </w:t>
      </w:r>
      <w:proofErr w:type="spellStart"/>
      <w:r w:rsidRPr="00640210">
        <w:rPr>
          <w:rFonts w:ascii="Arial" w:hAnsi="Arial" w:cs="Arial"/>
          <w:i/>
          <w:iCs/>
          <w:sz w:val="20"/>
          <w:szCs w:val="20"/>
        </w:rPr>
        <w:t>edgeR</w:t>
      </w:r>
      <w:proofErr w:type="spellEnd"/>
      <w:r w:rsidRPr="00BC0594">
        <w:rPr>
          <w:rFonts w:ascii="Arial" w:hAnsi="Arial" w:cs="Arial"/>
          <w:sz w:val="20"/>
          <w:szCs w:val="20"/>
        </w:rPr>
        <w:t xml:space="preserve"> R package for primary HBECs exposed to 24 </w:t>
      </w:r>
      <w:proofErr w:type="spellStart"/>
      <w:r w:rsidRPr="00BC0594">
        <w:rPr>
          <w:rFonts w:ascii="Arial" w:hAnsi="Arial" w:cs="Arial"/>
          <w:sz w:val="20"/>
          <w:szCs w:val="20"/>
        </w:rPr>
        <w:t>μg</w:t>
      </w:r>
      <w:proofErr w:type="spellEnd"/>
      <w:r w:rsidRPr="00BC0594">
        <w:rPr>
          <w:rFonts w:ascii="Arial" w:hAnsi="Arial" w:cs="Arial"/>
          <w:sz w:val="20"/>
          <w:szCs w:val="20"/>
        </w:rPr>
        <w:t xml:space="preserve">/cm² protease allergen were visualised using plots generated in RStudio. (A, B) All miRNAs tested for differential expression (n=147) were plotted with each dot representing an individual miRNA coloured by significance. (A) The average log2 counts per million (CPM) on the x-axis and the log2 fold change in expression compared to untreated samples on the y-axis. (B) Log2 fold change in expression compared to untreated samples shown on the x-axis and significance (quasi-likelihood F test corrected for multiple testing using Benjamini-Hochberg) converted to -log10 scale on the y-axis. (C) Relative log2 CPM-normalised values for all significantly differentially expressed miRNAs shown for each replicate within the 24 </w:t>
      </w:r>
      <w:proofErr w:type="spellStart"/>
      <w:r w:rsidRPr="00BC0594">
        <w:rPr>
          <w:rFonts w:ascii="Arial" w:hAnsi="Arial" w:cs="Arial"/>
          <w:sz w:val="20"/>
          <w:szCs w:val="20"/>
        </w:rPr>
        <w:t>μg</w:t>
      </w:r>
      <w:proofErr w:type="spellEnd"/>
      <w:r w:rsidRPr="00BC0594">
        <w:rPr>
          <w:rFonts w:ascii="Arial" w:hAnsi="Arial" w:cs="Arial"/>
          <w:sz w:val="20"/>
          <w:szCs w:val="20"/>
        </w:rPr>
        <w:t xml:space="preserve">/cm² protease-treated and untreated groups; replicate numbers are indicated in brackets next to the sample name on the x-axis, miRNA symbols are shown on the y-axis. Replicates and miRNAs are arranged according to closeness, as indicated with dendrograms. Dose is in </w:t>
      </w:r>
      <w:proofErr w:type="spellStart"/>
      <w:r w:rsidRPr="00BC0594">
        <w:rPr>
          <w:rFonts w:ascii="Arial" w:hAnsi="Arial" w:cs="Arial"/>
          <w:sz w:val="20"/>
          <w:szCs w:val="20"/>
        </w:rPr>
        <w:t>μg</w:t>
      </w:r>
      <w:proofErr w:type="spellEnd"/>
      <w:r w:rsidRPr="00BC0594">
        <w:rPr>
          <w:rFonts w:ascii="Arial" w:hAnsi="Arial" w:cs="Arial"/>
          <w:sz w:val="20"/>
          <w:szCs w:val="20"/>
        </w:rPr>
        <w:t>/cm².</w:t>
      </w:r>
    </w:p>
    <w:p w14:paraId="4FB69CFF" w14:textId="5A5D2511" w:rsidR="00F30DE9" w:rsidRPr="006F5D9C" w:rsidRDefault="00F30DE9" w:rsidP="006F5D9C">
      <w:pPr>
        <w:spacing w:line="360" w:lineRule="auto"/>
        <w:rPr>
          <w:rFonts w:ascii="Arial" w:hAnsi="Arial" w:cs="Arial"/>
          <w:sz w:val="22"/>
          <w:szCs w:val="22"/>
        </w:rPr>
      </w:pPr>
      <w:r w:rsidRPr="006F5D9C">
        <w:rPr>
          <w:rFonts w:ascii="Arial" w:hAnsi="Arial" w:cs="Arial"/>
          <w:sz w:val="22"/>
          <w:szCs w:val="22"/>
        </w:rPr>
        <w:t xml:space="preserve">The distribution of differential expression in the 24 </w:t>
      </w:r>
      <w:proofErr w:type="spellStart"/>
      <w:r w:rsidRPr="006F5D9C">
        <w:rPr>
          <w:rFonts w:ascii="Arial" w:hAnsi="Arial" w:cs="Arial"/>
          <w:sz w:val="22"/>
          <w:szCs w:val="22"/>
        </w:rPr>
        <w:t>μg</w:t>
      </w:r>
      <w:proofErr w:type="spellEnd"/>
      <w:r w:rsidRPr="006F5D9C">
        <w:rPr>
          <w:rFonts w:ascii="Arial" w:hAnsi="Arial" w:cs="Arial"/>
          <w:sz w:val="22"/>
          <w:szCs w:val="22"/>
        </w:rPr>
        <w:t xml:space="preserve">/cm² protease-treated primary HBEC samples was visualised using an MA plot, while statistical significance was displayed using a volcano plot (Figure </w:t>
      </w:r>
      <w:r w:rsidR="00ED68C6" w:rsidRPr="006F5D9C">
        <w:rPr>
          <w:rFonts w:ascii="Arial" w:hAnsi="Arial" w:cs="Arial"/>
          <w:sz w:val="22"/>
          <w:szCs w:val="22"/>
        </w:rPr>
        <w:t>5</w:t>
      </w:r>
      <w:proofErr w:type="gramStart"/>
      <w:r w:rsidR="00ED68C6" w:rsidRPr="006F5D9C">
        <w:rPr>
          <w:rFonts w:ascii="Arial" w:hAnsi="Arial" w:cs="Arial"/>
          <w:sz w:val="22"/>
          <w:szCs w:val="22"/>
        </w:rPr>
        <w:t>A</w:t>
      </w:r>
      <w:r w:rsidRPr="006F5D9C">
        <w:rPr>
          <w:rFonts w:ascii="Arial" w:hAnsi="Arial" w:cs="Arial"/>
          <w:sz w:val="22"/>
          <w:szCs w:val="22"/>
        </w:rPr>
        <w:t>,</w:t>
      </w:r>
      <w:r w:rsidR="00ED68C6" w:rsidRPr="006F5D9C">
        <w:rPr>
          <w:rFonts w:ascii="Arial" w:hAnsi="Arial" w:cs="Arial"/>
          <w:sz w:val="22"/>
          <w:szCs w:val="22"/>
        </w:rPr>
        <w:t>B</w:t>
      </w:r>
      <w:proofErr w:type="gramEnd"/>
      <w:r w:rsidRPr="006F5D9C">
        <w:rPr>
          <w:rFonts w:ascii="Arial" w:hAnsi="Arial" w:cs="Arial"/>
          <w:sz w:val="22"/>
          <w:szCs w:val="22"/>
        </w:rPr>
        <w:t xml:space="preserve">). Of the 27 differentially expressed miRNAs, 13 showed higher expression in the 24 </w:t>
      </w:r>
      <w:proofErr w:type="spellStart"/>
      <w:r w:rsidRPr="006F5D9C">
        <w:rPr>
          <w:rFonts w:ascii="Arial" w:hAnsi="Arial" w:cs="Arial"/>
          <w:sz w:val="22"/>
          <w:szCs w:val="22"/>
        </w:rPr>
        <w:t>μg</w:t>
      </w:r>
      <w:proofErr w:type="spellEnd"/>
      <w:r w:rsidRPr="006F5D9C">
        <w:rPr>
          <w:rFonts w:ascii="Arial" w:hAnsi="Arial" w:cs="Arial"/>
          <w:sz w:val="22"/>
          <w:szCs w:val="22"/>
        </w:rPr>
        <w:t xml:space="preserve">/cm² samples, whereas 14 showed higher expression in untreated samples. Sixteen of the 27 DE miRNAs had an absolute </w:t>
      </w:r>
      <w:proofErr w:type="spellStart"/>
      <w:r w:rsidRPr="006F5D9C">
        <w:rPr>
          <w:rFonts w:ascii="Arial" w:hAnsi="Arial" w:cs="Arial"/>
          <w:sz w:val="22"/>
          <w:szCs w:val="22"/>
        </w:rPr>
        <w:t>logFC</w:t>
      </w:r>
      <w:proofErr w:type="spellEnd"/>
      <w:r w:rsidRPr="006F5D9C">
        <w:rPr>
          <w:rFonts w:ascii="Arial" w:hAnsi="Arial" w:cs="Arial"/>
          <w:sz w:val="22"/>
          <w:szCs w:val="22"/>
        </w:rPr>
        <w:t xml:space="preserve"> &lt; 2.5 (Figure </w:t>
      </w:r>
      <w:r w:rsidR="00ED68C6" w:rsidRPr="006F5D9C">
        <w:rPr>
          <w:rFonts w:ascii="Arial" w:hAnsi="Arial" w:cs="Arial"/>
          <w:sz w:val="22"/>
          <w:szCs w:val="22"/>
        </w:rPr>
        <w:t>5A</w:t>
      </w:r>
      <w:r w:rsidRPr="006F5D9C">
        <w:rPr>
          <w:rFonts w:ascii="Arial" w:hAnsi="Arial" w:cs="Arial"/>
          <w:sz w:val="22"/>
          <w:szCs w:val="22"/>
        </w:rPr>
        <w:t>). The smallest FDR observed was 1.46 × 10</w:t>
      </w:r>
      <w:r w:rsidRPr="006F5D9C">
        <w:rPr>
          <w:rFonts w:ascii="Cambria Math" w:hAnsi="Cambria Math" w:cs="Cambria Math"/>
          <w:sz w:val="22"/>
          <w:szCs w:val="22"/>
        </w:rPr>
        <w:t>⁻</w:t>
      </w:r>
      <w:r w:rsidRPr="006F5D9C">
        <w:rPr>
          <w:rFonts w:ascii="Arial" w:hAnsi="Arial" w:cs="Arial"/>
          <w:sz w:val="22"/>
          <w:szCs w:val="22"/>
        </w:rPr>
        <w:t>⁵ (Figure 4</w:t>
      </w:r>
      <w:r w:rsidR="00ED68C6" w:rsidRPr="006F5D9C">
        <w:rPr>
          <w:rFonts w:ascii="Arial" w:hAnsi="Arial" w:cs="Arial"/>
          <w:sz w:val="22"/>
          <w:szCs w:val="22"/>
        </w:rPr>
        <w:t>B</w:t>
      </w:r>
      <w:r w:rsidRPr="006F5D9C">
        <w:rPr>
          <w:rFonts w:ascii="Arial" w:hAnsi="Arial" w:cs="Arial"/>
          <w:sz w:val="22"/>
          <w:szCs w:val="22"/>
        </w:rPr>
        <w:t>).</w:t>
      </w:r>
    </w:p>
    <w:p w14:paraId="2BB1B463" w14:textId="7B6DFB8D" w:rsidR="00F30DE9" w:rsidRPr="006F5D9C" w:rsidRDefault="00F30DE9" w:rsidP="006F5D9C">
      <w:pPr>
        <w:spacing w:line="360" w:lineRule="auto"/>
        <w:rPr>
          <w:rFonts w:ascii="Arial" w:hAnsi="Arial" w:cs="Arial"/>
          <w:sz w:val="22"/>
          <w:szCs w:val="22"/>
        </w:rPr>
      </w:pPr>
      <w:r w:rsidRPr="006F5D9C">
        <w:rPr>
          <w:rFonts w:ascii="Arial" w:hAnsi="Arial" w:cs="Arial"/>
          <w:sz w:val="22"/>
          <w:szCs w:val="22"/>
        </w:rPr>
        <w:t xml:space="preserve">Relative normalised miRNA expression (CPM) in the 24 </w:t>
      </w:r>
      <w:proofErr w:type="spellStart"/>
      <w:r w:rsidRPr="006F5D9C">
        <w:rPr>
          <w:rFonts w:ascii="Arial" w:hAnsi="Arial" w:cs="Arial"/>
          <w:sz w:val="22"/>
          <w:szCs w:val="22"/>
        </w:rPr>
        <w:t>μg</w:t>
      </w:r>
      <w:proofErr w:type="spellEnd"/>
      <w:r w:rsidRPr="006F5D9C">
        <w:rPr>
          <w:rFonts w:ascii="Arial" w:hAnsi="Arial" w:cs="Arial"/>
          <w:sz w:val="22"/>
          <w:szCs w:val="22"/>
        </w:rPr>
        <w:t xml:space="preserve">/cm² protease-treated and untreated samples was visualised using a heatmap to assess the concordance of expression among biological replicates (Figure </w:t>
      </w:r>
      <w:r w:rsidR="00ED68C6" w:rsidRPr="006F5D9C">
        <w:rPr>
          <w:rFonts w:ascii="Arial" w:hAnsi="Arial" w:cs="Arial"/>
          <w:sz w:val="22"/>
          <w:szCs w:val="22"/>
        </w:rPr>
        <w:t>5C</w:t>
      </w:r>
      <w:r w:rsidRPr="006F5D9C">
        <w:rPr>
          <w:rFonts w:ascii="Arial" w:hAnsi="Arial" w:cs="Arial"/>
          <w:sz w:val="22"/>
          <w:szCs w:val="22"/>
        </w:rPr>
        <w:t xml:space="preserve">). The 24 </w:t>
      </w:r>
      <w:proofErr w:type="spellStart"/>
      <w:r w:rsidRPr="006F5D9C">
        <w:rPr>
          <w:rFonts w:ascii="Arial" w:hAnsi="Arial" w:cs="Arial"/>
          <w:sz w:val="22"/>
          <w:szCs w:val="22"/>
        </w:rPr>
        <w:t>μg</w:t>
      </w:r>
      <w:proofErr w:type="spellEnd"/>
      <w:r w:rsidRPr="006F5D9C">
        <w:rPr>
          <w:rFonts w:ascii="Arial" w:hAnsi="Arial" w:cs="Arial"/>
          <w:sz w:val="22"/>
          <w:szCs w:val="22"/>
        </w:rPr>
        <w:t>/cm² samples generally exhibited consistent relative miRNA expression across replicates. In contrast, greater variability was observed among untreated replicates, with individual samples displaying distinct expression patterns for several miRNAs, including miR-375-3p (untreated replicate 2) and miR-7704 (untreated replicate 1).</w:t>
      </w:r>
    </w:p>
    <w:p w14:paraId="72194D47" w14:textId="77777777" w:rsidR="00F30DE9" w:rsidRPr="006F5D9C" w:rsidRDefault="00F30DE9" w:rsidP="006F5D9C">
      <w:pPr>
        <w:spacing w:line="360" w:lineRule="auto"/>
        <w:rPr>
          <w:rFonts w:ascii="Arial" w:hAnsi="Arial" w:cs="Arial"/>
          <w:sz w:val="22"/>
          <w:szCs w:val="22"/>
        </w:rPr>
      </w:pPr>
    </w:p>
    <w:p w14:paraId="26D82F9E" w14:textId="77777777" w:rsidR="00F30DE9" w:rsidRPr="006F5D9C" w:rsidRDefault="00F30DE9" w:rsidP="006F5D9C">
      <w:pPr>
        <w:spacing w:line="360" w:lineRule="auto"/>
        <w:rPr>
          <w:rFonts w:ascii="Arial" w:hAnsi="Arial" w:cs="Arial"/>
          <w:b/>
          <w:bCs/>
          <w:sz w:val="22"/>
          <w:szCs w:val="22"/>
        </w:rPr>
      </w:pPr>
      <w:r w:rsidRPr="006F5D9C">
        <w:rPr>
          <w:rFonts w:ascii="Arial" w:hAnsi="Arial" w:cs="Arial"/>
          <w:b/>
          <w:bCs/>
          <w:sz w:val="22"/>
          <w:szCs w:val="22"/>
        </w:rPr>
        <w:t>Pathway enrichment analysis method development using primary HBECs</w:t>
      </w:r>
    </w:p>
    <w:p w14:paraId="4EA78555" w14:textId="6DEFF357" w:rsidR="00F30DE9" w:rsidRDefault="00F30DE9" w:rsidP="006F5D9C">
      <w:pPr>
        <w:spacing w:line="360" w:lineRule="auto"/>
        <w:rPr>
          <w:rFonts w:ascii="Arial" w:hAnsi="Arial" w:cs="Arial"/>
          <w:sz w:val="22"/>
          <w:szCs w:val="22"/>
        </w:rPr>
      </w:pPr>
      <w:r w:rsidRPr="006F5D9C">
        <w:rPr>
          <w:rFonts w:ascii="Arial" w:hAnsi="Arial" w:cs="Arial"/>
          <w:sz w:val="22"/>
          <w:szCs w:val="22"/>
        </w:rPr>
        <w:t xml:space="preserve">Before investigating the biological relevance of DE miRNAs identified in Calu-3 cells, the pathway enrichment workflow was developed and evaluated using the 27 DE miRNAs identified in the 24 </w:t>
      </w:r>
      <w:proofErr w:type="spellStart"/>
      <w:r w:rsidRPr="006F5D9C">
        <w:rPr>
          <w:rFonts w:ascii="Arial" w:hAnsi="Arial" w:cs="Arial"/>
          <w:sz w:val="22"/>
          <w:szCs w:val="22"/>
        </w:rPr>
        <w:t>μg</w:t>
      </w:r>
      <w:proofErr w:type="spellEnd"/>
      <w:r w:rsidRPr="006F5D9C">
        <w:rPr>
          <w:rFonts w:ascii="Arial" w:hAnsi="Arial" w:cs="Arial"/>
          <w:sz w:val="22"/>
          <w:szCs w:val="22"/>
        </w:rPr>
        <w:t>/cm² protease-treated primary HBEC group</w:t>
      </w:r>
      <w:r w:rsidR="00883C91">
        <w:rPr>
          <w:rFonts w:ascii="Arial" w:hAnsi="Arial" w:cs="Arial"/>
          <w:sz w:val="22"/>
          <w:szCs w:val="22"/>
        </w:rPr>
        <w:t xml:space="preserve"> (Figure 6)</w:t>
      </w:r>
      <w:r w:rsidRPr="006F5D9C">
        <w:rPr>
          <w:rFonts w:ascii="Arial" w:hAnsi="Arial" w:cs="Arial"/>
          <w:sz w:val="22"/>
          <w:szCs w:val="22"/>
        </w:rPr>
        <w:t>.</w:t>
      </w:r>
    </w:p>
    <w:p w14:paraId="4AA147F7" w14:textId="77777777" w:rsidR="00883C91" w:rsidRPr="006F5D9C" w:rsidRDefault="00883C91" w:rsidP="00883C91">
      <w:pPr>
        <w:spacing w:line="360" w:lineRule="auto"/>
        <w:rPr>
          <w:rFonts w:ascii="Arial" w:hAnsi="Arial" w:cs="Arial"/>
          <w:sz w:val="22"/>
          <w:szCs w:val="22"/>
        </w:rPr>
      </w:pPr>
      <w:r w:rsidRPr="006F5D9C">
        <w:rPr>
          <w:rFonts w:ascii="Arial" w:hAnsi="Arial" w:cs="Arial"/>
          <w:noProof/>
          <w:sz w:val="22"/>
          <w:szCs w:val="22"/>
        </w:rPr>
        <w:drawing>
          <wp:inline distT="0" distB="0" distL="0" distR="0" wp14:anchorId="0547E428" wp14:editId="32087F7D">
            <wp:extent cx="5731510" cy="3820795"/>
            <wp:effectExtent l="0" t="0" r="0" b="1905"/>
            <wp:docPr id="23007157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071573" name="Picture 14"/>
                    <pic:cNvPicPr/>
                  </pic:nvPicPr>
                  <pic:blipFill>
                    <a:blip r:embed="rId18"/>
                    <a:stretch>
                      <a:fillRect/>
                    </a:stretch>
                  </pic:blipFill>
                  <pic:spPr>
                    <a:xfrm>
                      <a:off x="0" y="0"/>
                      <a:ext cx="5731510" cy="3820795"/>
                    </a:xfrm>
                    <a:prstGeom prst="rect">
                      <a:avLst/>
                    </a:prstGeom>
                  </pic:spPr>
                </pic:pic>
              </a:graphicData>
            </a:graphic>
          </wp:inline>
        </w:drawing>
      </w:r>
    </w:p>
    <w:p w14:paraId="2852A31A" w14:textId="574883B9" w:rsidR="00883C91" w:rsidRPr="00BC0594" w:rsidRDefault="00883C91" w:rsidP="00257F5E">
      <w:pPr>
        <w:spacing w:line="240" w:lineRule="auto"/>
        <w:rPr>
          <w:rFonts w:ascii="Arial" w:hAnsi="Arial" w:cs="Arial"/>
          <w:sz w:val="20"/>
          <w:szCs w:val="20"/>
        </w:rPr>
      </w:pPr>
      <w:r w:rsidRPr="00BC0594">
        <w:rPr>
          <w:rFonts w:ascii="Arial" w:hAnsi="Arial" w:cs="Arial"/>
          <w:b/>
          <w:bCs/>
          <w:sz w:val="20"/>
          <w:szCs w:val="20"/>
        </w:rPr>
        <w:t>Figure 6: Target gene-level pathway enrichment results.</w:t>
      </w:r>
      <w:r w:rsidRPr="00BC0594">
        <w:rPr>
          <w:rFonts w:ascii="Arial" w:hAnsi="Arial" w:cs="Arial"/>
          <w:sz w:val="20"/>
          <w:szCs w:val="20"/>
        </w:rPr>
        <w:t xml:space="preserve"> Target genes for differentially expressed (DE) miRNAs (N=27) detected in primary human bronchial epithelial cells exposed to 24 </w:t>
      </w:r>
      <w:proofErr w:type="spellStart"/>
      <w:r w:rsidRPr="00BC0594">
        <w:rPr>
          <w:rFonts w:ascii="Arial" w:hAnsi="Arial" w:cs="Arial"/>
          <w:sz w:val="20"/>
          <w:szCs w:val="20"/>
        </w:rPr>
        <w:t>μg</w:t>
      </w:r>
      <w:proofErr w:type="spellEnd"/>
      <w:r w:rsidRPr="00BC0594">
        <w:rPr>
          <w:rFonts w:ascii="Arial" w:hAnsi="Arial" w:cs="Arial"/>
          <w:sz w:val="20"/>
          <w:szCs w:val="20"/>
        </w:rPr>
        <w:t xml:space="preserve">/cm² protease allergen were identified from </w:t>
      </w:r>
      <w:proofErr w:type="spellStart"/>
      <w:r w:rsidRPr="00BC0594">
        <w:rPr>
          <w:rFonts w:ascii="Arial" w:hAnsi="Arial" w:cs="Arial"/>
          <w:sz w:val="20"/>
          <w:szCs w:val="20"/>
        </w:rPr>
        <w:t>miRTarBase</w:t>
      </w:r>
      <w:proofErr w:type="spellEnd"/>
      <w:r w:rsidRPr="00BC0594">
        <w:rPr>
          <w:rFonts w:ascii="Arial" w:hAnsi="Arial" w:cs="Arial"/>
          <w:sz w:val="20"/>
          <w:szCs w:val="20"/>
        </w:rPr>
        <w:t xml:space="preserve"> using the </w:t>
      </w:r>
      <w:proofErr w:type="spellStart"/>
      <w:r w:rsidRPr="00640210">
        <w:rPr>
          <w:rFonts w:ascii="Arial" w:hAnsi="Arial" w:cs="Arial"/>
          <w:i/>
          <w:iCs/>
          <w:sz w:val="20"/>
          <w:szCs w:val="20"/>
        </w:rPr>
        <w:t>multiMiR</w:t>
      </w:r>
      <w:proofErr w:type="spellEnd"/>
      <w:r w:rsidRPr="00BC0594">
        <w:rPr>
          <w:rFonts w:ascii="Arial" w:hAnsi="Arial" w:cs="Arial"/>
          <w:sz w:val="20"/>
          <w:szCs w:val="20"/>
        </w:rPr>
        <w:t xml:space="preserve"> R package. Pathway enrichment was then performed using </w:t>
      </w:r>
      <w:proofErr w:type="spellStart"/>
      <w:r w:rsidRPr="00BC0594">
        <w:rPr>
          <w:rFonts w:ascii="Arial" w:hAnsi="Arial" w:cs="Arial"/>
          <w:sz w:val="20"/>
          <w:szCs w:val="20"/>
        </w:rPr>
        <w:t>Reactome</w:t>
      </w:r>
      <w:proofErr w:type="spellEnd"/>
      <w:r w:rsidRPr="00BC0594">
        <w:rPr>
          <w:rFonts w:ascii="Arial" w:hAnsi="Arial" w:cs="Arial"/>
          <w:sz w:val="20"/>
          <w:szCs w:val="20"/>
        </w:rPr>
        <w:t xml:space="preserve"> pathways on target genes (n=3601) from upregulated DE miRNAs (n=13) and target genes (n=2746) from downregulated DE miRNAs (n=14) using the </w:t>
      </w:r>
      <w:proofErr w:type="spellStart"/>
      <w:proofErr w:type="gramStart"/>
      <w:r w:rsidRPr="00640210">
        <w:rPr>
          <w:rFonts w:ascii="Arial" w:hAnsi="Arial" w:cs="Arial"/>
          <w:i/>
          <w:iCs/>
          <w:sz w:val="20"/>
          <w:szCs w:val="20"/>
        </w:rPr>
        <w:t>enrichPathway</w:t>
      </w:r>
      <w:proofErr w:type="spellEnd"/>
      <w:r w:rsidR="00640210">
        <w:rPr>
          <w:rFonts w:ascii="Arial" w:hAnsi="Arial" w:cs="Arial"/>
          <w:i/>
          <w:iCs/>
          <w:sz w:val="20"/>
          <w:szCs w:val="20"/>
        </w:rPr>
        <w:t>(</w:t>
      </w:r>
      <w:proofErr w:type="gramEnd"/>
      <w:r w:rsidR="00640210">
        <w:rPr>
          <w:rFonts w:ascii="Arial" w:hAnsi="Arial" w:cs="Arial"/>
          <w:i/>
          <w:iCs/>
          <w:sz w:val="20"/>
          <w:szCs w:val="20"/>
        </w:rPr>
        <w:t>)</w:t>
      </w:r>
      <w:r w:rsidRPr="00BC0594">
        <w:rPr>
          <w:rFonts w:ascii="Arial" w:hAnsi="Arial" w:cs="Arial"/>
          <w:sz w:val="20"/>
          <w:szCs w:val="20"/>
        </w:rPr>
        <w:t xml:space="preserve"> function from the </w:t>
      </w:r>
      <w:proofErr w:type="spellStart"/>
      <w:r w:rsidRPr="00BC0594">
        <w:rPr>
          <w:rFonts w:ascii="Arial" w:hAnsi="Arial" w:cs="Arial"/>
          <w:sz w:val="20"/>
          <w:szCs w:val="20"/>
        </w:rPr>
        <w:t>ReactomePA</w:t>
      </w:r>
      <w:proofErr w:type="spellEnd"/>
      <w:r w:rsidRPr="00BC0594">
        <w:rPr>
          <w:rFonts w:ascii="Arial" w:hAnsi="Arial" w:cs="Arial"/>
          <w:sz w:val="20"/>
          <w:szCs w:val="20"/>
        </w:rPr>
        <w:t xml:space="preserve"> R package. The top 30 pathways according to highest gene ratio (were visualised using a dot plot generated in RStudio. The name of the enriched pathway is shown on the y-axes and the gene ratio (number of genes identified in the pathway / total genes used in the enrichment test) is indicated on the x-axes. Each dot represents an enriched pathway where the colour represents the significance of the </w:t>
      </w:r>
      <w:r w:rsidR="00640210" w:rsidRPr="00BC0594">
        <w:rPr>
          <w:rFonts w:ascii="Arial" w:hAnsi="Arial" w:cs="Arial"/>
          <w:sz w:val="20"/>
          <w:szCs w:val="20"/>
        </w:rPr>
        <w:t>association,</w:t>
      </w:r>
      <w:r w:rsidRPr="00BC0594">
        <w:rPr>
          <w:rFonts w:ascii="Arial" w:hAnsi="Arial" w:cs="Arial"/>
          <w:sz w:val="20"/>
          <w:szCs w:val="20"/>
        </w:rPr>
        <w:t xml:space="preserve"> and the size represents the number of genes involved in the pathway. (A) 30 out of the 164 significantly enriched pathways (</w:t>
      </w:r>
      <w:proofErr w:type="spellStart"/>
      <w:r w:rsidRPr="00BC0594">
        <w:rPr>
          <w:rFonts w:ascii="Arial" w:hAnsi="Arial" w:cs="Arial"/>
          <w:sz w:val="20"/>
          <w:szCs w:val="20"/>
        </w:rPr>
        <w:t>Padj</w:t>
      </w:r>
      <w:proofErr w:type="spellEnd"/>
      <w:r w:rsidRPr="00BC0594">
        <w:rPr>
          <w:rFonts w:ascii="Arial" w:hAnsi="Arial" w:cs="Arial"/>
          <w:sz w:val="20"/>
          <w:szCs w:val="20"/>
        </w:rPr>
        <w:t xml:space="preserve"> &lt; 0.02) associated with upregulated miRNAs. (B) 30 out of the 464 significantly enriched pathways (</w:t>
      </w:r>
      <w:proofErr w:type="spellStart"/>
      <w:r w:rsidRPr="00BC0594">
        <w:rPr>
          <w:rFonts w:ascii="Arial" w:hAnsi="Arial" w:cs="Arial"/>
          <w:sz w:val="20"/>
          <w:szCs w:val="20"/>
        </w:rPr>
        <w:t>Padj</w:t>
      </w:r>
      <w:proofErr w:type="spellEnd"/>
      <w:r w:rsidRPr="00BC0594">
        <w:rPr>
          <w:rFonts w:ascii="Arial" w:hAnsi="Arial" w:cs="Arial"/>
          <w:sz w:val="20"/>
          <w:szCs w:val="20"/>
        </w:rPr>
        <w:t xml:space="preserve"> &lt; 0.02) associated with downregulated miRNAs.</w:t>
      </w:r>
      <w:r w:rsidR="00640210" w:rsidRPr="00640210">
        <w:rPr>
          <w:rFonts w:ascii="Arial" w:hAnsi="Arial" w:cs="Arial"/>
          <w:sz w:val="20"/>
          <w:szCs w:val="20"/>
        </w:rPr>
        <w:t xml:space="preserve"> </w:t>
      </w:r>
      <w:r w:rsidR="00640210" w:rsidRPr="00BC0594">
        <w:rPr>
          <w:rFonts w:ascii="Arial" w:hAnsi="Arial" w:cs="Arial"/>
          <w:sz w:val="20"/>
          <w:szCs w:val="20"/>
        </w:rPr>
        <w:t>The significance and gene count scales differ between plot (A) and plot (B).</w:t>
      </w:r>
    </w:p>
    <w:p w14:paraId="0BB2EBEB" w14:textId="1B5CF1C1" w:rsidR="00F30DE9" w:rsidRPr="006F5D9C" w:rsidRDefault="00F30DE9" w:rsidP="006F5D9C">
      <w:pPr>
        <w:spacing w:line="360" w:lineRule="auto"/>
        <w:rPr>
          <w:rFonts w:ascii="Arial" w:hAnsi="Arial" w:cs="Arial"/>
          <w:sz w:val="22"/>
          <w:szCs w:val="22"/>
        </w:rPr>
      </w:pPr>
      <w:r w:rsidRPr="006F5D9C">
        <w:rPr>
          <w:rFonts w:ascii="Arial" w:hAnsi="Arial" w:cs="Arial"/>
          <w:sz w:val="22"/>
          <w:szCs w:val="22"/>
        </w:rPr>
        <w:t xml:space="preserve">Target gene-level enrichment was performed using experimentally validated target genes obtained from </w:t>
      </w:r>
      <w:proofErr w:type="spellStart"/>
      <w:r w:rsidRPr="006F5D9C">
        <w:rPr>
          <w:rFonts w:ascii="Arial" w:hAnsi="Arial" w:cs="Arial"/>
          <w:sz w:val="22"/>
          <w:szCs w:val="22"/>
        </w:rPr>
        <w:t>miRTarBase</w:t>
      </w:r>
      <w:proofErr w:type="spellEnd"/>
      <w:r w:rsidRPr="006F5D9C">
        <w:rPr>
          <w:rFonts w:ascii="Arial" w:hAnsi="Arial" w:cs="Arial"/>
          <w:sz w:val="22"/>
          <w:szCs w:val="22"/>
        </w:rPr>
        <w:t xml:space="preserve"> and assessed against </w:t>
      </w:r>
      <w:proofErr w:type="spellStart"/>
      <w:r w:rsidRPr="006F5D9C">
        <w:rPr>
          <w:rFonts w:ascii="Arial" w:hAnsi="Arial" w:cs="Arial"/>
          <w:sz w:val="22"/>
          <w:szCs w:val="22"/>
        </w:rPr>
        <w:t>Reactome</w:t>
      </w:r>
      <w:proofErr w:type="spellEnd"/>
      <w:r w:rsidRPr="006F5D9C">
        <w:rPr>
          <w:rFonts w:ascii="Arial" w:hAnsi="Arial" w:cs="Arial"/>
          <w:sz w:val="22"/>
          <w:szCs w:val="22"/>
        </w:rPr>
        <w:t xml:space="preserve"> pathways. For upregulated miRNAs (</w:t>
      </w:r>
      <w:r w:rsidRPr="006F5D9C">
        <w:rPr>
          <w:rFonts w:ascii="Arial" w:hAnsi="Arial" w:cs="Arial"/>
          <w:i/>
          <w:iCs/>
          <w:sz w:val="22"/>
          <w:szCs w:val="22"/>
        </w:rPr>
        <w:t>n</w:t>
      </w:r>
      <w:r w:rsidRPr="006F5D9C">
        <w:rPr>
          <w:rFonts w:ascii="Arial" w:hAnsi="Arial" w:cs="Arial"/>
          <w:sz w:val="22"/>
          <w:szCs w:val="22"/>
        </w:rPr>
        <w:t>=13), 164 pathways were significantly enriched (P-adjusted &lt; 0.02) based on 3601 target genes (Supp</w:t>
      </w:r>
      <w:r w:rsidR="006F0B33" w:rsidRPr="006F5D9C">
        <w:rPr>
          <w:rFonts w:ascii="Arial" w:hAnsi="Arial" w:cs="Arial"/>
          <w:sz w:val="22"/>
          <w:szCs w:val="22"/>
        </w:rPr>
        <w:t>lementary</w:t>
      </w:r>
      <w:r w:rsidRPr="006F5D9C">
        <w:rPr>
          <w:rFonts w:ascii="Arial" w:hAnsi="Arial" w:cs="Arial"/>
          <w:sz w:val="22"/>
          <w:szCs w:val="22"/>
        </w:rPr>
        <w:t xml:space="preserve"> Table </w:t>
      </w:r>
      <w:r w:rsidR="006F0B33" w:rsidRPr="006F5D9C">
        <w:rPr>
          <w:rFonts w:ascii="Arial" w:hAnsi="Arial" w:cs="Arial"/>
          <w:sz w:val="22"/>
          <w:szCs w:val="22"/>
        </w:rPr>
        <w:t>3</w:t>
      </w:r>
      <w:r w:rsidRPr="006F5D9C">
        <w:rPr>
          <w:rFonts w:ascii="Arial" w:hAnsi="Arial" w:cs="Arial"/>
          <w:sz w:val="22"/>
          <w:szCs w:val="22"/>
        </w:rPr>
        <w:t>). These included pathways associated with inflammatory signalling (IL-4, IL-13, IL-17, TNF, TLR and TGF-</w:t>
      </w:r>
      <w:r w:rsidRPr="006F5D9C">
        <w:rPr>
          <w:rFonts w:ascii="Arial" w:hAnsi="Arial" w:cs="Arial"/>
          <w:sz w:val="22"/>
          <w:szCs w:val="22"/>
        </w:rPr>
        <w:sym w:font="Symbol" w:char="F062"/>
      </w:r>
      <w:r w:rsidRPr="006F5D9C">
        <w:rPr>
          <w:rFonts w:ascii="Arial" w:hAnsi="Arial" w:cs="Arial"/>
          <w:sz w:val="22"/>
          <w:szCs w:val="22"/>
        </w:rPr>
        <w:t xml:space="preserve"> signalling) and epithelial barrier regulation (WNT and NOTCH signalling) (Figure </w:t>
      </w:r>
      <w:r w:rsidR="00ED68C6" w:rsidRPr="006F5D9C">
        <w:rPr>
          <w:rFonts w:ascii="Arial" w:hAnsi="Arial" w:cs="Arial"/>
          <w:sz w:val="22"/>
          <w:szCs w:val="22"/>
        </w:rPr>
        <w:t>6A</w:t>
      </w:r>
      <w:r w:rsidRPr="006F5D9C">
        <w:rPr>
          <w:rFonts w:ascii="Arial" w:hAnsi="Arial" w:cs="Arial"/>
          <w:sz w:val="22"/>
          <w:szCs w:val="22"/>
        </w:rPr>
        <w:t xml:space="preserve">; </w:t>
      </w:r>
      <w:r w:rsidR="006F0B33" w:rsidRPr="006F5D9C">
        <w:rPr>
          <w:rFonts w:ascii="Arial" w:hAnsi="Arial" w:cs="Arial"/>
          <w:sz w:val="22"/>
          <w:szCs w:val="22"/>
        </w:rPr>
        <w:t>Supplementary Table 3</w:t>
      </w:r>
      <w:r w:rsidRPr="006F5D9C">
        <w:rPr>
          <w:rFonts w:ascii="Arial" w:hAnsi="Arial" w:cs="Arial"/>
          <w:sz w:val="22"/>
          <w:szCs w:val="22"/>
        </w:rPr>
        <w:t xml:space="preserve">). For </w:t>
      </w:r>
      <w:r w:rsidRPr="006F5D9C">
        <w:rPr>
          <w:rFonts w:ascii="Arial" w:hAnsi="Arial" w:cs="Arial"/>
          <w:sz w:val="22"/>
          <w:szCs w:val="22"/>
        </w:rPr>
        <w:lastRenderedPageBreak/>
        <w:t>downregulated miRNAs (</w:t>
      </w:r>
      <w:r w:rsidRPr="006F5D9C">
        <w:rPr>
          <w:rFonts w:ascii="Arial" w:hAnsi="Arial" w:cs="Arial"/>
          <w:i/>
          <w:iCs/>
          <w:sz w:val="22"/>
          <w:szCs w:val="22"/>
        </w:rPr>
        <w:t>n</w:t>
      </w:r>
      <w:r w:rsidRPr="006F5D9C">
        <w:rPr>
          <w:rFonts w:ascii="Arial" w:hAnsi="Arial" w:cs="Arial"/>
          <w:sz w:val="22"/>
          <w:szCs w:val="22"/>
        </w:rPr>
        <w:t>=14), 464 pathways were significantly enriched (P-adjusted &lt; 0.02) based on 2746 target genes (</w:t>
      </w:r>
      <w:r w:rsidR="006F0B33" w:rsidRPr="006F5D9C">
        <w:rPr>
          <w:rFonts w:ascii="Arial" w:hAnsi="Arial" w:cs="Arial"/>
          <w:sz w:val="22"/>
          <w:szCs w:val="22"/>
        </w:rPr>
        <w:t>Supplementary Table 4</w:t>
      </w:r>
      <w:r w:rsidRPr="006F5D9C">
        <w:rPr>
          <w:rFonts w:ascii="Arial" w:hAnsi="Arial" w:cs="Arial"/>
          <w:sz w:val="22"/>
          <w:szCs w:val="22"/>
        </w:rPr>
        <w:t>). This included pathways associated with inflammatory signalling (IL-4, IL-6, IL-7, IL-12, IL-13, IL-17, TLR and TGF-</w:t>
      </w:r>
      <w:r w:rsidRPr="006F5D9C">
        <w:rPr>
          <w:rFonts w:ascii="Arial" w:hAnsi="Arial" w:cs="Arial"/>
          <w:sz w:val="22"/>
          <w:szCs w:val="22"/>
        </w:rPr>
        <w:sym w:font="Symbol" w:char="F062"/>
      </w:r>
      <w:r w:rsidRPr="006F5D9C">
        <w:rPr>
          <w:rFonts w:ascii="Arial" w:hAnsi="Arial" w:cs="Arial"/>
          <w:sz w:val="22"/>
          <w:szCs w:val="22"/>
        </w:rPr>
        <w:t xml:space="preserve"> signalling), immune responses (Fc receptor signalling), inflammatory cell death (pyroptosis), and epithelial barrier regulation (Rho GTPase signalling) (Figure </w:t>
      </w:r>
      <w:r w:rsidR="00A22073" w:rsidRPr="006F5D9C">
        <w:rPr>
          <w:rFonts w:ascii="Arial" w:hAnsi="Arial" w:cs="Arial"/>
          <w:sz w:val="22"/>
          <w:szCs w:val="22"/>
        </w:rPr>
        <w:t>6B</w:t>
      </w:r>
      <w:r w:rsidRPr="006F5D9C">
        <w:rPr>
          <w:rFonts w:ascii="Arial" w:hAnsi="Arial" w:cs="Arial"/>
          <w:sz w:val="22"/>
          <w:szCs w:val="22"/>
        </w:rPr>
        <w:t xml:space="preserve">; </w:t>
      </w:r>
      <w:r w:rsidR="006F0B33" w:rsidRPr="006F5D9C">
        <w:rPr>
          <w:rFonts w:ascii="Arial" w:hAnsi="Arial" w:cs="Arial"/>
          <w:sz w:val="22"/>
          <w:szCs w:val="22"/>
        </w:rPr>
        <w:t>Supplementary Table 4</w:t>
      </w:r>
      <w:r w:rsidRPr="006F5D9C">
        <w:rPr>
          <w:rFonts w:ascii="Arial" w:hAnsi="Arial" w:cs="Arial"/>
          <w:sz w:val="22"/>
          <w:szCs w:val="22"/>
        </w:rPr>
        <w:t>).</w:t>
      </w:r>
    </w:p>
    <w:p w14:paraId="0A2A9101" w14:textId="585AEB07" w:rsidR="00F30DE9" w:rsidRPr="006F5D9C" w:rsidRDefault="00F30DE9" w:rsidP="006F5D9C">
      <w:pPr>
        <w:spacing w:line="360" w:lineRule="auto"/>
        <w:rPr>
          <w:rFonts w:ascii="Arial" w:hAnsi="Arial" w:cs="Arial"/>
          <w:sz w:val="22"/>
          <w:szCs w:val="22"/>
        </w:rPr>
      </w:pPr>
      <w:r w:rsidRPr="006F5D9C">
        <w:rPr>
          <w:rFonts w:ascii="Arial" w:hAnsi="Arial" w:cs="Arial"/>
          <w:sz w:val="22"/>
          <w:szCs w:val="22"/>
        </w:rPr>
        <w:t xml:space="preserve">miRNA-level enrichment was performed using </w:t>
      </w:r>
      <w:proofErr w:type="spellStart"/>
      <w:r w:rsidRPr="006F5D9C">
        <w:rPr>
          <w:rFonts w:ascii="Arial" w:hAnsi="Arial" w:cs="Arial"/>
          <w:sz w:val="22"/>
          <w:szCs w:val="22"/>
        </w:rPr>
        <w:t>miEAA</w:t>
      </w:r>
      <w:proofErr w:type="spellEnd"/>
      <w:r w:rsidRPr="006F5D9C">
        <w:rPr>
          <w:rFonts w:ascii="Arial" w:hAnsi="Arial" w:cs="Arial"/>
          <w:sz w:val="22"/>
          <w:szCs w:val="22"/>
        </w:rPr>
        <w:t xml:space="preserve"> 2.0 against </w:t>
      </w:r>
      <w:proofErr w:type="spellStart"/>
      <w:r w:rsidRPr="006F5D9C">
        <w:rPr>
          <w:rFonts w:ascii="Arial" w:hAnsi="Arial" w:cs="Arial"/>
          <w:sz w:val="22"/>
          <w:szCs w:val="22"/>
        </w:rPr>
        <w:t>Reactome</w:t>
      </w:r>
      <w:proofErr w:type="spellEnd"/>
      <w:r w:rsidRPr="006F5D9C">
        <w:rPr>
          <w:rFonts w:ascii="Arial" w:hAnsi="Arial" w:cs="Arial"/>
          <w:sz w:val="22"/>
          <w:szCs w:val="22"/>
        </w:rPr>
        <w:t xml:space="preserve"> pathways from </w:t>
      </w:r>
      <w:proofErr w:type="spellStart"/>
      <w:r w:rsidRPr="006F5D9C">
        <w:rPr>
          <w:rFonts w:ascii="Arial" w:hAnsi="Arial" w:cs="Arial"/>
          <w:sz w:val="22"/>
          <w:szCs w:val="22"/>
        </w:rPr>
        <w:t>miRPathDB</w:t>
      </w:r>
      <w:proofErr w:type="spellEnd"/>
      <w:r w:rsidRPr="006F5D9C">
        <w:rPr>
          <w:rFonts w:ascii="Arial" w:hAnsi="Arial" w:cs="Arial"/>
          <w:sz w:val="22"/>
          <w:szCs w:val="22"/>
        </w:rPr>
        <w:t xml:space="preserve">. For ORA, all miRNAs detected in the 24 </w:t>
      </w:r>
      <w:proofErr w:type="spellStart"/>
      <w:r w:rsidRPr="006F5D9C">
        <w:rPr>
          <w:rFonts w:ascii="Arial" w:hAnsi="Arial" w:cs="Arial"/>
          <w:sz w:val="22"/>
          <w:szCs w:val="22"/>
        </w:rPr>
        <w:t>μg</w:t>
      </w:r>
      <w:proofErr w:type="spellEnd"/>
      <w:r w:rsidRPr="006F5D9C">
        <w:rPr>
          <w:rFonts w:ascii="Arial" w:hAnsi="Arial" w:cs="Arial"/>
          <w:sz w:val="22"/>
          <w:szCs w:val="22"/>
        </w:rPr>
        <w:t xml:space="preserve">/cm² protease experiment were used as the background universe (N=141). ORA identified two significantly enriched pathways (P-adjusted &lt; 0.05) among upregulated miRNAs (n=13): Transcriptional activation of cell cycle inhibitor p2 and Transcriptional activation of p53 responsive genes. No significantly enriched pathways were identified among downregulated miRNAs (n=14) using ORA (P-adjusted &lt; 0.05). miRNA-SEA was subsequently performed using all detected miRNAs ranked by </w:t>
      </w:r>
      <w:proofErr w:type="spellStart"/>
      <w:r w:rsidRPr="006F5D9C">
        <w:rPr>
          <w:rFonts w:ascii="Arial" w:hAnsi="Arial" w:cs="Arial"/>
          <w:sz w:val="22"/>
          <w:szCs w:val="22"/>
        </w:rPr>
        <w:t>logFC</w:t>
      </w:r>
      <w:proofErr w:type="spellEnd"/>
      <w:r w:rsidRPr="006F5D9C">
        <w:rPr>
          <w:rFonts w:ascii="Arial" w:hAnsi="Arial" w:cs="Arial"/>
          <w:sz w:val="22"/>
          <w:szCs w:val="22"/>
        </w:rPr>
        <w:t>; however, no significant pathways were identified (P-adjusted &lt; 0.05).</w:t>
      </w:r>
    </w:p>
    <w:p w14:paraId="2EC55D08" w14:textId="77777777" w:rsidR="00F30DE9" w:rsidRPr="006F5D9C" w:rsidRDefault="00F30DE9" w:rsidP="006F5D9C">
      <w:pPr>
        <w:spacing w:line="360" w:lineRule="auto"/>
        <w:rPr>
          <w:rFonts w:ascii="Arial" w:hAnsi="Arial" w:cs="Arial"/>
          <w:sz w:val="22"/>
          <w:szCs w:val="22"/>
        </w:rPr>
      </w:pPr>
    </w:p>
    <w:p w14:paraId="5FC8BE2E" w14:textId="62638714" w:rsidR="00F30DE9" w:rsidRPr="006F5D9C" w:rsidRDefault="00F30DE9" w:rsidP="006F5D9C">
      <w:pPr>
        <w:spacing w:line="360" w:lineRule="auto"/>
        <w:rPr>
          <w:rFonts w:ascii="Arial" w:hAnsi="Arial" w:cs="Arial"/>
          <w:b/>
          <w:bCs/>
          <w:sz w:val="22"/>
          <w:szCs w:val="22"/>
        </w:rPr>
      </w:pPr>
      <w:r w:rsidRPr="006F5D9C">
        <w:rPr>
          <w:rFonts w:ascii="Arial" w:hAnsi="Arial" w:cs="Arial"/>
          <w:b/>
          <w:bCs/>
          <w:sz w:val="22"/>
          <w:szCs w:val="22"/>
        </w:rPr>
        <w:t>Investigating the biological function of DE miRNAs originating from Calu-3 cells</w:t>
      </w:r>
    </w:p>
    <w:p w14:paraId="3334C321" w14:textId="77777777" w:rsidR="00F30DE9" w:rsidRPr="006F5D9C" w:rsidRDefault="00F30DE9" w:rsidP="006F5D9C">
      <w:pPr>
        <w:spacing w:line="360" w:lineRule="auto"/>
        <w:rPr>
          <w:rFonts w:ascii="Arial" w:hAnsi="Arial" w:cs="Arial"/>
          <w:sz w:val="22"/>
          <w:szCs w:val="22"/>
        </w:rPr>
      </w:pPr>
      <w:r w:rsidRPr="006F5D9C">
        <w:rPr>
          <w:rFonts w:ascii="Arial" w:hAnsi="Arial" w:cs="Arial"/>
          <w:sz w:val="22"/>
          <w:szCs w:val="22"/>
        </w:rPr>
        <w:t xml:space="preserve">Pathway enrichment analysis was not performed for the DE miRNAs identified in Calu-3 cells because the small number of unique DE miRNAs (N=2) was expected to provide insufficient statistical power for enrichment analyses. Instead, a targeted literature search was conducted using PubMed to investigate the reported biological function of the identified miRNAs in airway biology, immune signalling, and allergic disease contexts. Searches were performed using each DE miRNA name (“miR-125b-5p”, “miR-574-5p”) in combination with the Boolean operator “AND” and the keywords “airway”, “immune”, “allergic”, “inflammation”, “epithelial”, and “extracellular vesicle”. </w:t>
      </w:r>
    </w:p>
    <w:p w14:paraId="0A2E895B" w14:textId="51311262" w:rsidR="00F30DE9" w:rsidRPr="006F5D9C" w:rsidRDefault="00F30DE9" w:rsidP="006F5D9C">
      <w:pPr>
        <w:spacing w:line="360" w:lineRule="auto"/>
        <w:rPr>
          <w:rFonts w:ascii="Arial" w:hAnsi="Arial" w:cs="Arial"/>
          <w:sz w:val="22"/>
          <w:szCs w:val="22"/>
        </w:rPr>
      </w:pPr>
      <w:r w:rsidRPr="006F5D9C">
        <w:rPr>
          <w:rFonts w:ascii="Arial" w:hAnsi="Arial" w:cs="Arial"/>
          <w:sz w:val="22"/>
          <w:szCs w:val="22"/>
        </w:rPr>
        <w:t>For miR-125b-5p, these searches returned 5 publications for airway, 85 for immune, 3 for allergic, 98 for inflammation, 44 for epithelial, and 89 for extracellular vesicle. Screening of these publications identified reports linking miR-125b-5p to inflammatory and immune-related processes, including macrophage regulation, as well as respiratory diseases including asthma and pulmonary fibrosis, and extracellular vesicle-mediated signalling (</w:t>
      </w:r>
      <w:r w:rsidR="006F0B33" w:rsidRPr="006F5D9C">
        <w:rPr>
          <w:rFonts w:ascii="Arial" w:hAnsi="Arial" w:cs="Arial"/>
          <w:sz w:val="22"/>
          <w:szCs w:val="22"/>
        </w:rPr>
        <w:t>Supplementary Table 5).</w:t>
      </w:r>
    </w:p>
    <w:p w14:paraId="36581CA9" w14:textId="3EB7C5C9" w:rsidR="00F30DE9" w:rsidRPr="006F5D9C" w:rsidRDefault="00F30DE9" w:rsidP="006F5D9C">
      <w:pPr>
        <w:spacing w:line="360" w:lineRule="auto"/>
        <w:rPr>
          <w:rFonts w:ascii="Arial" w:hAnsi="Arial" w:cs="Arial"/>
          <w:sz w:val="22"/>
          <w:szCs w:val="22"/>
        </w:rPr>
      </w:pPr>
      <w:r w:rsidRPr="006F5D9C">
        <w:rPr>
          <w:rFonts w:ascii="Arial" w:hAnsi="Arial" w:cs="Arial"/>
          <w:sz w:val="22"/>
          <w:szCs w:val="22"/>
        </w:rPr>
        <w:t>For miR-574-5p, these searches returned 0 publications for airway, 12 for immune, 1 for allergic, 19 for inflammation, 13 for epithelial, and 20 for extracellular vesicle. Screening of these publications identified reports linking miR-574-5p to immune activation through Toll-like receptors (TLR) 7 and 8, regulation of epithelial–mesenchymal transition, and extracellular vesicle-mediated signalling (</w:t>
      </w:r>
      <w:r w:rsidR="006F0B33" w:rsidRPr="006F5D9C">
        <w:rPr>
          <w:rFonts w:ascii="Arial" w:hAnsi="Arial" w:cs="Arial"/>
          <w:sz w:val="22"/>
          <w:szCs w:val="22"/>
        </w:rPr>
        <w:t>Supplementary Table 6</w:t>
      </w:r>
      <w:r w:rsidRPr="006F5D9C">
        <w:rPr>
          <w:rFonts w:ascii="Arial" w:hAnsi="Arial" w:cs="Arial"/>
          <w:sz w:val="22"/>
          <w:szCs w:val="22"/>
        </w:rPr>
        <w:t>).</w:t>
      </w:r>
    </w:p>
    <w:p w14:paraId="521326F4" w14:textId="6D504680" w:rsidR="00F30DE9" w:rsidRPr="006F5D9C" w:rsidRDefault="00F30DE9" w:rsidP="006F5D9C">
      <w:pPr>
        <w:spacing w:line="360" w:lineRule="auto"/>
        <w:rPr>
          <w:rFonts w:ascii="Arial" w:hAnsi="Arial" w:cs="Arial"/>
          <w:sz w:val="22"/>
          <w:szCs w:val="22"/>
        </w:rPr>
      </w:pPr>
      <w:r w:rsidRPr="006F5D9C">
        <w:rPr>
          <w:rFonts w:ascii="Arial" w:hAnsi="Arial" w:cs="Arial"/>
          <w:sz w:val="22"/>
          <w:szCs w:val="22"/>
        </w:rPr>
        <w:lastRenderedPageBreak/>
        <w:t xml:space="preserve">Overall, substantially more publications were identified for miR-125b-5p than for miR-574-5p. Notably, miR-125b-5p was also the only differentially expressed miRNA observed in both the 24 </w:t>
      </w:r>
      <w:proofErr w:type="spellStart"/>
      <w:r w:rsidRPr="006F5D9C">
        <w:rPr>
          <w:rFonts w:ascii="Arial" w:hAnsi="Arial" w:cs="Arial"/>
          <w:sz w:val="22"/>
          <w:szCs w:val="22"/>
        </w:rPr>
        <w:t>μg</w:t>
      </w:r>
      <w:proofErr w:type="spellEnd"/>
      <w:r w:rsidRPr="006F5D9C">
        <w:rPr>
          <w:rFonts w:ascii="Arial" w:hAnsi="Arial" w:cs="Arial"/>
          <w:sz w:val="22"/>
          <w:szCs w:val="22"/>
        </w:rPr>
        <w:t>/cm² protease-treated primary HBECs and the Can f 1-treated Calu-3 cells.</w:t>
      </w:r>
    </w:p>
    <w:p w14:paraId="315809F3" w14:textId="77777777" w:rsidR="00F30DE9" w:rsidRPr="006F5D9C" w:rsidRDefault="00F30DE9" w:rsidP="006F5D9C">
      <w:pPr>
        <w:spacing w:line="360" w:lineRule="auto"/>
        <w:rPr>
          <w:rFonts w:ascii="Arial" w:hAnsi="Arial" w:cs="Arial"/>
          <w:sz w:val="22"/>
          <w:szCs w:val="22"/>
        </w:rPr>
      </w:pPr>
    </w:p>
    <w:p w14:paraId="399926E8" w14:textId="661D560B" w:rsidR="001D63A9" w:rsidRPr="006F5D9C" w:rsidRDefault="001D63A9" w:rsidP="006F5D9C">
      <w:pPr>
        <w:spacing w:line="360" w:lineRule="auto"/>
        <w:rPr>
          <w:rFonts w:ascii="Arial" w:hAnsi="Arial" w:cs="Arial"/>
          <w:b/>
          <w:bCs/>
          <w:sz w:val="22"/>
          <w:szCs w:val="22"/>
        </w:rPr>
      </w:pPr>
      <w:r w:rsidRPr="006C1F13">
        <w:rPr>
          <w:rFonts w:ascii="Arial" w:hAnsi="Arial" w:cs="Arial"/>
          <w:b/>
          <w:bCs/>
        </w:rPr>
        <w:t>Discussion</w:t>
      </w:r>
    </w:p>
    <w:p w14:paraId="05EA5370" w14:textId="77777777" w:rsidR="001D63A9" w:rsidRPr="006F5D9C" w:rsidRDefault="001D63A9" w:rsidP="006F5D9C">
      <w:pPr>
        <w:spacing w:line="360" w:lineRule="auto"/>
        <w:rPr>
          <w:rFonts w:ascii="Arial" w:hAnsi="Arial" w:cs="Arial"/>
          <w:sz w:val="22"/>
          <w:szCs w:val="22"/>
        </w:rPr>
      </w:pPr>
      <w:r w:rsidRPr="006F5D9C">
        <w:rPr>
          <w:rFonts w:ascii="Arial" w:hAnsi="Arial" w:cs="Arial"/>
          <w:sz w:val="22"/>
          <w:szCs w:val="22"/>
        </w:rPr>
        <w:t xml:space="preserve">This study established an EV-derived miRNA transcriptomic workflow using exclusively open-access software and applied it to investigate differential miRNA expression following allergen exposure in airway epithelial cells. Differential expression analysis identified biologically relevant EV miRNA signatures in the 24 </w:t>
      </w:r>
      <w:proofErr w:type="spellStart"/>
      <w:r w:rsidRPr="006F5D9C">
        <w:rPr>
          <w:rFonts w:ascii="Arial" w:hAnsi="Arial" w:cs="Arial"/>
          <w:sz w:val="22"/>
          <w:szCs w:val="22"/>
        </w:rPr>
        <w:t>μg</w:t>
      </w:r>
      <w:proofErr w:type="spellEnd"/>
      <w:r w:rsidRPr="006F5D9C">
        <w:rPr>
          <w:rFonts w:ascii="Arial" w:hAnsi="Arial" w:cs="Arial"/>
          <w:sz w:val="22"/>
          <w:szCs w:val="22"/>
        </w:rPr>
        <w:t>/cm² protease-treated primary HBEC samples, with target gene-level enrichment implicating immune and inflammatory pathways, whereas interpretation of the Can f 1-treated Calu-3 dataset was constrained by low miRNA abundance and limited differential expression. Collectively, these findings demonstrate that EV-derived miRNA transcriptomic analysis can be performed without the use of commercial platforms, provided that appropriate experimental design supports robust downstream analyses, and highlight candidate miRNAs for further investigation.</w:t>
      </w:r>
    </w:p>
    <w:p w14:paraId="333D053C" w14:textId="4E08C3DD" w:rsidR="001D63A9" w:rsidRPr="006F5D9C" w:rsidRDefault="001D63A9" w:rsidP="006F5D9C">
      <w:pPr>
        <w:spacing w:line="360" w:lineRule="auto"/>
        <w:rPr>
          <w:rFonts w:ascii="Arial" w:hAnsi="Arial" w:cs="Arial"/>
          <w:sz w:val="22"/>
          <w:szCs w:val="22"/>
        </w:rPr>
      </w:pPr>
      <w:r w:rsidRPr="006F5D9C">
        <w:rPr>
          <w:rFonts w:ascii="Arial" w:hAnsi="Arial" w:cs="Arial"/>
          <w:sz w:val="22"/>
          <w:szCs w:val="22"/>
        </w:rPr>
        <w:t xml:space="preserve">The 24 </w:t>
      </w:r>
      <w:proofErr w:type="spellStart"/>
      <w:r w:rsidRPr="006F5D9C">
        <w:rPr>
          <w:rFonts w:ascii="Arial" w:hAnsi="Arial" w:cs="Arial"/>
          <w:sz w:val="22"/>
          <w:szCs w:val="22"/>
        </w:rPr>
        <w:t>μg</w:t>
      </w:r>
      <w:proofErr w:type="spellEnd"/>
      <w:r w:rsidRPr="006F5D9C">
        <w:rPr>
          <w:rFonts w:ascii="Arial" w:hAnsi="Arial" w:cs="Arial"/>
          <w:sz w:val="22"/>
          <w:szCs w:val="22"/>
        </w:rPr>
        <w:t xml:space="preserve">/cm² protease-treated primary HBEC dataset provided a suitable model for developing and evaluating pathway enrichment approaches because it generated sufficient DE miRNAs (n = 27) to support biological interpretation. The increased miRNA abundance observed following high-dose protease exposure may reflect previous findings that EV production increases during lung inflammation, suggesting protease exposure may be triggering an inflammatory response (Holtzman and Lee, 2020). Target gene-level enrichment identified pathways associated with airway inflammation (IL-4 and IL-13 signalling) and allergic sensitisation (Fc receptor signalling) (Browne et al., 2025). These findings were further supported by the differential expression of miR-449a which has been implicated in IL-13-mediated epithelial differentiation in asthma (Solberg et al., 2012). Although miR-34b-3p was consistently differentially expressed across all protease exposure doses, limited evidence directly links this miRNA to airway inflammation; however, the miR-34 family has been implicated in airway biology and asthma and shares regulatory links with the miR-449 family </w:t>
      </w:r>
      <w:r w:rsidR="00A82E9B" w:rsidRPr="006F5D9C">
        <w:rPr>
          <w:rFonts w:ascii="Arial" w:hAnsi="Arial" w:cs="Arial"/>
          <w:sz w:val="22"/>
          <w:szCs w:val="22"/>
        </w:rPr>
        <w:t xml:space="preserve">(Solberg et al., 2012). </w:t>
      </w:r>
      <w:r w:rsidRPr="006F5D9C">
        <w:rPr>
          <w:rFonts w:ascii="Arial" w:hAnsi="Arial" w:cs="Arial"/>
          <w:sz w:val="22"/>
          <w:szCs w:val="22"/>
        </w:rPr>
        <w:t xml:space="preserve">Interestingly, the high-dose protease samples also exhibited increased rRNA and tRNA proportions, suggesting broader alterations in EV RNA cargo following protease exposure; however, further investigation is required to determine whether these changes represent biological responses or technical artefacts. </w:t>
      </w:r>
    </w:p>
    <w:p w14:paraId="2A23B7A8" w14:textId="6BC2FEF4" w:rsidR="001D63A9" w:rsidRPr="006F5D9C" w:rsidRDefault="001D63A9" w:rsidP="006F5D9C">
      <w:pPr>
        <w:spacing w:line="360" w:lineRule="auto"/>
        <w:rPr>
          <w:rFonts w:ascii="Arial" w:hAnsi="Arial" w:cs="Arial"/>
          <w:sz w:val="22"/>
          <w:szCs w:val="22"/>
        </w:rPr>
      </w:pPr>
      <w:r w:rsidRPr="006F5D9C">
        <w:rPr>
          <w:rFonts w:ascii="Arial" w:hAnsi="Arial" w:cs="Arial"/>
          <w:sz w:val="22"/>
          <w:szCs w:val="22"/>
        </w:rPr>
        <w:t>Biological interpretation of the Calu-3 dataset was constrained by the limited differential expression observed, likely reflecting low miRNA abundance and reduced statistical power, which precluded meaningful pathway enrichment analysis</w:t>
      </w:r>
      <w:r w:rsidR="0079385A" w:rsidRPr="006F5D9C">
        <w:rPr>
          <w:rFonts w:ascii="Arial" w:hAnsi="Arial" w:cs="Arial"/>
          <w:sz w:val="22"/>
          <w:szCs w:val="22"/>
        </w:rPr>
        <w:t xml:space="preserve">. </w:t>
      </w:r>
      <w:r w:rsidRPr="006F5D9C">
        <w:rPr>
          <w:rFonts w:ascii="Arial" w:hAnsi="Arial" w:cs="Arial"/>
          <w:sz w:val="22"/>
          <w:szCs w:val="22"/>
        </w:rPr>
        <w:t xml:space="preserve">Despite these limitations, literature-based analysis indicated that the Can f 1-associated DE miRNAs have previously </w:t>
      </w:r>
      <w:r w:rsidRPr="006F5D9C">
        <w:rPr>
          <w:rFonts w:ascii="Arial" w:hAnsi="Arial" w:cs="Arial"/>
          <w:sz w:val="22"/>
          <w:szCs w:val="22"/>
        </w:rPr>
        <w:lastRenderedPageBreak/>
        <w:t xml:space="preserve">been linked to immune and respiratory processes. miR-125b-5p has been implicated in inflammatory signalling, immune regulation, and respiratory diseases, suggesting that it may contribute to allergen-induced epithelial responses. miR-125b-5p was also detected in the 24 </w:t>
      </w:r>
      <w:proofErr w:type="spellStart"/>
      <w:r w:rsidRPr="006F5D9C">
        <w:rPr>
          <w:rFonts w:ascii="Arial" w:hAnsi="Arial" w:cs="Arial"/>
          <w:sz w:val="22"/>
          <w:szCs w:val="22"/>
        </w:rPr>
        <w:t>μg</w:t>
      </w:r>
      <w:proofErr w:type="spellEnd"/>
      <w:r w:rsidRPr="006F5D9C">
        <w:rPr>
          <w:rFonts w:ascii="Arial" w:hAnsi="Arial" w:cs="Arial"/>
          <w:sz w:val="22"/>
          <w:szCs w:val="22"/>
        </w:rPr>
        <w:t>/cm² protease-treated primary HBEC samples, suggesting that this miRNA may represent a shared response across different allergen exposures and epithelial cell types. Fewer studies have investigated miR-574-5p in airway biology; however, it has recently been linked to innate immune activation through TLR7/8 signalling, supporting its potential involvement in allergen-induced epithelial immune responses. Overall, findings from the Calu-3 dataset should be interpreted cautiously due to reduced statistical power associated with insufficient miRNA abundance, and further work is required to validate these candidate miRNAs.</w:t>
      </w:r>
    </w:p>
    <w:p w14:paraId="50751F51" w14:textId="0864C04E" w:rsidR="001D63A9" w:rsidRPr="006F5D9C" w:rsidRDefault="001D63A9" w:rsidP="006F5D9C">
      <w:pPr>
        <w:spacing w:line="360" w:lineRule="auto"/>
        <w:rPr>
          <w:rFonts w:ascii="Arial" w:hAnsi="Arial" w:cs="Arial"/>
          <w:sz w:val="22"/>
          <w:szCs w:val="22"/>
        </w:rPr>
      </w:pPr>
      <w:r w:rsidRPr="006F5D9C">
        <w:rPr>
          <w:rFonts w:ascii="Arial" w:hAnsi="Arial" w:cs="Arial"/>
          <w:sz w:val="22"/>
          <w:szCs w:val="22"/>
        </w:rPr>
        <w:t>The discrepancy in significantly enriched pathways between target gene-level enrichment (</w:t>
      </w:r>
      <w:r w:rsidRPr="006F5D9C">
        <w:rPr>
          <w:rFonts w:ascii="Arial" w:hAnsi="Arial" w:cs="Arial"/>
          <w:i/>
          <w:iCs/>
          <w:sz w:val="22"/>
          <w:szCs w:val="22"/>
        </w:rPr>
        <w:t>n</w:t>
      </w:r>
      <w:r w:rsidRPr="006F5D9C">
        <w:rPr>
          <w:rFonts w:ascii="Arial" w:hAnsi="Arial" w:cs="Arial"/>
          <w:sz w:val="22"/>
          <w:szCs w:val="22"/>
        </w:rPr>
        <w:t>=628) compared to miRNA-level enrichment (</w:t>
      </w:r>
      <w:r w:rsidRPr="006F5D9C">
        <w:rPr>
          <w:rFonts w:ascii="Arial" w:hAnsi="Arial" w:cs="Arial"/>
          <w:i/>
          <w:iCs/>
          <w:sz w:val="22"/>
          <w:szCs w:val="22"/>
        </w:rPr>
        <w:t>n</w:t>
      </w:r>
      <w:r w:rsidRPr="006F5D9C">
        <w:rPr>
          <w:rFonts w:ascii="Arial" w:hAnsi="Arial" w:cs="Arial"/>
          <w:sz w:val="22"/>
          <w:szCs w:val="22"/>
        </w:rPr>
        <w:t xml:space="preserve">=2) may reflect differences in the level of annotation and database coverage used in each approach. Target gene databases can be extensive as miRNAs can target many genes and these have been extensively characterised, whereas miRNA-level databases are less comprehensive and therefore analysis is more restricted. Furthermore, pathway associations may have been inflated by the absence of context-specific miRNA target filtering, which was difficult to integrate into the workflow using open-source resources. This may have reduced the biological specificity of enriched pathways by retaining target genes not expressed in airway epithelial cells, consequently increasing the likelihood of false-positive pathway associations </w:t>
      </w:r>
      <w:r w:rsidR="00A82E9B" w:rsidRPr="006F5D9C">
        <w:rPr>
          <w:rFonts w:ascii="Arial" w:hAnsi="Arial" w:cs="Arial"/>
          <w:sz w:val="22"/>
          <w:szCs w:val="22"/>
        </w:rPr>
        <w:t>(Nazarov and Kreis, 2021).</w:t>
      </w:r>
      <w:r w:rsidRPr="006F5D9C">
        <w:rPr>
          <w:rFonts w:ascii="Arial" w:hAnsi="Arial" w:cs="Arial"/>
          <w:sz w:val="22"/>
          <w:szCs w:val="22"/>
        </w:rPr>
        <w:t xml:space="preserve"> Additionally, this study focused on </w:t>
      </w:r>
      <w:proofErr w:type="spellStart"/>
      <w:r w:rsidRPr="006F5D9C">
        <w:rPr>
          <w:rFonts w:ascii="Arial" w:hAnsi="Arial" w:cs="Arial"/>
          <w:sz w:val="22"/>
          <w:szCs w:val="22"/>
        </w:rPr>
        <w:t>Reactome</w:t>
      </w:r>
      <w:proofErr w:type="spellEnd"/>
      <w:r w:rsidRPr="006F5D9C">
        <w:rPr>
          <w:rFonts w:ascii="Arial" w:hAnsi="Arial" w:cs="Arial"/>
          <w:sz w:val="22"/>
          <w:szCs w:val="22"/>
        </w:rPr>
        <w:t xml:space="preserve"> pathways, however alternative databases (e.g., KEGG and GO) may have provided additional miRNA-level associations and could be considered in future studies. </w:t>
      </w:r>
    </w:p>
    <w:p w14:paraId="097072A3" w14:textId="77777777" w:rsidR="001D63A9" w:rsidRPr="006F5D9C" w:rsidRDefault="001D63A9" w:rsidP="006F5D9C">
      <w:pPr>
        <w:spacing w:line="360" w:lineRule="auto"/>
        <w:rPr>
          <w:rFonts w:ascii="Arial" w:hAnsi="Arial" w:cs="Arial"/>
          <w:sz w:val="22"/>
          <w:szCs w:val="22"/>
        </w:rPr>
      </w:pPr>
      <w:r w:rsidRPr="006F5D9C">
        <w:rPr>
          <w:rFonts w:ascii="Arial" w:hAnsi="Arial" w:cs="Arial"/>
          <w:sz w:val="22"/>
          <w:szCs w:val="22"/>
        </w:rPr>
        <w:t xml:space="preserve">A major strength of this study was the development of the workflow using primary HBEC samples allowing optimisation using a dataset with sufficient differential expression. Additionally, the integration of RNA composition profiling and replicate assessment reduced the risk of technical variation being interpreted as biological signal. The use of experimentally validated miRNA-target interactions from </w:t>
      </w:r>
      <w:proofErr w:type="spellStart"/>
      <w:r w:rsidRPr="006F5D9C">
        <w:rPr>
          <w:rFonts w:ascii="Arial" w:hAnsi="Arial" w:cs="Arial"/>
          <w:sz w:val="22"/>
          <w:szCs w:val="22"/>
        </w:rPr>
        <w:t>miRTarBase</w:t>
      </w:r>
      <w:proofErr w:type="spellEnd"/>
      <w:r w:rsidRPr="006F5D9C">
        <w:rPr>
          <w:rFonts w:ascii="Arial" w:hAnsi="Arial" w:cs="Arial"/>
          <w:sz w:val="22"/>
          <w:szCs w:val="22"/>
        </w:rPr>
        <w:t xml:space="preserve"> improved confidence in pathway enrichment analysis, while the conservative interpretation of Calu-3 findings avoided over-interpretation of an underpowered dataset. Overall, the workflow enabled experimental limitations to be discovered which can subsequently be addressed to optimise further iterations of this work.</w:t>
      </w:r>
    </w:p>
    <w:p w14:paraId="638680E7" w14:textId="68610AB3" w:rsidR="001D63A9" w:rsidRPr="006F5D9C" w:rsidRDefault="001D63A9" w:rsidP="006F5D9C">
      <w:pPr>
        <w:spacing w:line="360" w:lineRule="auto"/>
        <w:rPr>
          <w:rFonts w:ascii="Arial" w:hAnsi="Arial" w:cs="Arial"/>
          <w:sz w:val="22"/>
          <w:szCs w:val="22"/>
        </w:rPr>
      </w:pPr>
      <w:r w:rsidRPr="006F5D9C">
        <w:rPr>
          <w:rFonts w:ascii="Arial" w:hAnsi="Arial" w:cs="Arial"/>
          <w:sz w:val="22"/>
          <w:szCs w:val="22"/>
        </w:rPr>
        <w:t xml:space="preserve">Several limitations should be considered when interpreting these findings. Differential expression analysis was constrained by the small number of biological replicates, reducing statistical power and restricting the removal of samples showing distinct PCA separation or variability between replicates. This allowed individual samples to disproportionately influence differential expression results </w:t>
      </w:r>
      <w:r w:rsidR="00A82E9B" w:rsidRPr="006F5D9C">
        <w:rPr>
          <w:rFonts w:ascii="Arial" w:hAnsi="Arial" w:cs="Arial"/>
          <w:sz w:val="22"/>
          <w:szCs w:val="22"/>
        </w:rPr>
        <w:t xml:space="preserve">(Liu et al., 2014). </w:t>
      </w:r>
      <w:r w:rsidRPr="006F5D9C">
        <w:rPr>
          <w:rFonts w:ascii="Arial" w:hAnsi="Arial" w:cs="Arial"/>
          <w:sz w:val="22"/>
          <w:szCs w:val="22"/>
        </w:rPr>
        <w:t xml:space="preserve">Interpretation of the Calu-3 dataset was </w:t>
      </w:r>
      <w:r w:rsidRPr="006F5D9C">
        <w:rPr>
          <w:rFonts w:ascii="Arial" w:hAnsi="Arial" w:cs="Arial"/>
          <w:sz w:val="22"/>
          <w:szCs w:val="22"/>
        </w:rPr>
        <w:lastRenderedPageBreak/>
        <w:t xml:space="preserve">further limited due to the low proportion of miRNA-assigned reads, reducing confidence that the observed differential expression reflected biological responses to allergen exposure rather than technical artefacts. The low miRNA yield may reflect the extensive dilution of EV preparations required to support EV quantification, cytokine analysis, and transcriptomics from the same samples </w:t>
      </w:r>
      <w:r w:rsidR="00A82E9B" w:rsidRPr="006F5D9C">
        <w:rPr>
          <w:rFonts w:ascii="Arial" w:hAnsi="Arial" w:cs="Arial"/>
          <w:sz w:val="22"/>
          <w:szCs w:val="22"/>
        </w:rPr>
        <w:t xml:space="preserve">(Browne et al., 2026). </w:t>
      </w:r>
      <w:r w:rsidRPr="006F5D9C">
        <w:rPr>
          <w:rFonts w:ascii="Arial" w:hAnsi="Arial" w:cs="Arial"/>
          <w:sz w:val="22"/>
          <w:szCs w:val="22"/>
        </w:rPr>
        <w:t>Substitutin</w:t>
      </w:r>
      <w:r w:rsidR="00A82E9B" w:rsidRPr="006F5D9C">
        <w:rPr>
          <w:rFonts w:ascii="Arial" w:hAnsi="Arial" w:cs="Arial"/>
          <w:sz w:val="22"/>
          <w:szCs w:val="22"/>
        </w:rPr>
        <w:t>g</w:t>
      </w:r>
      <w:r w:rsidRPr="006F5D9C">
        <w:rPr>
          <w:rFonts w:ascii="Arial" w:hAnsi="Arial" w:cs="Arial"/>
          <w:sz w:val="22"/>
          <w:szCs w:val="22"/>
        </w:rPr>
        <w:t xml:space="preserve"> pathway enrichment analysis for a targeted literature review of Calu-3 derived DE miRNAs enabled biological interpretation but precluded the identification of novel pathway associations. Finally, pathway enrichment provides predictive rather than causal evidence and remains dependent on the completeness of functional annotations and biases towards pathways associated with well-characterised miRNAs, therefore the pathway-associations identified are not exhaustive </w:t>
      </w:r>
      <w:r w:rsidR="00A82E9B" w:rsidRPr="006F5D9C">
        <w:rPr>
          <w:rFonts w:ascii="Arial" w:hAnsi="Arial" w:cs="Arial"/>
          <w:sz w:val="22"/>
          <w:szCs w:val="22"/>
        </w:rPr>
        <w:t xml:space="preserve">(Godard and </w:t>
      </w:r>
      <w:proofErr w:type="spellStart"/>
      <w:r w:rsidR="00A82E9B" w:rsidRPr="006F5D9C">
        <w:rPr>
          <w:rFonts w:ascii="Arial" w:hAnsi="Arial" w:cs="Arial"/>
          <w:sz w:val="22"/>
          <w:szCs w:val="22"/>
        </w:rPr>
        <w:t>Eyll</w:t>
      </w:r>
      <w:proofErr w:type="spellEnd"/>
      <w:r w:rsidR="00A82E9B" w:rsidRPr="006F5D9C">
        <w:rPr>
          <w:rFonts w:ascii="Arial" w:hAnsi="Arial" w:cs="Arial"/>
          <w:sz w:val="22"/>
          <w:szCs w:val="22"/>
        </w:rPr>
        <w:t>, 2015).</w:t>
      </w:r>
    </w:p>
    <w:p w14:paraId="56990A26" w14:textId="71670C14" w:rsidR="001D63A9" w:rsidRPr="006F5D9C" w:rsidRDefault="001D63A9" w:rsidP="006F5D9C">
      <w:pPr>
        <w:spacing w:line="360" w:lineRule="auto"/>
        <w:rPr>
          <w:rFonts w:ascii="Arial" w:hAnsi="Arial" w:cs="Arial"/>
          <w:sz w:val="22"/>
          <w:szCs w:val="22"/>
        </w:rPr>
      </w:pPr>
      <w:r w:rsidRPr="006F5D9C">
        <w:rPr>
          <w:rFonts w:ascii="Arial" w:hAnsi="Arial" w:cs="Arial"/>
          <w:sz w:val="22"/>
          <w:szCs w:val="22"/>
        </w:rPr>
        <w:t>The limitations identified during this study provide several recommendations for future applications of the workflow. Future experiments should consider increasing the number of biological replicates and the amount of EV-derived RNA available for sequencing to enable robust differential expression analyses, particularly in Calu-3 experiments. Generating matched mRNA expression data using RNA-</w:t>
      </w:r>
      <w:proofErr w:type="spellStart"/>
      <w:r w:rsidRPr="006F5D9C">
        <w:rPr>
          <w:rFonts w:ascii="Arial" w:hAnsi="Arial" w:cs="Arial"/>
          <w:sz w:val="22"/>
          <w:szCs w:val="22"/>
        </w:rPr>
        <w:t>seq</w:t>
      </w:r>
      <w:proofErr w:type="spellEnd"/>
      <w:r w:rsidRPr="006F5D9C">
        <w:rPr>
          <w:rFonts w:ascii="Arial" w:hAnsi="Arial" w:cs="Arial"/>
          <w:sz w:val="22"/>
          <w:szCs w:val="22"/>
        </w:rPr>
        <w:t xml:space="preserve"> would improve the biological specificity of pathway enrichment analyses. Transcriptomic analysis could likewise be optimised. Network-based approaches such as </w:t>
      </w:r>
      <w:proofErr w:type="spellStart"/>
      <w:r w:rsidRPr="006F5D9C">
        <w:rPr>
          <w:rFonts w:ascii="Arial" w:hAnsi="Arial" w:cs="Arial"/>
          <w:sz w:val="22"/>
          <w:szCs w:val="22"/>
        </w:rPr>
        <w:t>miRNet</w:t>
      </w:r>
      <w:proofErr w:type="spellEnd"/>
      <w:r w:rsidRPr="006F5D9C">
        <w:rPr>
          <w:rFonts w:ascii="Arial" w:hAnsi="Arial" w:cs="Arial"/>
          <w:sz w:val="22"/>
          <w:szCs w:val="22"/>
        </w:rPr>
        <w:t xml:space="preserve"> to prioritise highly connected regulatory genes and alternative miRNA-set ranking strategies that combine effect size and significance could further enhance pathway enrichment analysis </w:t>
      </w:r>
      <w:r w:rsidR="00A82E9B" w:rsidRPr="006F5D9C">
        <w:rPr>
          <w:rFonts w:ascii="Arial" w:hAnsi="Arial" w:cs="Arial"/>
          <w:sz w:val="22"/>
          <w:szCs w:val="22"/>
        </w:rPr>
        <w:t>(Garcia-Moreno and Saez, 2020; Chang et al., 2020)</w:t>
      </w:r>
      <w:r w:rsidRPr="006F5D9C">
        <w:rPr>
          <w:rFonts w:ascii="Arial" w:hAnsi="Arial" w:cs="Arial"/>
          <w:sz w:val="22"/>
          <w:szCs w:val="22"/>
        </w:rPr>
        <w:t xml:space="preserve">. Additionally, facilitating spike-in control data processing would negate technical variation and is especially useful for handling low-abundance miRNAs such as those identified in this study. The workflow should also be validated using established datasets and by comparing findings with the previously performed analyses </w:t>
      </w:r>
      <w:r w:rsidR="00A82E9B" w:rsidRPr="006F5D9C">
        <w:rPr>
          <w:rFonts w:ascii="Arial" w:hAnsi="Arial" w:cs="Arial"/>
          <w:sz w:val="22"/>
          <w:szCs w:val="22"/>
        </w:rPr>
        <w:t>(Hopkins et al., 2026; Browne et al., 2026).</w:t>
      </w:r>
      <w:r w:rsidRPr="006F5D9C">
        <w:rPr>
          <w:rFonts w:ascii="Arial" w:hAnsi="Arial" w:cs="Arial"/>
          <w:sz w:val="22"/>
          <w:szCs w:val="22"/>
        </w:rPr>
        <w:t xml:space="preserve"> </w:t>
      </w:r>
    </w:p>
    <w:p w14:paraId="0A77AFCC" w14:textId="72453488" w:rsidR="001D63A9" w:rsidRPr="006F5D9C" w:rsidRDefault="001D63A9" w:rsidP="006F5D9C">
      <w:pPr>
        <w:spacing w:line="360" w:lineRule="auto"/>
        <w:rPr>
          <w:rFonts w:ascii="Arial" w:hAnsi="Arial" w:cs="Arial"/>
          <w:sz w:val="22"/>
          <w:szCs w:val="22"/>
        </w:rPr>
      </w:pPr>
      <w:r w:rsidRPr="006F5D9C">
        <w:rPr>
          <w:rFonts w:ascii="Arial" w:hAnsi="Arial" w:cs="Arial"/>
          <w:sz w:val="22"/>
          <w:szCs w:val="22"/>
        </w:rPr>
        <w:t xml:space="preserve">Finally, the biological role of allergen-induced EV miRNA cargo could be further investigated by integrating matched mRNA and proteomic data to establish miRNA-mRNA-protein relationships. Candidate miRNAs should then be validated experimentally using RT-qPCR before functional studies employing miRNA mimics and inhibitors to determine their regulatory roles in </w:t>
      </w:r>
      <w:r w:rsidRPr="006F5D9C">
        <w:rPr>
          <w:rFonts w:ascii="Arial" w:eastAsia="Times New Roman" w:hAnsi="Arial" w:cs="Arial"/>
          <w:color w:val="000000"/>
          <w:sz w:val="22"/>
          <w:szCs w:val="22"/>
          <w:lang w:eastAsia="en-GB"/>
        </w:rPr>
        <w:t>immune and inflammatory pathways relevant to airway biology</w:t>
      </w:r>
      <w:r w:rsidRPr="006F5D9C">
        <w:rPr>
          <w:rFonts w:ascii="Arial" w:hAnsi="Arial" w:cs="Arial"/>
          <w:sz w:val="22"/>
          <w:szCs w:val="22"/>
        </w:rPr>
        <w:t>.</w:t>
      </w:r>
    </w:p>
    <w:p w14:paraId="58B5AFF5" w14:textId="77777777" w:rsidR="001D63A9" w:rsidRPr="006F5D9C" w:rsidRDefault="001D63A9" w:rsidP="006F5D9C">
      <w:pPr>
        <w:spacing w:line="360" w:lineRule="auto"/>
        <w:rPr>
          <w:rFonts w:ascii="Arial" w:hAnsi="Arial" w:cs="Arial"/>
          <w:sz w:val="22"/>
          <w:szCs w:val="22"/>
        </w:rPr>
      </w:pPr>
      <w:r w:rsidRPr="006F5D9C">
        <w:rPr>
          <w:rFonts w:ascii="Arial" w:hAnsi="Arial" w:cs="Arial"/>
          <w:sz w:val="22"/>
          <w:szCs w:val="22"/>
        </w:rPr>
        <w:t xml:space="preserve">Overall, this study demonstrates that EV-derived miRNA transcriptomic analysis can be performed using exclusively open-source and open-access software, although integrating context-specific target gene filtering remains challenging. The workflow identified distinct RNA composition profiles and miRNA signatures in the 24 </w:t>
      </w:r>
      <w:proofErr w:type="spellStart"/>
      <w:r w:rsidRPr="006F5D9C">
        <w:rPr>
          <w:rFonts w:ascii="Arial" w:hAnsi="Arial" w:cs="Arial"/>
          <w:sz w:val="22"/>
          <w:szCs w:val="22"/>
        </w:rPr>
        <w:t>μg</w:t>
      </w:r>
      <w:proofErr w:type="spellEnd"/>
      <w:r w:rsidRPr="006F5D9C">
        <w:rPr>
          <w:rFonts w:ascii="Arial" w:hAnsi="Arial" w:cs="Arial"/>
          <w:sz w:val="22"/>
          <w:szCs w:val="22"/>
        </w:rPr>
        <w:t>/cm</w:t>
      </w:r>
      <w:r w:rsidRPr="006F5D9C">
        <w:rPr>
          <w:rFonts w:ascii="Arial" w:hAnsi="Arial" w:cs="Arial"/>
          <w:sz w:val="22"/>
          <w:szCs w:val="22"/>
          <w:vertAlign w:val="superscript"/>
        </w:rPr>
        <w:t>2</w:t>
      </w:r>
      <w:r w:rsidRPr="006F5D9C">
        <w:rPr>
          <w:rFonts w:ascii="Arial" w:hAnsi="Arial" w:cs="Arial"/>
          <w:sz w:val="22"/>
          <w:szCs w:val="22"/>
        </w:rPr>
        <w:t xml:space="preserve"> protease-treated primary HBEC samples, enabling comparison of pathway enrichment approaches. Target gene-level enrichment was found to provide the most informative biological interpretation for this dataset, identifying pathways related to immune signalling and epithelial barrier homeostasis. </w:t>
      </w:r>
      <w:r w:rsidRPr="006F5D9C">
        <w:rPr>
          <w:rFonts w:ascii="Arial" w:hAnsi="Arial" w:cs="Arial"/>
          <w:sz w:val="22"/>
          <w:szCs w:val="22"/>
        </w:rPr>
        <w:lastRenderedPageBreak/>
        <w:t>Although pathway enrichment was unsuitable for the Calu-3 dataset because of limited differential expression, literature indicated that miR-125b-5p and miR-574-5p have previously been implicated in inflammatory signalling and respiratory disease. Experimental recommendations were provided to improve transcriptomic analysis in future allergen studies. Collectively, these findings demonstrate that biologically plausible EV-derived miRNA transcriptomic analysis can be achieved without commercial services, provided that experimental design supports robust downstream analyses.</w:t>
      </w:r>
    </w:p>
    <w:p w14:paraId="30CC5A3B" w14:textId="77777777" w:rsidR="00B048DF" w:rsidRPr="006F5D9C" w:rsidRDefault="00B048DF" w:rsidP="006F5D9C">
      <w:pPr>
        <w:spacing w:line="360" w:lineRule="auto"/>
        <w:rPr>
          <w:rFonts w:ascii="Arial" w:hAnsi="Arial" w:cs="Arial"/>
          <w:sz w:val="22"/>
          <w:szCs w:val="22"/>
        </w:rPr>
      </w:pPr>
    </w:p>
    <w:p w14:paraId="37482417" w14:textId="01CFE10B" w:rsidR="00B048DF" w:rsidRPr="006C1F13" w:rsidRDefault="00B048DF" w:rsidP="006F5D9C">
      <w:pPr>
        <w:spacing w:line="360" w:lineRule="auto"/>
        <w:rPr>
          <w:rFonts w:ascii="Arial" w:hAnsi="Arial" w:cs="Arial"/>
        </w:rPr>
      </w:pPr>
      <w:r w:rsidRPr="006C1F13">
        <w:rPr>
          <w:rFonts w:ascii="Arial" w:hAnsi="Arial" w:cs="Arial"/>
          <w:b/>
          <w:bCs/>
        </w:rPr>
        <w:t>Data Availability</w:t>
      </w:r>
    </w:p>
    <w:p w14:paraId="7DF293CE" w14:textId="4C25ACA0" w:rsidR="00B048DF" w:rsidRPr="006F5D9C" w:rsidRDefault="00B048DF" w:rsidP="006F5D9C">
      <w:pPr>
        <w:spacing w:line="360" w:lineRule="auto"/>
        <w:rPr>
          <w:rFonts w:ascii="Arial" w:hAnsi="Arial" w:cs="Arial"/>
          <w:sz w:val="22"/>
          <w:szCs w:val="22"/>
        </w:rPr>
      </w:pPr>
      <w:r w:rsidRPr="006F5D9C">
        <w:rPr>
          <w:rFonts w:ascii="Arial" w:hAnsi="Arial" w:cs="Arial"/>
          <w:sz w:val="22"/>
          <w:szCs w:val="22"/>
        </w:rPr>
        <w:t xml:space="preserve">Data generated for this analysis is available at the discretion of the corresponding authors: Browne et al., 2026 for Calu-3 data; Hopkins et al., 2026 for primary HBEC data. Test data has been uploaded to the GitHub corresponding to this study to demonstrate the workflow is functional. Test data consists of FASTQ </w:t>
      </w:r>
      <w:r w:rsidR="00602381" w:rsidRPr="006F5D9C">
        <w:rPr>
          <w:rFonts w:ascii="Arial" w:hAnsi="Arial" w:cs="Arial"/>
          <w:sz w:val="22"/>
          <w:szCs w:val="22"/>
        </w:rPr>
        <w:t>files</w:t>
      </w:r>
      <w:r w:rsidRPr="006F5D9C">
        <w:rPr>
          <w:rFonts w:ascii="Arial" w:hAnsi="Arial" w:cs="Arial"/>
          <w:sz w:val="22"/>
          <w:szCs w:val="22"/>
        </w:rPr>
        <w:t xml:space="preserve"> containing </w:t>
      </w:r>
      <w:r w:rsidR="00602381" w:rsidRPr="006F5D9C">
        <w:rPr>
          <w:rFonts w:ascii="Arial" w:hAnsi="Arial" w:cs="Arial"/>
          <w:sz w:val="22"/>
          <w:szCs w:val="22"/>
        </w:rPr>
        <w:t xml:space="preserve">a subset of </w:t>
      </w:r>
      <w:r w:rsidRPr="006F5D9C">
        <w:rPr>
          <w:rFonts w:ascii="Arial" w:hAnsi="Arial" w:cs="Arial"/>
          <w:sz w:val="22"/>
          <w:szCs w:val="22"/>
        </w:rPr>
        <w:t xml:space="preserve">1000 pseudo-random reads obtained from </w:t>
      </w:r>
      <w:proofErr w:type="spellStart"/>
      <w:r w:rsidRPr="006F5D9C">
        <w:rPr>
          <w:rFonts w:ascii="Arial" w:hAnsi="Arial" w:cs="Arial"/>
          <w:sz w:val="22"/>
          <w:szCs w:val="22"/>
        </w:rPr>
        <w:t>Khamina</w:t>
      </w:r>
      <w:proofErr w:type="spellEnd"/>
      <w:r w:rsidRPr="006F5D9C">
        <w:rPr>
          <w:rFonts w:ascii="Arial" w:hAnsi="Arial" w:cs="Arial"/>
          <w:sz w:val="22"/>
          <w:szCs w:val="22"/>
        </w:rPr>
        <w:t xml:space="preserve"> et al., 2022, available at the Gene Expression Omnibus (study accession: GSE189930, sample accession: SAMN23550840).</w:t>
      </w:r>
    </w:p>
    <w:p w14:paraId="39EA9615" w14:textId="77777777" w:rsidR="001D63A9" w:rsidRPr="006F5D9C" w:rsidRDefault="001D63A9" w:rsidP="006F5D9C">
      <w:pPr>
        <w:spacing w:line="360" w:lineRule="auto"/>
        <w:rPr>
          <w:rFonts w:ascii="Arial" w:hAnsi="Arial" w:cs="Arial"/>
          <w:sz w:val="22"/>
          <w:szCs w:val="22"/>
        </w:rPr>
      </w:pPr>
    </w:p>
    <w:p w14:paraId="2D06A98F" w14:textId="65932972" w:rsidR="00A03509" w:rsidRPr="006F5D9C" w:rsidRDefault="00A03509" w:rsidP="006F5D9C">
      <w:pPr>
        <w:spacing w:line="360" w:lineRule="auto"/>
        <w:rPr>
          <w:rFonts w:ascii="Arial" w:hAnsi="Arial" w:cs="Arial"/>
          <w:sz w:val="22"/>
          <w:szCs w:val="22"/>
        </w:rPr>
      </w:pPr>
      <w:r w:rsidRPr="006C1F13">
        <w:rPr>
          <w:rFonts w:ascii="Arial" w:hAnsi="Arial" w:cs="Arial"/>
          <w:b/>
          <w:bCs/>
        </w:rPr>
        <w:t>Acknowledgements</w:t>
      </w:r>
    </w:p>
    <w:p w14:paraId="098527FB" w14:textId="756AC6A0" w:rsidR="00A03509" w:rsidRPr="006F5D9C" w:rsidRDefault="00A03509" w:rsidP="006F5D9C">
      <w:pPr>
        <w:spacing w:line="360" w:lineRule="auto"/>
        <w:rPr>
          <w:rFonts w:ascii="Arial" w:hAnsi="Arial" w:cs="Arial"/>
          <w:sz w:val="22"/>
          <w:szCs w:val="22"/>
        </w:rPr>
      </w:pPr>
      <w:r w:rsidRPr="006F5D9C">
        <w:rPr>
          <w:rFonts w:ascii="Arial" w:hAnsi="Arial" w:cs="Arial"/>
          <w:sz w:val="22"/>
          <w:szCs w:val="22"/>
        </w:rPr>
        <w:t xml:space="preserve">We thank Dr Georgina Hopkins and Dr William Browne for the contribution of the raw data. </w:t>
      </w:r>
      <w:proofErr w:type="gramStart"/>
      <w:r w:rsidRPr="006F5D9C">
        <w:rPr>
          <w:rFonts w:ascii="Arial" w:hAnsi="Arial" w:cs="Arial"/>
          <w:sz w:val="22"/>
          <w:szCs w:val="22"/>
        </w:rPr>
        <w:t>Particular thanks to</w:t>
      </w:r>
      <w:proofErr w:type="gramEnd"/>
      <w:r w:rsidRPr="006F5D9C">
        <w:rPr>
          <w:rFonts w:ascii="Arial" w:hAnsi="Arial" w:cs="Arial"/>
          <w:sz w:val="22"/>
          <w:szCs w:val="22"/>
        </w:rPr>
        <w:t xml:space="preserve"> Dr Georgina Hopkins, Dr Hannah Brown and </w:t>
      </w:r>
      <w:r w:rsidR="00D82791">
        <w:rPr>
          <w:rFonts w:ascii="Arial" w:hAnsi="Arial" w:cs="Arial"/>
          <w:sz w:val="22"/>
          <w:szCs w:val="22"/>
        </w:rPr>
        <w:t>Professor</w:t>
      </w:r>
      <w:r w:rsidRPr="006F5D9C">
        <w:rPr>
          <w:rFonts w:ascii="Arial" w:hAnsi="Arial" w:cs="Arial"/>
          <w:sz w:val="22"/>
          <w:szCs w:val="22"/>
        </w:rPr>
        <w:t xml:space="preserve"> Lucy Fairclough for their support and guidance throughout the duration of this project. We acknowledge the use of Ada High-Performance Computing facility provided by the University of Nottingham which enabled the computation work.</w:t>
      </w:r>
    </w:p>
    <w:p w14:paraId="198061FF" w14:textId="77777777" w:rsidR="001D63A9" w:rsidRPr="006F5D9C" w:rsidRDefault="001D63A9" w:rsidP="006F5D9C">
      <w:pPr>
        <w:spacing w:line="360" w:lineRule="auto"/>
        <w:rPr>
          <w:rFonts w:ascii="Arial" w:hAnsi="Arial" w:cs="Arial"/>
          <w:b/>
          <w:bCs/>
          <w:sz w:val="22"/>
          <w:szCs w:val="22"/>
        </w:rPr>
      </w:pPr>
    </w:p>
    <w:p w14:paraId="3C0AE34A" w14:textId="77777777" w:rsidR="001D63A9" w:rsidRPr="006F5D9C" w:rsidRDefault="001D63A9" w:rsidP="006F5D9C">
      <w:pPr>
        <w:spacing w:line="360" w:lineRule="auto"/>
        <w:rPr>
          <w:rFonts w:ascii="Arial" w:hAnsi="Arial" w:cs="Arial"/>
          <w:b/>
          <w:bCs/>
          <w:sz w:val="22"/>
          <w:szCs w:val="22"/>
        </w:rPr>
      </w:pPr>
    </w:p>
    <w:p w14:paraId="08E09570" w14:textId="5A3115B0" w:rsidR="001D63A9" w:rsidRPr="006F5D9C" w:rsidRDefault="001D63A9" w:rsidP="006F5D9C">
      <w:pPr>
        <w:spacing w:line="360" w:lineRule="auto"/>
        <w:rPr>
          <w:rFonts w:ascii="Arial" w:hAnsi="Arial" w:cs="Arial"/>
          <w:sz w:val="22"/>
          <w:szCs w:val="22"/>
        </w:rPr>
      </w:pPr>
      <w:r w:rsidRPr="006C1F13">
        <w:rPr>
          <w:rFonts w:ascii="Arial" w:hAnsi="Arial" w:cs="Arial"/>
          <w:b/>
          <w:bCs/>
        </w:rPr>
        <w:t>References</w:t>
      </w:r>
    </w:p>
    <w:p w14:paraId="76246647" w14:textId="77777777" w:rsidR="00C36AA9" w:rsidRPr="006F5D9C" w:rsidRDefault="00C36AA9" w:rsidP="006F5D9C">
      <w:pPr>
        <w:spacing w:line="360" w:lineRule="auto"/>
        <w:rPr>
          <w:rFonts w:ascii="Arial" w:hAnsi="Arial" w:cs="Arial"/>
          <w:sz w:val="22"/>
          <w:szCs w:val="22"/>
        </w:rPr>
      </w:pPr>
      <w:r w:rsidRPr="006F5D9C">
        <w:rPr>
          <w:rFonts w:ascii="Arial" w:hAnsi="Arial" w:cs="Arial"/>
          <w:sz w:val="22"/>
          <w:szCs w:val="22"/>
        </w:rPr>
        <w:t>BARTEL, S., LA GRUTTA, S., CILLUFFO, G., PERCONTI, G., BONGIOVANNI, A., GIALLONGO, A., BEHRENDS, J., KRUPPA, J., HERMANN, S., CHIANG, D., PFAFFL, M. W. &amp; KRAUSS-ETSCHMANN, S. 2020. Human airway epithelial extracellular vesicle miRNA signature is altered upon asthma development. Allergy, 75, 346-356.</w:t>
      </w:r>
    </w:p>
    <w:p w14:paraId="2E2B746C" w14:textId="77777777" w:rsidR="00C36AA9" w:rsidRPr="006F5D9C" w:rsidRDefault="00C36AA9" w:rsidP="006F5D9C">
      <w:pPr>
        <w:spacing w:line="360" w:lineRule="auto"/>
        <w:rPr>
          <w:rFonts w:ascii="Arial" w:hAnsi="Arial" w:cs="Arial"/>
          <w:sz w:val="22"/>
          <w:szCs w:val="22"/>
        </w:rPr>
      </w:pPr>
      <w:r w:rsidRPr="006F5D9C">
        <w:rPr>
          <w:rFonts w:ascii="Arial" w:hAnsi="Arial" w:cs="Arial"/>
          <w:sz w:val="22"/>
          <w:szCs w:val="22"/>
        </w:rPr>
        <w:t>BROWNE, W., HOPKINS, G., COCHRANE, S., JAMES, V., ONION, D. &amp; FAIRCLOUGH, L. C. 2025. The Role of Epithelial-Derived Extracellular Vesicles in Allergic Sensitisation: A Systematic Review. International Journal of Molecular Sciences, 26, 5791.</w:t>
      </w:r>
    </w:p>
    <w:p w14:paraId="246F06AE" w14:textId="77777777" w:rsidR="00C36AA9" w:rsidRPr="006F5D9C" w:rsidRDefault="00C36AA9" w:rsidP="006F5D9C">
      <w:pPr>
        <w:spacing w:line="360" w:lineRule="auto"/>
        <w:rPr>
          <w:rFonts w:ascii="Arial" w:hAnsi="Arial" w:cs="Arial"/>
          <w:sz w:val="22"/>
          <w:szCs w:val="22"/>
        </w:rPr>
      </w:pPr>
      <w:r w:rsidRPr="006F5D9C">
        <w:rPr>
          <w:rFonts w:ascii="Arial" w:hAnsi="Arial" w:cs="Arial"/>
          <w:sz w:val="22"/>
          <w:szCs w:val="22"/>
        </w:rPr>
        <w:lastRenderedPageBreak/>
        <w:t>BROWNE, W., JAMES, V., ONION, D., COCHRANE, S. &amp; FAIRCLOUGH, L. C. 2026. Air-liquid Interface exposed Epithelial-derived Extracellular Vesicles are modified following nebulisation of Der p 1.</w:t>
      </w:r>
    </w:p>
    <w:p w14:paraId="497C701B" w14:textId="77777777" w:rsidR="00C36AA9" w:rsidRPr="006F5D9C" w:rsidRDefault="00C36AA9" w:rsidP="006F5D9C">
      <w:pPr>
        <w:spacing w:line="360" w:lineRule="auto"/>
        <w:rPr>
          <w:rFonts w:ascii="Arial" w:hAnsi="Arial" w:cs="Arial"/>
          <w:sz w:val="22"/>
          <w:szCs w:val="22"/>
        </w:rPr>
      </w:pPr>
      <w:r w:rsidRPr="006F5D9C">
        <w:rPr>
          <w:rFonts w:ascii="Arial" w:hAnsi="Arial" w:cs="Arial"/>
          <w:sz w:val="22"/>
          <w:szCs w:val="22"/>
        </w:rPr>
        <w:t xml:space="preserve">CARLIER, F. M., DE FAYS, C. &amp; PILETTE, C. 2021. Epithelial Barrier Dysfunction in Chronic Respiratory Diseases. Front </w:t>
      </w:r>
      <w:proofErr w:type="spellStart"/>
      <w:r w:rsidRPr="006F5D9C">
        <w:rPr>
          <w:rFonts w:ascii="Arial" w:hAnsi="Arial" w:cs="Arial"/>
          <w:sz w:val="22"/>
          <w:szCs w:val="22"/>
        </w:rPr>
        <w:t>Physiol</w:t>
      </w:r>
      <w:proofErr w:type="spellEnd"/>
      <w:r w:rsidRPr="006F5D9C">
        <w:rPr>
          <w:rFonts w:ascii="Arial" w:hAnsi="Arial" w:cs="Arial"/>
          <w:sz w:val="22"/>
          <w:szCs w:val="22"/>
        </w:rPr>
        <w:t>, 12, 691227.</w:t>
      </w:r>
    </w:p>
    <w:p w14:paraId="12B95DD8" w14:textId="77777777" w:rsidR="00C36AA9" w:rsidRPr="006F5D9C" w:rsidRDefault="00C36AA9" w:rsidP="006F5D9C">
      <w:pPr>
        <w:spacing w:line="360" w:lineRule="auto"/>
        <w:rPr>
          <w:rFonts w:ascii="Arial" w:hAnsi="Arial" w:cs="Arial"/>
          <w:sz w:val="22"/>
          <w:szCs w:val="22"/>
        </w:rPr>
      </w:pPr>
      <w:r w:rsidRPr="006F5D9C">
        <w:rPr>
          <w:rFonts w:ascii="Arial" w:hAnsi="Arial" w:cs="Arial"/>
          <w:sz w:val="22"/>
          <w:szCs w:val="22"/>
        </w:rPr>
        <w:t xml:space="preserve">CHANG, L., ZHOU, G., SOUFAN, O. &amp; XIA, J. 2020. </w:t>
      </w:r>
      <w:proofErr w:type="spellStart"/>
      <w:r w:rsidRPr="006F5D9C">
        <w:rPr>
          <w:rFonts w:ascii="Arial" w:hAnsi="Arial" w:cs="Arial"/>
          <w:sz w:val="22"/>
          <w:szCs w:val="22"/>
        </w:rPr>
        <w:t>miRNet</w:t>
      </w:r>
      <w:proofErr w:type="spellEnd"/>
      <w:r w:rsidRPr="006F5D9C">
        <w:rPr>
          <w:rFonts w:ascii="Arial" w:hAnsi="Arial" w:cs="Arial"/>
          <w:sz w:val="22"/>
          <w:szCs w:val="22"/>
        </w:rPr>
        <w:t xml:space="preserve"> 2.0: network-based visual analytics for miRNA functional analysis and systems biology. Nucleic Acids Res, 48, W244-w251.</w:t>
      </w:r>
    </w:p>
    <w:p w14:paraId="1B5A86D0" w14:textId="77777777" w:rsidR="00C36AA9" w:rsidRPr="006F5D9C" w:rsidRDefault="00C36AA9" w:rsidP="006F5D9C">
      <w:pPr>
        <w:spacing w:line="360" w:lineRule="auto"/>
        <w:rPr>
          <w:rFonts w:ascii="Arial" w:hAnsi="Arial" w:cs="Arial"/>
          <w:sz w:val="22"/>
          <w:szCs w:val="22"/>
        </w:rPr>
      </w:pPr>
      <w:r w:rsidRPr="006F5D9C">
        <w:rPr>
          <w:rFonts w:ascii="Arial" w:hAnsi="Arial" w:cs="Arial"/>
          <w:sz w:val="22"/>
          <w:szCs w:val="22"/>
        </w:rPr>
        <w:t>CHEN, Y. F., LUH, F., HO, Y. S. &amp; YEN, Y. 2024. Exosomes: a review of biologic function, diagnostic and targeted therapy applications, and clinical trials. J Biomed Sci, 31, 67.</w:t>
      </w:r>
    </w:p>
    <w:p w14:paraId="4813738B" w14:textId="77777777" w:rsidR="00C36AA9" w:rsidRPr="006F5D9C" w:rsidRDefault="00C36AA9" w:rsidP="006F5D9C">
      <w:pPr>
        <w:spacing w:line="360" w:lineRule="auto"/>
        <w:rPr>
          <w:rFonts w:ascii="Arial" w:hAnsi="Arial" w:cs="Arial"/>
          <w:sz w:val="22"/>
          <w:szCs w:val="22"/>
        </w:rPr>
      </w:pPr>
      <w:r w:rsidRPr="006F5D9C">
        <w:rPr>
          <w:rFonts w:ascii="Arial" w:hAnsi="Arial" w:cs="Arial"/>
          <w:sz w:val="22"/>
          <w:szCs w:val="22"/>
        </w:rPr>
        <w:t xml:space="preserve">FUJITA, Y., KADOTA, T., KANEKO, R., HIRANO, Y., FUJIMOTO, S., WATANABE, N., KIZAWA, R., OHTSUKA, T., KUWANO, K., OCHIYA, T. &amp; ARAYA, J. 2024. Mitigation of acute lung injury by human bronchial epithelial cell-derived extracellular vesicles via ANXA1-mediated FPR </w:t>
      </w:r>
      <w:proofErr w:type="spellStart"/>
      <w:r w:rsidRPr="006F5D9C">
        <w:rPr>
          <w:rFonts w:ascii="Arial" w:hAnsi="Arial" w:cs="Arial"/>
          <w:sz w:val="22"/>
          <w:szCs w:val="22"/>
        </w:rPr>
        <w:t>signaling</w:t>
      </w:r>
      <w:proofErr w:type="spellEnd"/>
      <w:r w:rsidRPr="006F5D9C">
        <w:rPr>
          <w:rFonts w:ascii="Arial" w:hAnsi="Arial" w:cs="Arial"/>
          <w:sz w:val="22"/>
          <w:szCs w:val="22"/>
        </w:rPr>
        <w:t>. Communications Biology, 7, 514.</w:t>
      </w:r>
    </w:p>
    <w:p w14:paraId="36CEF07C" w14:textId="77777777" w:rsidR="00C36AA9" w:rsidRPr="006F5D9C" w:rsidRDefault="00C36AA9" w:rsidP="006F5D9C">
      <w:pPr>
        <w:spacing w:line="360" w:lineRule="auto"/>
        <w:rPr>
          <w:rFonts w:ascii="Arial" w:hAnsi="Arial" w:cs="Arial"/>
          <w:sz w:val="22"/>
          <w:szCs w:val="22"/>
        </w:rPr>
      </w:pPr>
      <w:r w:rsidRPr="006F5D9C">
        <w:rPr>
          <w:rFonts w:ascii="Arial" w:hAnsi="Arial" w:cs="Arial"/>
          <w:sz w:val="22"/>
          <w:szCs w:val="22"/>
        </w:rPr>
        <w:t>GARCIA-MORENO, A. &amp; CARMONA-SAEZ, P. 2020. Computational Methods and Software Tools for Functional Analysis of miRNA Data. Biomolecules, 10, 1252.</w:t>
      </w:r>
    </w:p>
    <w:p w14:paraId="7C95DECB" w14:textId="77777777" w:rsidR="00C36AA9" w:rsidRPr="006F5D9C" w:rsidRDefault="00C36AA9" w:rsidP="006F5D9C">
      <w:pPr>
        <w:spacing w:line="360" w:lineRule="auto"/>
        <w:rPr>
          <w:rFonts w:ascii="Arial" w:hAnsi="Arial" w:cs="Arial"/>
          <w:sz w:val="22"/>
          <w:szCs w:val="22"/>
        </w:rPr>
      </w:pPr>
      <w:r w:rsidRPr="006F5D9C">
        <w:rPr>
          <w:rFonts w:ascii="Arial" w:hAnsi="Arial" w:cs="Arial"/>
          <w:sz w:val="22"/>
          <w:szCs w:val="22"/>
        </w:rPr>
        <w:t>GODARD, P. &amp; VAN EYLL, J. 2015. Pathway analysis from lists of microRNAs: common pitfalls and alternative strategy. Nucleic Acids Res, 43, 3490-7.</w:t>
      </w:r>
    </w:p>
    <w:p w14:paraId="0322B7C5" w14:textId="77777777" w:rsidR="00C36AA9" w:rsidRPr="006F5D9C" w:rsidRDefault="00C36AA9" w:rsidP="006F5D9C">
      <w:pPr>
        <w:spacing w:line="360" w:lineRule="auto"/>
        <w:rPr>
          <w:rFonts w:ascii="Arial" w:hAnsi="Arial" w:cs="Arial"/>
          <w:sz w:val="22"/>
          <w:szCs w:val="22"/>
        </w:rPr>
      </w:pPr>
      <w:r w:rsidRPr="006F5D9C">
        <w:rPr>
          <w:rFonts w:ascii="Arial" w:hAnsi="Arial" w:cs="Arial"/>
          <w:sz w:val="22"/>
          <w:szCs w:val="22"/>
        </w:rPr>
        <w:t xml:space="preserve">GON, Y., MARUOKA, S., INOUE, T., KURODA, K., YAMAGISHI, K., KOZU, Y., SHIKANO, S., SODA, K., </w:t>
      </w:r>
      <w:proofErr w:type="spellStart"/>
      <w:r w:rsidRPr="006F5D9C">
        <w:rPr>
          <w:rFonts w:ascii="Arial" w:hAnsi="Arial" w:cs="Arial"/>
          <w:sz w:val="22"/>
          <w:szCs w:val="22"/>
        </w:rPr>
        <w:t>LöTVALL</w:t>
      </w:r>
      <w:proofErr w:type="spellEnd"/>
      <w:r w:rsidRPr="006F5D9C">
        <w:rPr>
          <w:rFonts w:ascii="Arial" w:hAnsi="Arial" w:cs="Arial"/>
          <w:sz w:val="22"/>
          <w:szCs w:val="22"/>
        </w:rPr>
        <w:t>, J. &amp; HASHIMOTO, S. 2017. Selective release of miRNAs via extracellular vesicles is associated with house-dust mite allergen-induced airway inflammation. Clinical &amp; Experimental Allergy, 47, 1586-1598.</w:t>
      </w:r>
    </w:p>
    <w:p w14:paraId="609C201F" w14:textId="77777777" w:rsidR="00C36AA9" w:rsidRPr="006F5D9C" w:rsidRDefault="00C36AA9" w:rsidP="006F5D9C">
      <w:pPr>
        <w:spacing w:line="360" w:lineRule="auto"/>
        <w:rPr>
          <w:rFonts w:ascii="Arial" w:hAnsi="Arial" w:cs="Arial"/>
          <w:sz w:val="22"/>
          <w:szCs w:val="22"/>
        </w:rPr>
      </w:pPr>
      <w:r w:rsidRPr="006F5D9C">
        <w:rPr>
          <w:rFonts w:ascii="Arial" w:hAnsi="Arial" w:cs="Arial"/>
          <w:sz w:val="22"/>
          <w:szCs w:val="22"/>
        </w:rPr>
        <w:t>HOLTZMAN, J. &amp; LEE, H. 2020. Emerging role of extracellular vesicles in the respiratory system. Experimental &amp; Molecular Medicine, 52, 887-895.</w:t>
      </w:r>
    </w:p>
    <w:p w14:paraId="0B8B8B4E" w14:textId="77777777" w:rsidR="00C36AA9" w:rsidRPr="006F5D9C" w:rsidRDefault="00C36AA9" w:rsidP="006F5D9C">
      <w:pPr>
        <w:spacing w:line="360" w:lineRule="auto"/>
        <w:rPr>
          <w:rFonts w:ascii="Arial" w:hAnsi="Arial" w:cs="Arial"/>
          <w:sz w:val="22"/>
          <w:szCs w:val="22"/>
        </w:rPr>
      </w:pPr>
      <w:r w:rsidRPr="006F5D9C">
        <w:rPr>
          <w:rFonts w:ascii="Arial" w:hAnsi="Arial" w:cs="Arial"/>
          <w:sz w:val="22"/>
          <w:szCs w:val="22"/>
        </w:rPr>
        <w:t xml:space="preserve">HOPKINS, G., </w:t>
      </w:r>
      <w:proofErr w:type="spellStart"/>
      <w:r w:rsidRPr="006F5D9C">
        <w:rPr>
          <w:rFonts w:ascii="Arial" w:hAnsi="Arial" w:cs="Arial"/>
          <w:sz w:val="22"/>
          <w:szCs w:val="22"/>
        </w:rPr>
        <w:t>SHE</w:t>
      </w:r>
      <w:r w:rsidRPr="006F5D9C">
        <w:rPr>
          <w:rFonts w:ascii="Cambria Math" w:hAnsi="Cambria Math" w:cs="Cambria Math"/>
          <w:sz w:val="22"/>
          <w:szCs w:val="22"/>
        </w:rPr>
        <w:t>ﬃ</w:t>
      </w:r>
      <w:r w:rsidRPr="006F5D9C">
        <w:rPr>
          <w:rFonts w:ascii="Arial" w:hAnsi="Arial" w:cs="Arial"/>
          <w:sz w:val="22"/>
          <w:szCs w:val="22"/>
        </w:rPr>
        <w:t>ELD</w:t>
      </w:r>
      <w:proofErr w:type="spellEnd"/>
      <w:r w:rsidRPr="006F5D9C">
        <w:rPr>
          <w:rFonts w:ascii="Arial" w:hAnsi="Arial" w:cs="Arial"/>
          <w:sz w:val="22"/>
          <w:szCs w:val="22"/>
        </w:rPr>
        <w:t>, D., BARLOW, H., LALLJIE, A., JAMES, V., COCHRANE, S. &amp; FAIRCLOUGH, L. C. 2026. Human Bronchial Air-Liquid Interface Responses to Nebulised Protease Exposure.</w:t>
      </w:r>
    </w:p>
    <w:p w14:paraId="5D7E9082" w14:textId="77777777" w:rsidR="00C36AA9" w:rsidRPr="006F5D9C" w:rsidRDefault="00C36AA9" w:rsidP="006F5D9C">
      <w:pPr>
        <w:spacing w:line="360" w:lineRule="auto"/>
        <w:rPr>
          <w:rFonts w:ascii="Arial" w:hAnsi="Arial" w:cs="Arial"/>
          <w:sz w:val="22"/>
          <w:szCs w:val="22"/>
        </w:rPr>
      </w:pPr>
      <w:r w:rsidRPr="006F5D9C">
        <w:rPr>
          <w:rFonts w:ascii="Arial" w:hAnsi="Arial" w:cs="Arial"/>
          <w:sz w:val="22"/>
          <w:szCs w:val="22"/>
        </w:rPr>
        <w:t>JESENAK, M., BOBCAKOVA, A., GOLEBSKI, K., KROHN, I. K., SEYS, S. F., RENNEROVA, Z., DURDIK, P., TUFVESSON, E., MARKOCSY, A., KOSTURIAK, R. &amp; DIAMANT, Z. 2026. Airway epithelial barrier integrity: an emerging treatable trait in asthma management. Respiratory Medicine, 252, 108579.</w:t>
      </w:r>
    </w:p>
    <w:p w14:paraId="0D6B7436" w14:textId="77777777" w:rsidR="00C36AA9" w:rsidRPr="006F5D9C" w:rsidRDefault="00C36AA9" w:rsidP="006F5D9C">
      <w:pPr>
        <w:spacing w:line="360" w:lineRule="auto"/>
        <w:rPr>
          <w:rFonts w:ascii="Arial" w:hAnsi="Arial" w:cs="Arial"/>
          <w:sz w:val="22"/>
          <w:szCs w:val="22"/>
        </w:rPr>
      </w:pPr>
      <w:r w:rsidRPr="006F5D9C">
        <w:rPr>
          <w:rFonts w:ascii="Arial" w:hAnsi="Arial" w:cs="Arial"/>
          <w:sz w:val="22"/>
          <w:szCs w:val="22"/>
        </w:rPr>
        <w:t xml:space="preserve">KADOTA, T., FUJITA, Y., ARAYA, J., WATANABE, N., FUJIMOTO, S., KAWAMOTO, H., MINAGAWA, S., HARA, H., OHTSUKA, T., YAMAMOTO, Y., KUWANO, K. &amp; OCHIYA, T. </w:t>
      </w:r>
      <w:r w:rsidRPr="006F5D9C">
        <w:rPr>
          <w:rFonts w:ascii="Arial" w:hAnsi="Arial" w:cs="Arial"/>
          <w:sz w:val="22"/>
          <w:szCs w:val="22"/>
        </w:rPr>
        <w:lastRenderedPageBreak/>
        <w:t>2021. Human bronchial epithelial cell-derived extracellular vesicle therapy for pulmonary fibrosis via inhibition of TGF-β-WNT crosstalk. Journal of Extracellular Vesicles, 10, e12124.</w:t>
      </w:r>
    </w:p>
    <w:p w14:paraId="70F346B3" w14:textId="77777777" w:rsidR="00C36AA9" w:rsidRPr="006F5D9C" w:rsidRDefault="00C36AA9" w:rsidP="006F5D9C">
      <w:pPr>
        <w:spacing w:line="360" w:lineRule="auto"/>
        <w:rPr>
          <w:rFonts w:ascii="Arial" w:hAnsi="Arial" w:cs="Arial"/>
          <w:sz w:val="22"/>
          <w:szCs w:val="22"/>
        </w:rPr>
      </w:pPr>
      <w:r w:rsidRPr="006F5D9C">
        <w:rPr>
          <w:rFonts w:ascii="Arial" w:hAnsi="Arial" w:cs="Arial"/>
          <w:sz w:val="22"/>
          <w:szCs w:val="22"/>
        </w:rPr>
        <w:t>KAUR, R. &amp; CHUPP, G. 2019. Phenotypes and endotypes of adult asthma: Moving toward precision medicine. Journal of Allergy and Clinical Immunology, 144, 1-12.</w:t>
      </w:r>
    </w:p>
    <w:p w14:paraId="3EBBFC5E" w14:textId="0A71A0D6" w:rsidR="00A64698" w:rsidRPr="006F5D9C" w:rsidRDefault="00A64698" w:rsidP="006F5D9C">
      <w:pPr>
        <w:spacing w:line="360" w:lineRule="auto"/>
        <w:rPr>
          <w:rFonts w:ascii="Arial" w:hAnsi="Arial" w:cs="Arial"/>
          <w:sz w:val="22"/>
          <w:szCs w:val="22"/>
        </w:rPr>
      </w:pPr>
      <w:r w:rsidRPr="006F5D9C">
        <w:rPr>
          <w:rFonts w:ascii="Arial" w:hAnsi="Arial" w:cs="Arial"/>
          <w:sz w:val="22"/>
          <w:szCs w:val="22"/>
        </w:rPr>
        <w:t>KHAMINA, K., DIENDORFER, A. B., SKALICKY, S., WEIGL, M., PULTAR, M., KRAMMER, T. L., FOURNIER, C. A., SCHOFIELD, A. L., OTTO, C., SMITH, A. T., BUCHTELE, N., SCHOERGENHOFER, C., JILMA, B., FRANK, B. J. H., HOFSTAETTER, J. G., GRILLARI, R., GRILLARI, J., RUPRECHT, K., GOLDRING, C. E., REHRAUER, H., GLAAB, W. E. &amp; HACKL, M. 2022. A MicroRNA Next-Generation-Sequencing Discovery Assay (</w:t>
      </w:r>
      <w:proofErr w:type="spellStart"/>
      <w:r w:rsidRPr="006F5D9C">
        <w:rPr>
          <w:rFonts w:ascii="Arial" w:hAnsi="Arial" w:cs="Arial"/>
          <w:sz w:val="22"/>
          <w:szCs w:val="22"/>
        </w:rPr>
        <w:t>miND</w:t>
      </w:r>
      <w:proofErr w:type="spellEnd"/>
      <w:r w:rsidRPr="006F5D9C">
        <w:rPr>
          <w:rFonts w:ascii="Arial" w:hAnsi="Arial" w:cs="Arial"/>
          <w:sz w:val="22"/>
          <w:szCs w:val="22"/>
        </w:rPr>
        <w:t>) for Genome-Scale Analysis and Absolute Quantitation of Circulating MicroRNA Biomarkers. International Journal of Molecular Sciences, 23, 1226.</w:t>
      </w:r>
    </w:p>
    <w:p w14:paraId="63F7188B" w14:textId="77777777" w:rsidR="00C36AA9" w:rsidRPr="006F5D9C" w:rsidRDefault="00C36AA9" w:rsidP="006F5D9C">
      <w:pPr>
        <w:spacing w:line="360" w:lineRule="auto"/>
        <w:rPr>
          <w:rFonts w:ascii="Arial" w:hAnsi="Arial" w:cs="Arial"/>
          <w:sz w:val="22"/>
          <w:szCs w:val="22"/>
        </w:rPr>
      </w:pPr>
      <w:r w:rsidRPr="006F5D9C">
        <w:rPr>
          <w:rFonts w:ascii="Arial" w:hAnsi="Arial" w:cs="Arial"/>
          <w:sz w:val="22"/>
          <w:szCs w:val="22"/>
        </w:rPr>
        <w:t xml:space="preserve">LAULAJAINEN-HONGISTO, A., TOPPILA-SALMI, S. K., LUUKKAINEN, A. &amp; KERN, R. 2020. Airway Epithelial Dynamics in Allergy and Related Chronic Inflammatory Airway Diseases. Front Cell Dev </w:t>
      </w:r>
      <w:proofErr w:type="spellStart"/>
      <w:r w:rsidRPr="006F5D9C">
        <w:rPr>
          <w:rFonts w:ascii="Arial" w:hAnsi="Arial" w:cs="Arial"/>
          <w:sz w:val="22"/>
          <w:szCs w:val="22"/>
        </w:rPr>
        <w:t>Biol</w:t>
      </w:r>
      <w:proofErr w:type="spellEnd"/>
      <w:r w:rsidRPr="006F5D9C">
        <w:rPr>
          <w:rFonts w:ascii="Arial" w:hAnsi="Arial" w:cs="Arial"/>
          <w:sz w:val="22"/>
          <w:szCs w:val="22"/>
        </w:rPr>
        <w:t>, 8, 204.</w:t>
      </w:r>
    </w:p>
    <w:p w14:paraId="4A5386DA" w14:textId="77777777" w:rsidR="00C36AA9" w:rsidRPr="006F5D9C" w:rsidRDefault="00C36AA9" w:rsidP="006F5D9C">
      <w:pPr>
        <w:spacing w:line="360" w:lineRule="auto"/>
        <w:rPr>
          <w:rFonts w:ascii="Arial" w:hAnsi="Arial" w:cs="Arial"/>
          <w:sz w:val="22"/>
          <w:szCs w:val="22"/>
        </w:rPr>
      </w:pPr>
      <w:proofErr w:type="spellStart"/>
      <w:r w:rsidRPr="006F5D9C">
        <w:rPr>
          <w:rFonts w:ascii="Arial" w:hAnsi="Arial" w:cs="Arial"/>
          <w:sz w:val="22"/>
          <w:szCs w:val="22"/>
        </w:rPr>
        <w:t>LEVäNEN</w:t>
      </w:r>
      <w:proofErr w:type="spellEnd"/>
      <w:r w:rsidRPr="006F5D9C">
        <w:rPr>
          <w:rFonts w:ascii="Arial" w:hAnsi="Arial" w:cs="Arial"/>
          <w:sz w:val="22"/>
          <w:szCs w:val="22"/>
        </w:rPr>
        <w:t>, B., BHAKTA, N. R., TORREGROSA PAREDES, P., BARBEAU, R., HILTBRUNNER, S., POLLACK, J. L., SKöLD, C. M., SVARTENGREN, M., GRUNEWALD, J., GABRIELSSON, S., EKLUND, A., LARSSON, B. M., WOODRUFF, P. G., ERLE, D. J. &amp; WHEELOCK Å, M. 2013. Altered microRNA profiles in bronchoalveolar lavage fluid exosomes in asthmatic patients. J Allergy Clin Immunol, 131, 894-903.</w:t>
      </w:r>
    </w:p>
    <w:p w14:paraId="39FD6748" w14:textId="77777777" w:rsidR="00C36AA9" w:rsidRPr="006F5D9C" w:rsidRDefault="00C36AA9" w:rsidP="006F5D9C">
      <w:pPr>
        <w:spacing w:line="360" w:lineRule="auto"/>
        <w:rPr>
          <w:rFonts w:ascii="Arial" w:hAnsi="Arial" w:cs="Arial"/>
          <w:sz w:val="22"/>
          <w:szCs w:val="22"/>
        </w:rPr>
      </w:pPr>
      <w:r w:rsidRPr="006F5D9C">
        <w:rPr>
          <w:rFonts w:ascii="Arial" w:hAnsi="Arial" w:cs="Arial"/>
          <w:sz w:val="22"/>
          <w:szCs w:val="22"/>
        </w:rPr>
        <w:t>LIU, Y., ZHOU, J. &amp; WHITE, K. P. 2014. RNA-</w:t>
      </w:r>
      <w:proofErr w:type="spellStart"/>
      <w:r w:rsidRPr="006F5D9C">
        <w:rPr>
          <w:rFonts w:ascii="Arial" w:hAnsi="Arial" w:cs="Arial"/>
          <w:sz w:val="22"/>
          <w:szCs w:val="22"/>
        </w:rPr>
        <w:t>seq</w:t>
      </w:r>
      <w:proofErr w:type="spellEnd"/>
      <w:r w:rsidRPr="006F5D9C">
        <w:rPr>
          <w:rFonts w:ascii="Arial" w:hAnsi="Arial" w:cs="Arial"/>
          <w:sz w:val="22"/>
          <w:szCs w:val="22"/>
        </w:rPr>
        <w:t xml:space="preserve"> differential expression studies: more sequence or more replication? Bioinformatics, 30, 301-4.</w:t>
      </w:r>
    </w:p>
    <w:p w14:paraId="146C9461" w14:textId="7CCB93B7" w:rsidR="00C36AA9" w:rsidRPr="006F5D9C" w:rsidRDefault="00C36AA9" w:rsidP="006F5D9C">
      <w:pPr>
        <w:spacing w:line="360" w:lineRule="auto"/>
        <w:rPr>
          <w:rFonts w:ascii="Arial" w:hAnsi="Arial" w:cs="Arial"/>
          <w:sz w:val="22"/>
          <w:szCs w:val="22"/>
        </w:rPr>
      </w:pPr>
      <w:r w:rsidRPr="006F5D9C">
        <w:rPr>
          <w:rFonts w:ascii="Arial" w:hAnsi="Arial" w:cs="Arial"/>
          <w:sz w:val="22"/>
          <w:szCs w:val="22"/>
        </w:rPr>
        <w:t xml:space="preserve">MAO, Z., ZHU, X., ZHENG, P., WANG, L., ZHANG, F., CHEN, L., ZHOU, L., LIU, W. &amp; LIU, H. 2025. Global, regional, and national burden of asthma from 1990 to 2021: A systematic analysis of the global burden of disease study 2021. Chin Med J </w:t>
      </w:r>
      <w:proofErr w:type="spellStart"/>
      <w:r w:rsidRPr="006F5D9C">
        <w:rPr>
          <w:rFonts w:ascii="Arial" w:hAnsi="Arial" w:cs="Arial"/>
          <w:sz w:val="22"/>
          <w:szCs w:val="22"/>
        </w:rPr>
        <w:t>Pulm</w:t>
      </w:r>
      <w:proofErr w:type="spellEnd"/>
      <w:r w:rsidRPr="006F5D9C">
        <w:rPr>
          <w:rFonts w:ascii="Arial" w:hAnsi="Arial" w:cs="Arial"/>
          <w:sz w:val="22"/>
          <w:szCs w:val="22"/>
        </w:rPr>
        <w:t xml:space="preserve"> Crit Care Med, 3, 50-59.</w:t>
      </w:r>
    </w:p>
    <w:p w14:paraId="2484FA0C" w14:textId="77777777" w:rsidR="00C36AA9" w:rsidRPr="006F5D9C" w:rsidRDefault="00C36AA9" w:rsidP="006F5D9C">
      <w:pPr>
        <w:spacing w:line="360" w:lineRule="auto"/>
        <w:rPr>
          <w:rFonts w:ascii="Arial" w:hAnsi="Arial" w:cs="Arial"/>
          <w:sz w:val="22"/>
          <w:szCs w:val="22"/>
        </w:rPr>
      </w:pPr>
      <w:r w:rsidRPr="006F5D9C">
        <w:rPr>
          <w:rFonts w:ascii="Arial" w:hAnsi="Arial" w:cs="Arial"/>
          <w:sz w:val="22"/>
          <w:szCs w:val="22"/>
        </w:rPr>
        <w:t xml:space="preserve">MOHAMMADIPOOR, A., HERSHFIELD, M. R., LINSENBARDT, H. R., SMITH, J., MACK, J., NATESAN, S., AVERITT, D. L., STARK, T. R. &amp; SOSANYA, N. M. 2023. Biological function of Extracellular </w:t>
      </w:r>
      <w:proofErr w:type="spellStart"/>
      <w:r w:rsidRPr="006F5D9C">
        <w:rPr>
          <w:rFonts w:ascii="Arial" w:hAnsi="Arial" w:cs="Arial"/>
          <w:sz w:val="22"/>
          <w:szCs w:val="22"/>
        </w:rPr>
        <w:t>Vesicles</w:t>
      </w:r>
      <w:proofErr w:type="spellEnd"/>
      <w:r w:rsidRPr="006F5D9C">
        <w:rPr>
          <w:rFonts w:ascii="Arial" w:hAnsi="Arial" w:cs="Arial"/>
          <w:sz w:val="22"/>
          <w:szCs w:val="22"/>
        </w:rPr>
        <w:t xml:space="preserve"> (EVs): a review of the field. Molecular Biology Reports, 50, 8639-8651.</w:t>
      </w:r>
    </w:p>
    <w:p w14:paraId="78D76749" w14:textId="77777777" w:rsidR="00C36AA9" w:rsidRPr="006F5D9C" w:rsidRDefault="00C36AA9" w:rsidP="006F5D9C">
      <w:pPr>
        <w:spacing w:line="360" w:lineRule="auto"/>
        <w:rPr>
          <w:rFonts w:ascii="Arial" w:hAnsi="Arial" w:cs="Arial"/>
          <w:sz w:val="22"/>
          <w:szCs w:val="22"/>
        </w:rPr>
      </w:pPr>
      <w:r w:rsidRPr="006F5D9C">
        <w:rPr>
          <w:rFonts w:ascii="Arial" w:hAnsi="Arial" w:cs="Arial"/>
          <w:sz w:val="22"/>
          <w:szCs w:val="22"/>
        </w:rPr>
        <w:t>NAZAROV, P. V. &amp; KREIS, S. 2021. Integrative approaches for analysis of mRNA and microRNA high-throughput data. Computational and Structural Biotechnology Journal, 19, 1154-1162.</w:t>
      </w:r>
    </w:p>
    <w:p w14:paraId="40A8A556" w14:textId="77777777" w:rsidR="00C36AA9" w:rsidRPr="006F5D9C" w:rsidRDefault="00C36AA9" w:rsidP="006F5D9C">
      <w:pPr>
        <w:spacing w:line="360" w:lineRule="auto"/>
        <w:rPr>
          <w:rFonts w:ascii="Arial" w:hAnsi="Arial" w:cs="Arial"/>
          <w:sz w:val="22"/>
          <w:szCs w:val="22"/>
        </w:rPr>
      </w:pPr>
      <w:r w:rsidRPr="006F5D9C">
        <w:rPr>
          <w:rFonts w:ascii="Arial" w:hAnsi="Arial" w:cs="Arial"/>
          <w:sz w:val="22"/>
          <w:szCs w:val="22"/>
        </w:rPr>
        <w:t>SANGAPHUNCHAI, P., TODD, I. &amp; FAIRCLOUGH, L. C. 2020. Extracellular vesicles and asthma: A review of the literature. Clinical &amp; Experimental Allergy, 50, 291-307.</w:t>
      </w:r>
    </w:p>
    <w:p w14:paraId="248A4622" w14:textId="77777777" w:rsidR="00C36AA9" w:rsidRPr="006F5D9C" w:rsidRDefault="00C36AA9" w:rsidP="006F5D9C">
      <w:pPr>
        <w:spacing w:line="360" w:lineRule="auto"/>
        <w:rPr>
          <w:rFonts w:ascii="Arial" w:hAnsi="Arial" w:cs="Arial"/>
          <w:sz w:val="22"/>
          <w:szCs w:val="22"/>
        </w:rPr>
      </w:pPr>
      <w:r w:rsidRPr="006F5D9C">
        <w:rPr>
          <w:rFonts w:ascii="Arial" w:hAnsi="Arial" w:cs="Arial"/>
          <w:sz w:val="22"/>
          <w:szCs w:val="22"/>
        </w:rPr>
        <w:lastRenderedPageBreak/>
        <w:t>SOLBERG, O. D., OSTRIN, E. J., LOVE, M. I., PENG, J. C., BHAKTA, N. R., HOU, L., NGUYEN, C., SOLON, M., NGUYEN, C., BARCZAK, A. J., ZLOCK, L. T., BLAGEV, D. P., FINKBEINER, W. E., ANSEL, K. M., ARRON, J. R., ERLE, D. J. &amp; WOODRUFF, P. G. 2012. Airway epithelial miRNA expression is altered in asthma. Am J Respir Crit Care Med, 186, 965-74.</w:t>
      </w:r>
    </w:p>
    <w:p w14:paraId="3233CC2C" w14:textId="77777777" w:rsidR="00C36AA9" w:rsidRPr="006F5D9C" w:rsidRDefault="00C36AA9" w:rsidP="006F5D9C">
      <w:pPr>
        <w:spacing w:line="360" w:lineRule="auto"/>
        <w:rPr>
          <w:rFonts w:ascii="Arial" w:hAnsi="Arial" w:cs="Arial"/>
          <w:sz w:val="22"/>
          <w:szCs w:val="22"/>
        </w:rPr>
      </w:pPr>
    </w:p>
    <w:p w14:paraId="77BE3B51" w14:textId="76119379" w:rsidR="00E87C38" w:rsidRPr="006C1F13" w:rsidRDefault="00E87C38" w:rsidP="006F5D9C">
      <w:pPr>
        <w:spacing w:line="360" w:lineRule="auto"/>
        <w:rPr>
          <w:rFonts w:ascii="Arial" w:hAnsi="Arial" w:cs="Arial"/>
        </w:rPr>
      </w:pPr>
      <w:r w:rsidRPr="006C1F13">
        <w:rPr>
          <w:rFonts w:ascii="Arial" w:hAnsi="Arial" w:cs="Arial"/>
          <w:b/>
          <w:bCs/>
        </w:rPr>
        <w:t>Supplementary Material</w:t>
      </w:r>
    </w:p>
    <w:p w14:paraId="3F58E269" w14:textId="3EEB34E5" w:rsidR="00E87C38" w:rsidRPr="006F5D9C" w:rsidRDefault="00483BAA" w:rsidP="006F5D9C">
      <w:pPr>
        <w:spacing w:line="360" w:lineRule="auto"/>
        <w:rPr>
          <w:rFonts w:ascii="Arial" w:hAnsi="Arial" w:cs="Arial"/>
          <w:sz w:val="22"/>
          <w:szCs w:val="22"/>
        </w:rPr>
      </w:pPr>
      <w:r w:rsidRPr="006F5D9C">
        <w:rPr>
          <w:rFonts w:ascii="Arial" w:hAnsi="Arial" w:cs="Arial"/>
          <w:sz w:val="22"/>
          <w:szCs w:val="22"/>
        </w:rPr>
        <w:t>Supplementary material can be found appended to this document or, in the case of large tables and reports, on GitHub, accessible at: https://github.com/CJ770411/L4137_HBEC_EV_Transcriptomics.</w:t>
      </w:r>
    </w:p>
    <w:p w14:paraId="472012B6" w14:textId="77777777" w:rsidR="00330715" w:rsidRDefault="00330715" w:rsidP="00AB46F2"/>
    <w:p w14:paraId="617226B1" w14:textId="77777777" w:rsidR="00330715" w:rsidRDefault="00330715" w:rsidP="00AB46F2"/>
    <w:p w14:paraId="7461E055" w14:textId="77777777" w:rsidR="00330715" w:rsidRDefault="00330715" w:rsidP="00AB46F2"/>
    <w:p w14:paraId="06D355D9" w14:textId="77777777" w:rsidR="00330715" w:rsidRDefault="00330715" w:rsidP="00AB46F2"/>
    <w:p w14:paraId="093A1311" w14:textId="77777777" w:rsidR="00330715" w:rsidRDefault="00330715" w:rsidP="00AB46F2">
      <w:pPr>
        <w:sectPr w:rsidR="00330715" w:rsidSect="001C4D12">
          <w:footerReference w:type="even" r:id="rId19"/>
          <w:footerReference w:type="default" r:id="rId20"/>
          <w:pgSz w:w="11906" w:h="16838"/>
          <w:pgMar w:top="1134" w:right="1134" w:bottom="1134" w:left="1701" w:header="709" w:footer="709" w:gutter="0"/>
          <w:cols w:space="708"/>
          <w:docGrid w:linePitch="360"/>
        </w:sectPr>
      </w:pPr>
    </w:p>
    <w:p w14:paraId="37C3AC5C" w14:textId="11FFF691" w:rsidR="00330715" w:rsidRPr="00330715" w:rsidRDefault="00330715" w:rsidP="00AB46F2">
      <w:pPr>
        <w:rPr>
          <w:b/>
          <w:bCs/>
        </w:rPr>
      </w:pPr>
      <w:r w:rsidRPr="00330715">
        <w:rPr>
          <w:b/>
          <w:bCs/>
        </w:rPr>
        <w:lastRenderedPageBreak/>
        <w:t>Supplementary Table 1</w:t>
      </w:r>
    </w:p>
    <w:tbl>
      <w:tblPr>
        <w:tblStyle w:val="TableGrid"/>
        <w:tblW w:w="14025" w:type="dxa"/>
        <w:tblLook w:val="04A0" w:firstRow="1" w:lastRow="0" w:firstColumn="1" w:lastColumn="0" w:noHBand="0" w:noVBand="1"/>
      </w:tblPr>
      <w:tblGrid>
        <w:gridCol w:w="1148"/>
        <w:gridCol w:w="3032"/>
        <w:gridCol w:w="3895"/>
        <w:gridCol w:w="4791"/>
        <w:gridCol w:w="1159"/>
      </w:tblGrid>
      <w:tr w:rsidR="00330715" w:rsidRPr="00330715" w14:paraId="150EA824" w14:textId="77777777" w:rsidTr="00330715">
        <w:trPr>
          <w:trHeight w:val="699"/>
        </w:trPr>
        <w:tc>
          <w:tcPr>
            <w:tcW w:w="1148" w:type="dxa"/>
            <w:shd w:val="clear" w:color="auto" w:fill="D9D9D9" w:themeFill="background1" w:themeFillShade="D9"/>
            <w:vAlign w:val="center"/>
          </w:tcPr>
          <w:p w14:paraId="33372286" w14:textId="77777777" w:rsidR="00330715" w:rsidRPr="00330715" w:rsidRDefault="00330715" w:rsidP="0091601B">
            <w:pPr>
              <w:jc w:val="center"/>
              <w:rPr>
                <w:b/>
                <w:bCs/>
                <w:sz w:val="15"/>
                <w:szCs w:val="15"/>
              </w:rPr>
            </w:pPr>
            <w:r w:rsidRPr="00330715">
              <w:rPr>
                <w:b/>
                <w:bCs/>
                <w:sz w:val="15"/>
                <w:szCs w:val="15"/>
              </w:rPr>
              <w:t>Method</w:t>
            </w:r>
          </w:p>
        </w:tc>
        <w:tc>
          <w:tcPr>
            <w:tcW w:w="3032" w:type="dxa"/>
            <w:shd w:val="clear" w:color="auto" w:fill="D9D9D9" w:themeFill="background1" w:themeFillShade="D9"/>
            <w:vAlign w:val="center"/>
          </w:tcPr>
          <w:p w14:paraId="65343A0E" w14:textId="77777777" w:rsidR="00330715" w:rsidRPr="00330715" w:rsidRDefault="00330715" w:rsidP="0091601B">
            <w:pPr>
              <w:jc w:val="center"/>
              <w:rPr>
                <w:b/>
                <w:bCs/>
                <w:sz w:val="15"/>
                <w:szCs w:val="15"/>
              </w:rPr>
            </w:pPr>
            <w:r w:rsidRPr="00330715">
              <w:rPr>
                <w:b/>
                <w:bCs/>
                <w:sz w:val="15"/>
                <w:szCs w:val="15"/>
              </w:rPr>
              <w:t>Description</w:t>
            </w:r>
          </w:p>
        </w:tc>
        <w:tc>
          <w:tcPr>
            <w:tcW w:w="3895" w:type="dxa"/>
            <w:shd w:val="clear" w:color="auto" w:fill="D9D9D9" w:themeFill="background1" w:themeFillShade="D9"/>
            <w:vAlign w:val="center"/>
          </w:tcPr>
          <w:p w14:paraId="1FA420F3" w14:textId="77777777" w:rsidR="00330715" w:rsidRPr="00330715" w:rsidRDefault="00330715" w:rsidP="0091601B">
            <w:pPr>
              <w:jc w:val="center"/>
              <w:rPr>
                <w:b/>
                <w:bCs/>
                <w:sz w:val="15"/>
                <w:szCs w:val="15"/>
              </w:rPr>
            </w:pPr>
            <w:r w:rsidRPr="00330715">
              <w:rPr>
                <w:b/>
                <w:bCs/>
                <w:sz w:val="15"/>
                <w:szCs w:val="15"/>
              </w:rPr>
              <w:t>Advantage</w:t>
            </w:r>
          </w:p>
        </w:tc>
        <w:tc>
          <w:tcPr>
            <w:tcW w:w="4791" w:type="dxa"/>
            <w:shd w:val="clear" w:color="auto" w:fill="D9D9D9" w:themeFill="background1" w:themeFillShade="D9"/>
            <w:vAlign w:val="center"/>
          </w:tcPr>
          <w:p w14:paraId="7690D966" w14:textId="77777777" w:rsidR="00330715" w:rsidRPr="00330715" w:rsidRDefault="00330715" w:rsidP="0091601B">
            <w:pPr>
              <w:jc w:val="center"/>
              <w:rPr>
                <w:b/>
                <w:bCs/>
                <w:sz w:val="15"/>
                <w:szCs w:val="15"/>
              </w:rPr>
            </w:pPr>
            <w:r w:rsidRPr="00330715">
              <w:rPr>
                <w:b/>
                <w:bCs/>
                <w:sz w:val="15"/>
                <w:szCs w:val="15"/>
              </w:rPr>
              <w:t>Disadvantage</w:t>
            </w:r>
          </w:p>
        </w:tc>
        <w:tc>
          <w:tcPr>
            <w:tcW w:w="1159" w:type="dxa"/>
            <w:shd w:val="clear" w:color="auto" w:fill="D9D9D9" w:themeFill="background1" w:themeFillShade="D9"/>
            <w:vAlign w:val="center"/>
          </w:tcPr>
          <w:p w14:paraId="2DF11711" w14:textId="77777777" w:rsidR="00330715" w:rsidRPr="00330715" w:rsidRDefault="00330715" w:rsidP="0091601B">
            <w:pPr>
              <w:jc w:val="center"/>
              <w:rPr>
                <w:b/>
                <w:bCs/>
                <w:sz w:val="15"/>
                <w:szCs w:val="15"/>
              </w:rPr>
            </w:pPr>
            <w:r w:rsidRPr="00330715">
              <w:rPr>
                <w:b/>
                <w:bCs/>
                <w:sz w:val="15"/>
                <w:szCs w:val="15"/>
              </w:rPr>
              <w:t>Reference(s)</w:t>
            </w:r>
          </w:p>
        </w:tc>
      </w:tr>
      <w:tr w:rsidR="00330715" w:rsidRPr="00330715" w14:paraId="5B94ACE4" w14:textId="77777777" w:rsidTr="00330715">
        <w:trPr>
          <w:trHeight w:val="1427"/>
        </w:trPr>
        <w:tc>
          <w:tcPr>
            <w:tcW w:w="1148" w:type="dxa"/>
          </w:tcPr>
          <w:p w14:paraId="6E55330F" w14:textId="77777777" w:rsidR="00330715" w:rsidRPr="00330715" w:rsidRDefault="00330715" w:rsidP="0091601B">
            <w:pPr>
              <w:rPr>
                <w:sz w:val="15"/>
                <w:szCs w:val="15"/>
              </w:rPr>
            </w:pPr>
            <w:r w:rsidRPr="00330715">
              <w:rPr>
                <w:sz w:val="15"/>
                <w:szCs w:val="15"/>
              </w:rPr>
              <w:t>Experimental validation</w:t>
            </w:r>
          </w:p>
        </w:tc>
        <w:tc>
          <w:tcPr>
            <w:tcW w:w="3032" w:type="dxa"/>
          </w:tcPr>
          <w:p w14:paraId="5594B950" w14:textId="77777777" w:rsidR="00330715" w:rsidRPr="00330715" w:rsidRDefault="00330715" w:rsidP="0091601B">
            <w:pPr>
              <w:rPr>
                <w:sz w:val="15"/>
                <w:szCs w:val="15"/>
              </w:rPr>
            </w:pPr>
            <w:r w:rsidRPr="00330715">
              <w:rPr>
                <w:sz w:val="15"/>
                <w:szCs w:val="15"/>
              </w:rPr>
              <w:t>Filter target genes according to the type and strength of experimental evidence supporting each miRNA-target interaction.</w:t>
            </w:r>
          </w:p>
          <w:p w14:paraId="45961D6F" w14:textId="77777777" w:rsidR="00330715" w:rsidRPr="00330715" w:rsidRDefault="00330715" w:rsidP="0091601B">
            <w:pPr>
              <w:rPr>
                <w:sz w:val="15"/>
                <w:szCs w:val="15"/>
              </w:rPr>
            </w:pPr>
          </w:p>
        </w:tc>
        <w:tc>
          <w:tcPr>
            <w:tcW w:w="3895" w:type="dxa"/>
          </w:tcPr>
          <w:p w14:paraId="2AF41054" w14:textId="77777777" w:rsidR="00330715" w:rsidRDefault="00330715" w:rsidP="0091601B">
            <w:pPr>
              <w:rPr>
                <w:sz w:val="15"/>
                <w:szCs w:val="15"/>
              </w:rPr>
            </w:pPr>
            <w:r w:rsidRPr="00330715">
              <w:rPr>
                <w:sz w:val="15"/>
                <w:szCs w:val="15"/>
              </w:rPr>
              <w:t>Can retain only target genes supported by stronger experimental evidence e.g., reporter assay, western blot and qPCR.</w:t>
            </w:r>
          </w:p>
          <w:p w14:paraId="291D9E69" w14:textId="77777777" w:rsidR="00330715" w:rsidRPr="00330715" w:rsidRDefault="00330715" w:rsidP="0091601B">
            <w:pPr>
              <w:rPr>
                <w:sz w:val="15"/>
                <w:szCs w:val="15"/>
              </w:rPr>
            </w:pPr>
          </w:p>
          <w:p w14:paraId="70233AA8" w14:textId="77777777" w:rsidR="00330715" w:rsidRPr="00330715" w:rsidRDefault="00330715" w:rsidP="0091601B">
            <w:pPr>
              <w:rPr>
                <w:sz w:val="15"/>
                <w:szCs w:val="15"/>
              </w:rPr>
            </w:pPr>
            <w:r w:rsidRPr="00330715">
              <w:rPr>
                <w:sz w:val="15"/>
                <w:szCs w:val="15"/>
              </w:rPr>
              <w:t xml:space="preserve">Can exclude target genes supported by weaker experimental evidence e.g., microarray, NGS, </w:t>
            </w:r>
            <w:proofErr w:type="spellStart"/>
            <w:r w:rsidRPr="00330715">
              <w:rPr>
                <w:sz w:val="15"/>
                <w:szCs w:val="15"/>
              </w:rPr>
              <w:t>pSILAC</w:t>
            </w:r>
            <w:proofErr w:type="spellEnd"/>
            <w:r w:rsidRPr="00330715">
              <w:rPr>
                <w:sz w:val="15"/>
                <w:szCs w:val="15"/>
              </w:rPr>
              <w:t>, CLIP-</w:t>
            </w:r>
            <w:proofErr w:type="spellStart"/>
            <w:r w:rsidRPr="00330715">
              <w:rPr>
                <w:sz w:val="15"/>
                <w:szCs w:val="15"/>
              </w:rPr>
              <w:t>Seq</w:t>
            </w:r>
            <w:proofErr w:type="spellEnd"/>
            <w:r w:rsidRPr="00330715">
              <w:rPr>
                <w:sz w:val="15"/>
                <w:szCs w:val="15"/>
              </w:rPr>
              <w:t>, CLASH</w:t>
            </w:r>
          </w:p>
          <w:p w14:paraId="128E3E90" w14:textId="77777777" w:rsidR="00330715" w:rsidRPr="00330715" w:rsidRDefault="00330715" w:rsidP="0091601B">
            <w:pPr>
              <w:rPr>
                <w:sz w:val="15"/>
                <w:szCs w:val="15"/>
              </w:rPr>
            </w:pPr>
          </w:p>
        </w:tc>
        <w:tc>
          <w:tcPr>
            <w:tcW w:w="4791" w:type="dxa"/>
          </w:tcPr>
          <w:p w14:paraId="7602D3A1" w14:textId="77777777" w:rsidR="00330715" w:rsidRPr="00330715" w:rsidRDefault="00330715" w:rsidP="0091601B">
            <w:pPr>
              <w:rPr>
                <w:sz w:val="15"/>
                <w:szCs w:val="15"/>
              </w:rPr>
            </w:pPr>
            <w:r w:rsidRPr="00330715">
              <w:rPr>
                <w:sz w:val="15"/>
                <w:szCs w:val="15"/>
              </w:rPr>
              <w:t>Different experimental methods capture different aspects of miRNA regulation therefore filtering may bias towards well-studied genes or pathways.</w:t>
            </w:r>
          </w:p>
          <w:p w14:paraId="657DC5F7" w14:textId="77777777" w:rsidR="00330715" w:rsidRPr="00330715" w:rsidRDefault="00330715" w:rsidP="0091601B">
            <w:pPr>
              <w:rPr>
                <w:sz w:val="15"/>
                <w:szCs w:val="15"/>
              </w:rPr>
            </w:pPr>
          </w:p>
          <w:p w14:paraId="252085F3" w14:textId="77777777" w:rsidR="00330715" w:rsidRPr="00330715" w:rsidRDefault="00330715" w:rsidP="0091601B">
            <w:pPr>
              <w:rPr>
                <w:sz w:val="15"/>
                <w:szCs w:val="15"/>
              </w:rPr>
            </w:pPr>
            <w:r w:rsidRPr="00330715">
              <w:rPr>
                <w:sz w:val="15"/>
                <w:szCs w:val="15"/>
              </w:rPr>
              <w:t xml:space="preserve">High-confidence support is not always available for true miRNA-target interactions. </w:t>
            </w:r>
          </w:p>
          <w:p w14:paraId="6BBF805C" w14:textId="77777777" w:rsidR="00330715" w:rsidRPr="00330715" w:rsidRDefault="00330715" w:rsidP="0091601B">
            <w:pPr>
              <w:rPr>
                <w:sz w:val="15"/>
                <w:szCs w:val="15"/>
              </w:rPr>
            </w:pPr>
            <w:r w:rsidRPr="00330715">
              <w:rPr>
                <w:sz w:val="15"/>
                <w:szCs w:val="15"/>
              </w:rPr>
              <w:t xml:space="preserve">This can produce miRNA-target lists that are too small to support robust pathway enrichment analysis. </w:t>
            </w:r>
          </w:p>
          <w:p w14:paraId="2CAC3565" w14:textId="77777777" w:rsidR="00330715" w:rsidRPr="00330715" w:rsidRDefault="00330715" w:rsidP="0091601B">
            <w:pPr>
              <w:rPr>
                <w:sz w:val="15"/>
                <w:szCs w:val="15"/>
              </w:rPr>
            </w:pPr>
          </w:p>
        </w:tc>
        <w:tc>
          <w:tcPr>
            <w:tcW w:w="1159" w:type="dxa"/>
          </w:tcPr>
          <w:p w14:paraId="658933CA" w14:textId="77777777" w:rsidR="00330715" w:rsidRPr="00330715" w:rsidRDefault="00330715" w:rsidP="0091601B">
            <w:pPr>
              <w:rPr>
                <w:sz w:val="15"/>
                <w:szCs w:val="15"/>
              </w:rPr>
            </w:pPr>
            <w:r w:rsidRPr="00330715">
              <w:rPr>
                <w:sz w:val="15"/>
                <w:szCs w:val="15"/>
              </w:rPr>
              <w:t>Huang et al., 2025; Cui et al., 2024</w:t>
            </w:r>
          </w:p>
        </w:tc>
      </w:tr>
      <w:tr w:rsidR="00330715" w:rsidRPr="00330715" w14:paraId="18767B72" w14:textId="77777777" w:rsidTr="00330715">
        <w:trPr>
          <w:trHeight w:val="1427"/>
        </w:trPr>
        <w:tc>
          <w:tcPr>
            <w:tcW w:w="1148" w:type="dxa"/>
          </w:tcPr>
          <w:p w14:paraId="71B97EDE" w14:textId="77777777" w:rsidR="00330715" w:rsidRPr="00330715" w:rsidRDefault="00330715" w:rsidP="0091601B">
            <w:pPr>
              <w:rPr>
                <w:sz w:val="15"/>
                <w:szCs w:val="15"/>
              </w:rPr>
            </w:pPr>
            <w:r w:rsidRPr="00330715">
              <w:rPr>
                <w:sz w:val="15"/>
                <w:szCs w:val="15"/>
              </w:rPr>
              <w:t>miRNA multi-targeting</w:t>
            </w:r>
          </w:p>
        </w:tc>
        <w:tc>
          <w:tcPr>
            <w:tcW w:w="3032" w:type="dxa"/>
          </w:tcPr>
          <w:p w14:paraId="7444F4E5" w14:textId="77777777" w:rsidR="00330715" w:rsidRPr="00330715" w:rsidRDefault="00330715" w:rsidP="0091601B">
            <w:pPr>
              <w:rPr>
                <w:sz w:val="15"/>
                <w:szCs w:val="15"/>
              </w:rPr>
            </w:pPr>
            <w:r w:rsidRPr="00330715">
              <w:rPr>
                <w:sz w:val="15"/>
                <w:szCs w:val="15"/>
              </w:rPr>
              <w:t>Filter target genes according to the number of differentially expressed miRNAs known to target each gene, retaining genes co-targeted by multiple miRNAs.</w:t>
            </w:r>
          </w:p>
          <w:p w14:paraId="1473E4C3" w14:textId="77777777" w:rsidR="00330715" w:rsidRPr="00330715" w:rsidRDefault="00330715" w:rsidP="0091601B">
            <w:pPr>
              <w:rPr>
                <w:sz w:val="15"/>
                <w:szCs w:val="15"/>
              </w:rPr>
            </w:pPr>
            <w:r w:rsidRPr="00330715">
              <w:rPr>
                <w:sz w:val="15"/>
                <w:szCs w:val="15"/>
              </w:rPr>
              <w:t>co-targeting a given target.</w:t>
            </w:r>
          </w:p>
          <w:p w14:paraId="3D1BD226" w14:textId="77777777" w:rsidR="00330715" w:rsidRPr="00330715" w:rsidRDefault="00330715" w:rsidP="0091601B">
            <w:pPr>
              <w:rPr>
                <w:sz w:val="15"/>
                <w:szCs w:val="15"/>
              </w:rPr>
            </w:pPr>
          </w:p>
        </w:tc>
        <w:tc>
          <w:tcPr>
            <w:tcW w:w="3895" w:type="dxa"/>
          </w:tcPr>
          <w:p w14:paraId="6F59D651" w14:textId="77777777" w:rsidR="00330715" w:rsidRDefault="00330715" w:rsidP="0091601B">
            <w:pPr>
              <w:rPr>
                <w:sz w:val="15"/>
                <w:szCs w:val="15"/>
              </w:rPr>
            </w:pPr>
            <w:r w:rsidRPr="00330715">
              <w:rPr>
                <w:sz w:val="15"/>
                <w:szCs w:val="15"/>
              </w:rPr>
              <w:t>Prioritises genes that may be under stronger regulation by multiple miRNAs.</w:t>
            </w:r>
          </w:p>
          <w:p w14:paraId="358F1E49" w14:textId="77777777" w:rsidR="00330715" w:rsidRPr="00330715" w:rsidRDefault="00330715" w:rsidP="0091601B">
            <w:pPr>
              <w:rPr>
                <w:sz w:val="15"/>
                <w:szCs w:val="15"/>
              </w:rPr>
            </w:pPr>
          </w:p>
          <w:p w14:paraId="647FCB73" w14:textId="77777777" w:rsidR="00330715" w:rsidRPr="00330715" w:rsidRDefault="00330715" w:rsidP="0091601B">
            <w:pPr>
              <w:rPr>
                <w:sz w:val="15"/>
                <w:szCs w:val="15"/>
              </w:rPr>
            </w:pPr>
            <w:r w:rsidRPr="00330715">
              <w:rPr>
                <w:sz w:val="15"/>
                <w:szCs w:val="15"/>
              </w:rPr>
              <w:t>Can improve the biological relevance of pathway enrichment by focusing on potentially highly connected regulatory genes.</w:t>
            </w:r>
          </w:p>
          <w:p w14:paraId="15ACD585" w14:textId="77777777" w:rsidR="00330715" w:rsidRPr="00330715" w:rsidRDefault="00330715" w:rsidP="0091601B">
            <w:pPr>
              <w:rPr>
                <w:sz w:val="15"/>
                <w:szCs w:val="15"/>
              </w:rPr>
            </w:pPr>
          </w:p>
        </w:tc>
        <w:tc>
          <w:tcPr>
            <w:tcW w:w="4791" w:type="dxa"/>
          </w:tcPr>
          <w:p w14:paraId="22880185" w14:textId="77777777" w:rsidR="00330715" w:rsidRPr="00330715" w:rsidRDefault="00330715" w:rsidP="0091601B">
            <w:pPr>
              <w:rPr>
                <w:sz w:val="15"/>
                <w:szCs w:val="15"/>
              </w:rPr>
            </w:pPr>
            <w:r w:rsidRPr="00330715">
              <w:rPr>
                <w:sz w:val="15"/>
                <w:szCs w:val="15"/>
              </w:rPr>
              <w:t>Risks excluding real target genes that are only supported by one or a small number of miRNAs.</w:t>
            </w:r>
          </w:p>
          <w:p w14:paraId="56AF199E" w14:textId="77777777" w:rsidR="00330715" w:rsidRPr="00330715" w:rsidRDefault="00330715" w:rsidP="0091601B">
            <w:pPr>
              <w:rPr>
                <w:sz w:val="15"/>
                <w:szCs w:val="15"/>
              </w:rPr>
            </w:pPr>
            <w:r w:rsidRPr="00330715">
              <w:rPr>
                <w:sz w:val="15"/>
                <w:szCs w:val="15"/>
              </w:rPr>
              <w:t>The minimum threshold for gene co-targeting is arbitrary.</w:t>
            </w:r>
          </w:p>
          <w:p w14:paraId="1676951F" w14:textId="77777777" w:rsidR="00330715" w:rsidRPr="00330715" w:rsidRDefault="00330715" w:rsidP="0091601B">
            <w:pPr>
              <w:rPr>
                <w:sz w:val="15"/>
                <w:szCs w:val="15"/>
              </w:rPr>
            </w:pPr>
          </w:p>
          <w:p w14:paraId="5E438E1E" w14:textId="77777777" w:rsidR="00330715" w:rsidRPr="00330715" w:rsidRDefault="00330715" w:rsidP="0091601B">
            <w:pPr>
              <w:rPr>
                <w:sz w:val="15"/>
                <w:szCs w:val="15"/>
              </w:rPr>
            </w:pPr>
            <w:r w:rsidRPr="00330715">
              <w:rPr>
                <w:sz w:val="15"/>
                <w:szCs w:val="15"/>
              </w:rPr>
              <w:t>Can bias towards better characterised genes which could influence pathway enrichment analysis.</w:t>
            </w:r>
          </w:p>
          <w:p w14:paraId="60AFF627" w14:textId="77777777" w:rsidR="00330715" w:rsidRPr="00330715" w:rsidRDefault="00330715" w:rsidP="0091601B">
            <w:pPr>
              <w:rPr>
                <w:sz w:val="15"/>
                <w:szCs w:val="15"/>
              </w:rPr>
            </w:pPr>
          </w:p>
        </w:tc>
        <w:tc>
          <w:tcPr>
            <w:tcW w:w="1159" w:type="dxa"/>
          </w:tcPr>
          <w:p w14:paraId="59832D87" w14:textId="77777777" w:rsidR="00330715" w:rsidRPr="00330715" w:rsidRDefault="00330715" w:rsidP="0091601B">
            <w:pPr>
              <w:rPr>
                <w:sz w:val="15"/>
                <w:szCs w:val="15"/>
              </w:rPr>
            </w:pPr>
            <w:r w:rsidRPr="00330715">
              <w:rPr>
                <w:sz w:val="15"/>
                <w:szCs w:val="15"/>
              </w:rPr>
              <w:t>Zhang et al., 2019; Hu et al., 2012</w:t>
            </w:r>
          </w:p>
        </w:tc>
      </w:tr>
      <w:tr w:rsidR="00330715" w:rsidRPr="00330715" w14:paraId="1A51B2AF" w14:textId="77777777" w:rsidTr="00330715">
        <w:trPr>
          <w:trHeight w:val="1427"/>
        </w:trPr>
        <w:tc>
          <w:tcPr>
            <w:tcW w:w="1148" w:type="dxa"/>
          </w:tcPr>
          <w:p w14:paraId="146A915E" w14:textId="77777777" w:rsidR="00330715" w:rsidRPr="00330715" w:rsidRDefault="00330715" w:rsidP="0091601B">
            <w:pPr>
              <w:rPr>
                <w:sz w:val="15"/>
                <w:szCs w:val="15"/>
              </w:rPr>
            </w:pPr>
            <w:r w:rsidRPr="00330715">
              <w:rPr>
                <w:sz w:val="15"/>
                <w:szCs w:val="15"/>
              </w:rPr>
              <w:t>Multiple databases</w:t>
            </w:r>
          </w:p>
        </w:tc>
        <w:tc>
          <w:tcPr>
            <w:tcW w:w="3032" w:type="dxa"/>
          </w:tcPr>
          <w:p w14:paraId="57578B87" w14:textId="77777777" w:rsidR="00330715" w:rsidRPr="00330715" w:rsidRDefault="00330715" w:rsidP="0091601B">
            <w:pPr>
              <w:rPr>
                <w:sz w:val="15"/>
                <w:szCs w:val="15"/>
              </w:rPr>
            </w:pPr>
            <w:r w:rsidRPr="00330715">
              <w:rPr>
                <w:sz w:val="15"/>
                <w:szCs w:val="15"/>
              </w:rPr>
              <w:t>Filter target genes according to the number of databases that report the miRNA-target interaction, retaining only interactions supported by multiple databases.</w:t>
            </w:r>
          </w:p>
          <w:p w14:paraId="5490A5B7" w14:textId="77777777" w:rsidR="00330715" w:rsidRPr="00330715" w:rsidRDefault="00330715" w:rsidP="0091601B">
            <w:pPr>
              <w:rPr>
                <w:sz w:val="15"/>
                <w:szCs w:val="15"/>
              </w:rPr>
            </w:pPr>
          </w:p>
        </w:tc>
        <w:tc>
          <w:tcPr>
            <w:tcW w:w="3895" w:type="dxa"/>
          </w:tcPr>
          <w:p w14:paraId="4C3237FE" w14:textId="77777777" w:rsidR="00330715" w:rsidRPr="00330715" w:rsidRDefault="00330715" w:rsidP="0091601B">
            <w:pPr>
              <w:rPr>
                <w:sz w:val="15"/>
                <w:szCs w:val="15"/>
              </w:rPr>
            </w:pPr>
            <w:r w:rsidRPr="00330715">
              <w:rPr>
                <w:sz w:val="15"/>
                <w:szCs w:val="15"/>
              </w:rPr>
              <w:t>The intersection of 2 or more databases may reduce the likelihood of identifying false-positive target genes.</w:t>
            </w:r>
          </w:p>
          <w:p w14:paraId="3D9AF54C" w14:textId="77777777" w:rsidR="00330715" w:rsidRPr="00330715" w:rsidRDefault="00330715" w:rsidP="0091601B">
            <w:pPr>
              <w:rPr>
                <w:sz w:val="15"/>
                <w:szCs w:val="15"/>
              </w:rPr>
            </w:pPr>
          </w:p>
        </w:tc>
        <w:tc>
          <w:tcPr>
            <w:tcW w:w="4791" w:type="dxa"/>
          </w:tcPr>
          <w:p w14:paraId="7CC13F45" w14:textId="77777777" w:rsidR="00330715" w:rsidRPr="00330715" w:rsidRDefault="00330715" w:rsidP="0091601B">
            <w:pPr>
              <w:rPr>
                <w:sz w:val="15"/>
                <w:szCs w:val="15"/>
              </w:rPr>
            </w:pPr>
            <w:r w:rsidRPr="00330715">
              <w:rPr>
                <w:sz w:val="15"/>
                <w:szCs w:val="15"/>
              </w:rPr>
              <w:t>Due to differences in database sizes, curation methods and update frequency, real target genes present in only one, or a small number of databases may be excluded.</w:t>
            </w:r>
          </w:p>
          <w:p w14:paraId="1CA53207" w14:textId="77777777" w:rsidR="00330715" w:rsidRPr="00330715" w:rsidRDefault="00330715" w:rsidP="0091601B">
            <w:pPr>
              <w:rPr>
                <w:sz w:val="15"/>
                <w:szCs w:val="15"/>
              </w:rPr>
            </w:pPr>
          </w:p>
          <w:p w14:paraId="087D090B" w14:textId="77777777" w:rsidR="00330715" w:rsidRPr="00330715" w:rsidRDefault="00330715" w:rsidP="0091601B">
            <w:pPr>
              <w:rPr>
                <w:sz w:val="15"/>
                <w:szCs w:val="15"/>
              </w:rPr>
            </w:pPr>
            <w:r w:rsidRPr="00330715">
              <w:rPr>
                <w:sz w:val="15"/>
                <w:szCs w:val="15"/>
              </w:rPr>
              <w:t xml:space="preserve">The minimum threshold of databases required to support a miRNA-target interaction is arbitrary. </w:t>
            </w:r>
          </w:p>
          <w:p w14:paraId="3FD09DF3" w14:textId="77777777" w:rsidR="00330715" w:rsidRPr="00330715" w:rsidRDefault="00330715" w:rsidP="0091601B">
            <w:pPr>
              <w:rPr>
                <w:sz w:val="15"/>
                <w:szCs w:val="15"/>
              </w:rPr>
            </w:pPr>
          </w:p>
          <w:p w14:paraId="41483A89" w14:textId="77777777" w:rsidR="00330715" w:rsidRPr="00330715" w:rsidRDefault="00330715" w:rsidP="0091601B">
            <w:pPr>
              <w:rPr>
                <w:sz w:val="15"/>
                <w:szCs w:val="15"/>
              </w:rPr>
            </w:pPr>
            <w:r w:rsidRPr="00330715">
              <w:rPr>
                <w:sz w:val="15"/>
                <w:szCs w:val="15"/>
              </w:rPr>
              <w:t xml:space="preserve">Many databases are curated using the same data sources therefore consensus may not reflect independent support. </w:t>
            </w:r>
          </w:p>
          <w:p w14:paraId="0AFA69A6" w14:textId="77777777" w:rsidR="00330715" w:rsidRPr="00330715" w:rsidRDefault="00330715" w:rsidP="0091601B">
            <w:pPr>
              <w:rPr>
                <w:sz w:val="15"/>
                <w:szCs w:val="15"/>
              </w:rPr>
            </w:pPr>
            <w:r w:rsidRPr="00330715">
              <w:rPr>
                <w:sz w:val="15"/>
                <w:szCs w:val="15"/>
              </w:rPr>
              <w:t>Filtering by supporting databases may bias towards well-characterised miRNAs and target genes.</w:t>
            </w:r>
          </w:p>
          <w:p w14:paraId="43B3AA8B" w14:textId="77777777" w:rsidR="00330715" w:rsidRPr="00330715" w:rsidRDefault="00330715" w:rsidP="0091601B">
            <w:pPr>
              <w:rPr>
                <w:sz w:val="15"/>
                <w:szCs w:val="15"/>
              </w:rPr>
            </w:pPr>
          </w:p>
        </w:tc>
        <w:tc>
          <w:tcPr>
            <w:tcW w:w="1159" w:type="dxa"/>
          </w:tcPr>
          <w:p w14:paraId="5EA27AE6" w14:textId="77777777" w:rsidR="00330715" w:rsidRPr="00330715" w:rsidRDefault="00330715" w:rsidP="0091601B">
            <w:pPr>
              <w:rPr>
                <w:sz w:val="15"/>
                <w:szCs w:val="15"/>
              </w:rPr>
            </w:pPr>
            <w:r w:rsidRPr="00330715">
              <w:rPr>
                <w:sz w:val="15"/>
                <w:szCs w:val="15"/>
              </w:rPr>
              <w:t>Hu et al., 2014; Xu et al., 2024; Huang et al., 2025</w:t>
            </w:r>
          </w:p>
        </w:tc>
      </w:tr>
      <w:tr w:rsidR="00330715" w:rsidRPr="00330715" w14:paraId="26DA3B47" w14:textId="77777777" w:rsidTr="00330715">
        <w:trPr>
          <w:trHeight w:val="1427"/>
        </w:trPr>
        <w:tc>
          <w:tcPr>
            <w:tcW w:w="1148" w:type="dxa"/>
          </w:tcPr>
          <w:p w14:paraId="4B4090FB" w14:textId="77777777" w:rsidR="00330715" w:rsidRPr="00330715" w:rsidRDefault="00330715" w:rsidP="0091601B">
            <w:pPr>
              <w:rPr>
                <w:sz w:val="15"/>
                <w:szCs w:val="15"/>
              </w:rPr>
            </w:pPr>
            <w:r w:rsidRPr="00330715">
              <w:rPr>
                <w:sz w:val="15"/>
                <w:szCs w:val="15"/>
              </w:rPr>
              <w:t>Context-specific filtering</w:t>
            </w:r>
          </w:p>
        </w:tc>
        <w:tc>
          <w:tcPr>
            <w:tcW w:w="3032" w:type="dxa"/>
          </w:tcPr>
          <w:p w14:paraId="0706C9E0" w14:textId="77777777" w:rsidR="00330715" w:rsidRPr="00330715" w:rsidRDefault="00330715" w:rsidP="0091601B">
            <w:pPr>
              <w:rPr>
                <w:sz w:val="15"/>
                <w:szCs w:val="15"/>
              </w:rPr>
            </w:pPr>
            <w:r w:rsidRPr="00330715">
              <w:rPr>
                <w:sz w:val="15"/>
                <w:szCs w:val="15"/>
              </w:rPr>
              <w:t>Filter target genes according to whether expression in the biological system is plausible. Retain only the intersection of target genes identified and genes biologically plausible.</w:t>
            </w:r>
          </w:p>
          <w:p w14:paraId="2A7B3DF0" w14:textId="77777777" w:rsidR="00330715" w:rsidRPr="00330715" w:rsidRDefault="00330715" w:rsidP="0091601B">
            <w:pPr>
              <w:rPr>
                <w:sz w:val="15"/>
                <w:szCs w:val="15"/>
              </w:rPr>
            </w:pPr>
          </w:p>
        </w:tc>
        <w:tc>
          <w:tcPr>
            <w:tcW w:w="3895" w:type="dxa"/>
          </w:tcPr>
          <w:p w14:paraId="5503F66E" w14:textId="77777777" w:rsidR="00330715" w:rsidRPr="00330715" w:rsidRDefault="00330715" w:rsidP="0091601B">
            <w:pPr>
              <w:rPr>
                <w:sz w:val="15"/>
                <w:szCs w:val="15"/>
              </w:rPr>
            </w:pPr>
            <w:r w:rsidRPr="00330715">
              <w:rPr>
                <w:sz w:val="15"/>
                <w:szCs w:val="15"/>
              </w:rPr>
              <w:t>Excludes genes that are not relevant to the biological model (e.g., genes not expressed in airway epithelium), which may improve the specificity of pathway enrichment analysis by reducing noise and false-positive pathway associations.</w:t>
            </w:r>
          </w:p>
          <w:p w14:paraId="1411B66D" w14:textId="77777777" w:rsidR="00330715" w:rsidRPr="00330715" w:rsidRDefault="00330715" w:rsidP="0091601B">
            <w:pPr>
              <w:rPr>
                <w:sz w:val="15"/>
                <w:szCs w:val="15"/>
              </w:rPr>
            </w:pPr>
          </w:p>
        </w:tc>
        <w:tc>
          <w:tcPr>
            <w:tcW w:w="4791" w:type="dxa"/>
          </w:tcPr>
          <w:p w14:paraId="06902C9F" w14:textId="77777777" w:rsidR="00330715" w:rsidRPr="00330715" w:rsidRDefault="00330715" w:rsidP="0091601B">
            <w:pPr>
              <w:rPr>
                <w:sz w:val="15"/>
                <w:szCs w:val="15"/>
              </w:rPr>
            </w:pPr>
            <w:r w:rsidRPr="00330715">
              <w:rPr>
                <w:sz w:val="15"/>
                <w:szCs w:val="15"/>
              </w:rPr>
              <w:t>Cells can express large proportions of the genome (e.g., respiratory ciliated cells can express ~12k genes), therefore this approach may not substantially reduce the target gene list.</w:t>
            </w:r>
          </w:p>
          <w:p w14:paraId="640C8C01" w14:textId="77777777" w:rsidR="00330715" w:rsidRPr="00330715" w:rsidRDefault="00330715" w:rsidP="0091601B">
            <w:pPr>
              <w:rPr>
                <w:sz w:val="15"/>
                <w:szCs w:val="15"/>
              </w:rPr>
            </w:pPr>
          </w:p>
          <w:p w14:paraId="5063DDB3" w14:textId="77777777" w:rsidR="00330715" w:rsidRPr="00330715" w:rsidRDefault="00330715" w:rsidP="0091601B">
            <w:pPr>
              <w:rPr>
                <w:sz w:val="15"/>
                <w:szCs w:val="15"/>
              </w:rPr>
            </w:pPr>
            <w:r w:rsidRPr="00330715">
              <w:rPr>
                <w:sz w:val="15"/>
                <w:szCs w:val="15"/>
              </w:rPr>
              <w:t>Airway epithelial-derived EVs can target multiple recipient cell types (e.g., immune cells) therefore it is difficult to define a suitable list of potential recipient cells.</w:t>
            </w:r>
          </w:p>
          <w:p w14:paraId="223D05FA" w14:textId="77777777" w:rsidR="00330715" w:rsidRPr="00330715" w:rsidRDefault="00330715" w:rsidP="0091601B">
            <w:pPr>
              <w:rPr>
                <w:sz w:val="15"/>
                <w:szCs w:val="15"/>
              </w:rPr>
            </w:pPr>
          </w:p>
          <w:p w14:paraId="1A1B1B85" w14:textId="77777777" w:rsidR="00330715" w:rsidRPr="00330715" w:rsidRDefault="00330715" w:rsidP="0091601B">
            <w:pPr>
              <w:rPr>
                <w:sz w:val="15"/>
                <w:szCs w:val="15"/>
              </w:rPr>
            </w:pPr>
            <w:r w:rsidRPr="00330715">
              <w:rPr>
                <w:sz w:val="15"/>
                <w:szCs w:val="15"/>
              </w:rPr>
              <w:t>Creating an exhaustive list of cell types potentially targeted by airway-derived EVs would be very extensive and would likely incorporate a large proportion of the genome, limiting the effectiveness of this approach.</w:t>
            </w:r>
          </w:p>
          <w:p w14:paraId="1CFB6CAC" w14:textId="77777777" w:rsidR="00330715" w:rsidRPr="00330715" w:rsidRDefault="00330715" w:rsidP="0091601B">
            <w:pPr>
              <w:rPr>
                <w:sz w:val="15"/>
                <w:szCs w:val="15"/>
              </w:rPr>
            </w:pPr>
          </w:p>
        </w:tc>
        <w:tc>
          <w:tcPr>
            <w:tcW w:w="1159" w:type="dxa"/>
          </w:tcPr>
          <w:p w14:paraId="7484D487" w14:textId="77777777" w:rsidR="00330715" w:rsidRPr="00330715" w:rsidRDefault="00330715" w:rsidP="0091601B">
            <w:pPr>
              <w:rPr>
                <w:sz w:val="15"/>
                <w:szCs w:val="15"/>
              </w:rPr>
            </w:pPr>
            <w:r w:rsidRPr="00330715">
              <w:rPr>
                <w:sz w:val="15"/>
                <w:szCs w:val="15"/>
              </w:rPr>
              <w:t>Bradley and Moxon, 2020</w:t>
            </w:r>
          </w:p>
        </w:tc>
      </w:tr>
      <w:tr w:rsidR="00330715" w:rsidRPr="00330715" w14:paraId="05B29EA5" w14:textId="77777777" w:rsidTr="00330715">
        <w:trPr>
          <w:trHeight w:val="1427"/>
        </w:trPr>
        <w:tc>
          <w:tcPr>
            <w:tcW w:w="1148" w:type="dxa"/>
          </w:tcPr>
          <w:p w14:paraId="1D20CC6A" w14:textId="77777777" w:rsidR="00330715" w:rsidRPr="00330715" w:rsidRDefault="00330715" w:rsidP="0091601B">
            <w:pPr>
              <w:rPr>
                <w:sz w:val="15"/>
                <w:szCs w:val="15"/>
              </w:rPr>
            </w:pPr>
            <w:r w:rsidRPr="00330715">
              <w:rPr>
                <w:sz w:val="15"/>
                <w:szCs w:val="15"/>
              </w:rPr>
              <w:lastRenderedPageBreak/>
              <w:t>Network-based</w:t>
            </w:r>
          </w:p>
        </w:tc>
        <w:tc>
          <w:tcPr>
            <w:tcW w:w="3032" w:type="dxa"/>
          </w:tcPr>
          <w:p w14:paraId="0E4ECC23" w14:textId="77777777" w:rsidR="00330715" w:rsidRPr="00330715" w:rsidRDefault="00330715" w:rsidP="0091601B">
            <w:pPr>
              <w:rPr>
                <w:sz w:val="15"/>
                <w:szCs w:val="15"/>
              </w:rPr>
            </w:pPr>
            <w:r w:rsidRPr="00330715">
              <w:rPr>
                <w:sz w:val="15"/>
                <w:szCs w:val="15"/>
              </w:rPr>
              <w:t>Construct biological interaction networks to identify highly connected genes (hub genes). Prioritise genes with greater connectivity for downstream pathway enrichment analysis, as these genes may represent important regulators within the biological system.</w:t>
            </w:r>
          </w:p>
          <w:p w14:paraId="7FFA1515" w14:textId="77777777" w:rsidR="00330715" w:rsidRPr="00330715" w:rsidRDefault="00330715" w:rsidP="0091601B">
            <w:pPr>
              <w:rPr>
                <w:sz w:val="15"/>
                <w:szCs w:val="15"/>
              </w:rPr>
            </w:pPr>
          </w:p>
        </w:tc>
        <w:tc>
          <w:tcPr>
            <w:tcW w:w="3895" w:type="dxa"/>
          </w:tcPr>
          <w:p w14:paraId="3807B393" w14:textId="77777777" w:rsidR="00330715" w:rsidRDefault="00330715" w:rsidP="0091601B">
            <w:pPr>
              <w:rPr>
                <w:sz w:val="15"/>
                <w:szCs w:val="15"/>
              </w:rPr>
            </w:pPr>
            <w:r w:rsidRPr="00330715">
              <w:rPr>
                <w:sz w:val="15"/>
                <w:szCs w:val="15"/>
              </w:rPr>
              <w:t>Prioritising highly connected genes can reduce noise by excluding isolated target genes which may increase the specificity of pathway enrichment.</w:t>
            </w:r>
          </w:p>
          <w:p w14:paraId="14873C5B" w14:textId="77777777" w:rsidR="00330715" w:rsidRPr="00330715" w:rsidRDefault="00330715" w:rsidP="0091601B">
            <w:pPr>
              <w:rPr>
                <w:sz w:val="15"/>
                <w:szCs w:val="15"/>
              </w:rPr>
            </w:pPr>
          </w:p>
          <w:p w14:paraId="1A80EC4A" w14:textId="77777777" w:rsidR="00330715" w:rsidRPr="00330715" w:rsidRDefault="00330715" w:rsidP="0091601B">
            <w:pPr>
              <w:rPr>
                <w:sz w:val="15"/>
                <w:szCs w:val="15"/>
              </w:rPr>
            </w:pPr>
            <w:r w:rsidRPr="00330715">
              <w:rPr>
                <w:sz w:val="15"/>
                <w:szCs w:val="15"/>
              </w:rPr>
              <w:t>Network-based approaches can incorporate additional biological information beyond individual miRNA-target predictions.</w:t>
            </w:r>
          </w:p>
          <w:p w14:paraId="5EF59D36" w14:textId="77777777" w:rsidR="00330715" w:rsidRPr="00330715" w:rsidRDefault="00330715" w:rsidP="0091601B">
            <w:pPr>
              <w:rPr>
                <w:sz w:val="15"/>
                <w:szCs w:val="15"/>
              </w:rPr>
            </w:pPr>
          </w:p>
        </w:tc>
        <w:tc>
          <w:tcPr>
            <w:tcW w:w="4791" w:type="dxa"/>
          </w:tcPr>
          <w:p w14:paraId="0F9D01A7" w14:textId="77777777" w:rsidR="00330715" w:rsidRPr="00330715" w:rsidRDefault="00330715" w:rsidP="0091601B">
            <w:pPr>
              <w:rPr>
                <w:sz w:val="15"/>
                <w:szCs w:val="15"/>
              </w:rPr>
            </w:pPr>
            <w:r w:rsidRPr="00330715">
              <w:rPr>
                <w:sz w:val="15"/>
                <w:szCs w:val="15"/>
              </w:rPr>
              <w:t>Defining connectivity thresholds is arbitrary and may exclude real miRNA-target interactions with less-connected roles.</w:t>
            </w:r>
          </w:p>
          <w:p w14:paraId="15551FC3" w14:textId="77777777" w:rsidR="00330715" w:rsidRPr="00330715" w:rsidRDefault="00330715" w:rsidP="0091601B">
            <w:pPr>
              <w:rPr>
                <w:sz w:val="15"/>
                <w:szCs w:val="15"/>
              </w:rPr>
            </w:pPr>
            <w:r w:rsidRPr="00330715">
              <w:rPr>
                <w:sz w:val="15"/>
                <w:szCs w:val="15"/>
              </w:rPr>
              <w:t>Network analyses depend on known connections, and this can bias towards better characterised genes.</w:t>
            </w:r>
          </w:p>
          <w:p w14:paraId="7DB0493D" w14:textId="77777777" w:rsidR="00330715" w:rsidRPr="00330715" w:rsidRDefault="00330715" w:rsidP="0091601B">
            <w:pPr>
              <w:rPr>
                <w:sz w:val="15"/>
                <w:szCs w:val="15"/>
              </w:rPr>
            </w:pPr>
          </w:p>
        </w:tc>
        <w:tc>
          <w:tcPr>
            <w:tcW w:w="1159" w:type="dxa"/>
          </w:tcPr>
          <w:p w14:paraId="6EF69B59" w14:textId="77777777" w:rsidR="00330715" w:rsidRPr="00330715" w:rsidRDefault="00330715" w:rsidP="0091601B">
            <w:pPr>
              <w:rPr>
                <w:sz w:val="15"/>
                <w:szCs w:val="15"/>
              </w:rPr>
            </w:pPr>
            <w:r w:rsidRPr="00330715">
              <w:rPr>
                <w:sz w:val="15"/>
                <w:szCs w:val="15"/>
              </w:rPr>
              <w:t>Fan et al., 2016</w:t>
            </w:r>
          </w:p>
        </w:tc>
      </w:tr>
    </w:tbl>
    <w:p w14:paraId="36429411" w14:textId="77777777" w:rsidR="00330715" w:rsidRDefault="00330715" w:rsidP="00AB46F2"/>
    <w:p w14:paraId="6E8A5130" w14:textId="77777777" w:rsidR="00330715" w:rsidRDefault="00330715" w:rsidP="00330715">
      <w:r>
        <w:t>References:</w:t>
      </w:r>
    </w:p>
    <w:p w14:paraId="4B5996B2" w14:textId="77777777" w:rsidR="00330715" w:rsidRDefault="00330715" w:rsidP="00330715">
      <w:r>
        <w:t xml:space="preserve">BRADLEY, T. &amp; MOXON, S. 2020. </w:t>
      </w:r>
      <w:proofErr w:type="spellStart"/>
      <w:r>
        <w:t>FilTar</w:t>
      </w:r>
      <w:proofErr w:type="spellEnd"/>
      <w:r>
        <w:t>: using RNA-</w:t>
      </w:r>
      <w:proofErr w:type="spellStart"/>
      <w:r>
        <w:t>Seq</w:t>
      </w:r>
      <w:proofErr w:type="spellEnd"/>
      <w:r>
        <w:t xml:space="preserve"> data to improve microRNA target prediction accuracy in animals. Bioinformatics, 36, 2410-2416.</w:t>
      </w:r>
    </w:p>
    <w:p w14:paraId="46F71909" w14:textId="77777777" w:rsidR="00330715" w:rsidRDefault="00330715" w:rsidP="00330715">
      <w:r>
        <w:t xml:space="preserve">CUI, S., YU, S., HUANG, H.-Y., LIN, Y.-C.-D., HUANG, Y., ZHANG, B., XIAO, J., ZUO, H., WANG, J., LI, Z., LI, G., MA, J., CHEN, B., ZHANG, H., FU, J., WANG, L. &amp; HUANG, H.-D. 2025. </w:t>
      </w:r>
      <w:proofErr w:type="spellStart"/>
      <w:r>
        <w:t>miRTarBase</w:t>
      </w:r>
      <w:proofErr w:type="spellEnd"/>
      <w:r>
        <w:t xml:space="preserve"> 2025: updates to the collection of experimentally validated microRNA–target interactions. Nucleic Acids Research, 53, D147-D156.</w:t>
      </w:r>
    </w:p>
    <w:p w14:paraId="1088371A" w14:textId="77777777" w:rsidR="00330715" w:rsidRDefault="00330715" w:rsidP="00330715">
      <w:r>
        <w:t xml:space="preserve">FAN, Y., SIKLENKA, K., ARORA, S. K., RIBEIRO, P., KIMMINS, S. &amp; XIA, J. 2016. </w:t>
      </w:r>
      <w:proofErr w:type="spellStart"/>
      <w:r>
        <w:t>miRNet</w:t>
      </w:r>
      <w:proofErr w:type="spellEnd"/>
      <w:r>
        <w:t xml:space="preserve"> - dissecting miRNA-target interactions and functional associations through network-based visual analysis. Nucleic Acids Research, 44, W135-W141.</w:t>
      </w:r>
    </w:p>
    <w:p w14:paraId="54B6A933" w14:textId="77777777" w:rsidR="00330715" w:rsidRDefault="00330715" w:rsidP="00330715">
      <w:r>
        <w:t>HUANG, L., CHEN, D., YANG, B., YANG, Z., XUE, C. &amp; LU, C. 2025. A Verified Workflow for MiRNA-</w:t>
      </w:r>
      <w:proofErr w:type="spellStart"/>
      <w:r>
        <w:t>Seq</w:t>
      </w:r>
      <w:proofErr w:type="spellEnd"/>
      <w:r>
        <w:t xml:space="preserve"> Data Processing and Bioinformatics Analysis Using R. </w:t>
      </w:r>
      <w:proofErr w:type="spellStart"/>
      <w:r>
        <w:t>JoVE</w:t>
      </w:r>
      <w:proofErr w:type="spellEnd"/>
      <w:r>
        <w:t>, e68760.</w:t>
      </w:r>
    </w:p>
    <w:p w14:paraId="7E85F1AD" w14:textId="77777777" w:rsidR="00330715" w:rsidRDefault="00330715" w:rsidP="00330715">
      <w:r>
        <w:t xml:space="preserve">HU, Z., YU, D., ALMEIDA-SUHETT, C., TU, K., MARINI, A. M., EIDEN, L., BRAGA, M. F., ZHU, J. &amp; LI, Z. 2012. Expression of miRNAs and their cooperative regulation of the pathophysiology in traumatic brain injury. </w:t>
      </w:r>
      <w:proofErr w:type="spellStart"/>
      <w:r>
        <w:t>PLoS</w:t>
      </w:r>
      <w:proofErr w:type="spellEnd"/>
      <w:r>
        <w:t xml:space="preserve"> One, 7, e39357.</w:t>
      </w:r>
    </w:p>
    <w:p w14:paraId="7395661E" w14:textId="77777777" w:rsidR="00330715" w:rsidRDefault="00330715" w:rsidP="00330715">
      <w:r>
        <w:t>HU, Z., YU, D., GU, Q. H., YANG, Y., TU, K., ZHU, J. &amp; LI, Z. 2014. miR-191 and miR-135 are required for long-lasting spine remodelling associated with synaptic long-term depression. Nat Commun, 5, 3263.</w:t>
      </w:r>
    </w:p>
    <w:p w14:paraId="457B78DF" w14:textId="77777777" w:rsidR="00330715" w:rsidRDefault="00330715" w:rsidP="00330715">
      <w:r>
        <w:t xml:space="preserve">XU, S., HU, E., CAI, Y., XIE, Z., LUO, X., ZHAN, L., TANG, W., WANG, Q., LIU, B., WANG, R., XIE, W., WU, T., XIE, L. &amp; YU, G. 2024. Using </w:t>
      </w:r>
      <w:proofErr w:type="spellStart"/>
      <w:r>
        <w:t>clusterProfiler</w:t>
      </w:r>
      <w:proofErr w:type="spellEnd"/>
      <w:r>
        <w:t xml:space="preserve"> to characterize </w:t>
      </w:r>
      <w:proofErr w:type="spellStart"/>
      <w:r>
        <w:t>multiomics</w:t>
      </w:r>
      <w:proofErr w:type="spellEnd"/>
      <w:r>
        <w:t xml:space="preserve"> data. Nature Protocols, 19, 3292-3320.</w:t>
      </w:r>
    </w:p>
    <w:p w14:paraId="74FF80CC" w14:textId="2CD8D31D" w:rsidR="00330715" w:rsidRDefault="00330715" w:rsidP="00330715">
      <w:r>
        <w:lastRenderedPageBreak/>
        <w:t>ZHANG, J., PHAM, V. V. H., LIU, L., XU, T., TRUONG, B., LI, J., RAO, N. &amp; LE, T. D. 2019. Identifying miRNA synergism using multiple-intervention causal inference. BMC Bioinformatics, 20, 613.</w:t>
      </w:r>
    </w:p>
    <w:p w14:paraId="300B2041" w14:textId="77777777" w:rsidR="00330715" w:rsidRDefault="00330715" w:rsidP="00330715"/>
    <w:p w14:paraId="705ED030" w14:textId="55EE3630" w:rsidR="00330715" w:rsidRPr="00330715" w:rsidRDefault="00330715" w:rsidP="00330715">
      <w:pPr>
        <w:rPr>
          <w:b/>
          <w:bCs/>
        </w:rPr>
      </w:pPr>
      <w:r w:rsidRPr="00330715">
        <w:rPr>
          <w:b/>
          <w:bCs/>
        </w:rPr>
        <w:t xml:space="preserve">Supplementary Table </w:t>
      </w:r>
      <w:r>
        <w:rPr>
          <w:b/>
          <w:bCs/>
        </w:rPr>
        <w:t>5</w:t>
      </w:r>
    </w:p>
    <w:tbl>
      <w:tblPr>
        <w:tblStyle w:val="TableGrid"/>
        <w:tblW w:w="0" w:type="auto"/>
        <w:tblLook w:val="04A0" w:firstRow="1" w:lastRow="0" w:firstColumn="1" w:lastColumn="0" w:noHBand="0" w:noVBand="1"/>
      </w:tblPr>
      <w:tblGrid>
        <w:gridCol w:w="1248"/>
        <w:gridCol w:w="1603"/>
        <w:gridCol w:w="1727"/>
        <w:gridCol w:w="1610"/>
        <w:gridCol w:w="3305"/>
        <w:gridCol w:w="4455"/>
      </w:tblGrid>
      <w:tr w:rsidR="00330715" w14:paraId="08EBFDB2" w14:textId="77777777" w:rsidTr="00330715">
        <w:tc>
          <w:tcPr>
            <w:tcW w:w="1248" w:type="dxa"/>
            <w:shd w:val="clear" w:color="auto" w:fill="D9D9D9" w:themeFill="background1" w:themeFillShade="D9"/>
          </w:tcPr>
          <w:p w14:paraId="5636E818" w14:textId="77777777" w:rsidR="00330715" w:rsidRPr="009524CB" w:rsidRDefault="00330715" w:rsidP="0091601B">
            <w:pPr>
              <w:rPr>
                <w:b/>
                <w:bCs/>
              </w:rPr>
            </w:pPr>
            <w:r w:rsidRPr="009524CB">
              <w:rPr>
                <w:b/>
                <w:bCs/>
              </w:rPr>
              <w:t>miRNA</w:t>
            </w:r>
          </w:p>
        </w:tc>
        <w:tc>
          <w:tcPr>
            <w:tcW w:w="1603" w:type="dxa"/>
            <w:shd w:val="clear" w:color="auto" w:fill="D9D9D9" w:themeFill="background1" w:themeFillShade="D9"/>
          </w:tcPr>
          <w:p w14:paraId="1372C187" w14:textId="77777777" w:rsidR="00330715" w:rsidRPr="009524CB" w:rsidRDefault="00330715" w:rsidP="0091601B">
            <w:pPr>
              <w:rPr>
                <w:b/>
                <w:bCs/>
              </w:rPr>
            </w:pPr>
            <w:r w:rsidRPr="00967A39">
              <w:rPr>
                <w:b/>
                <w:bCs/>
              </w:rPr>
              <w:t>Biological process / function</w:t>
            </w:r>
          </w:p>
        </w:tc>
        <w:tc>
          <w:tcPr>
            <w:tcW w:w="1727" w:type="dxa"/>
            <w:shd w:val="clear" w:color="auto" w:fill="D9D9D9" w:themeFill="background1" w:themeFillShade="D9"/>
          </w:tcPr>
          <w:p w14:paraId="34772598" w14:textId="77777777" w:rsidR="00330715" w:rsidRPr="009524CB" w:rsidRDefault="00330715" w:rsidP="0091601B">
            <w:pPr>
              <w:rPr>
                <w:b/>
                <w:bCs/>
              </w:rPr>
            </w:pPr>
            <w:r w:rsidRPr="009524CB">
              <w:rPr>
                <w:b/>
                <w:bCs/>
              </w:rPr>
              <w:t>Disease / context</w:t>
            </w:r>
          </w:p>
        </w:tc>
        <w:tc>
          <w:tcPr>
            <w:tcW w:w="1610" w:type="dxa"/>
            <w:shd w:val="clear" w:color="auto" w:fill="D9D9D9" w:themeFill="background1" w:themeFillShade="D9"/>
          </w:tcPr>
          <w:p w14:paraId="59EA11FB" w14:textId="77777777" w:rsidR="00330715" w:rsidRDefault="00330715" w:rsidP="0091601B">
            <w:pPr>
              <w:rPr>
                <w:b/>
                <w:bCs/>
              </w:rPr>
            </w:pPr>
            <w:r>
              <w:rPr>
                <w:b/>
                <w:bCs/>
              </w:rPr>
              <w:t>Search Keyword</w:t>
            </w:r>
          </w:p>
        </w:tc>
        <w:tc>
          <w:tcPr>
            <w:tcW w:w="3305" w:type="dxa"/>
            <w:shd w:val="clear" w:color="auto" w:fill="D9D9D9" w:themeFill="background1" w:themeFillShade="D9"/>
          </w:tcPr>
          <w:p w14:paraId="03C0BB41" w14:textId="77777777" w:rsidR="00330715" w:rsidRPr="009524CB" w:rsidRDefault="00330715" w:rsidP="0091601B">
            <w:pPr>
              <w:rPr>
                <w:b/>
                <w:bCs/>
              </w:rPr>
            </w:pPr>
            <w:r w:rsidRPr="00967A39">
              <w:rPr>
                <w:b/>
                <w:bCs/>
              </w:rPr>
              <w:t>Summary of reported findings</w:t>
            </w:r>
          </w:p>
        </w:tc>
        <w:tc>
          <w:tcPr>
            <w:tcW w:w="4455" w:type="dxa"/>
            <w:shd w:val="clear" w:color="auto" w:fill="D9D9D9" w:themeFill="background1" w:themeFillShade="D9"/>
          </w:tcPr>
          <w:p w14:paraId="13DC63C3" w14:textId="77777777" w:rsidR="00330715" w:rsidRPr="009524CB" w:rsidRDefault="00330715" w:rsidP="0091601B">
            <w:pPr>
              <w:rPr>
                <w:b/>
                <w:bCs/>
              </w:rPr>
            </w:pPr>
            <w:r w:rsidRPr="009524CB">
              <w:rPr>
                <w:b/>
                <w:bCs/>
              </w:rPr>
              <w:t>Reference(s)</w:t>
            </w:r>
          </w:p>
        </w:tc>
      </w:tr>
      <w:tr w:rsidR="00330715" w14:paraId="25C400E0" w14:textId="77777777" w:rsidTr="00330715">
        <w:tc>
          <w:tcPr>
            <w:tcW w:w="1248" w:type="dxa"/>
          </w:tcPr>
          <w:p w14:paraId="60703E93" w14:textId="77777777" w:rsidR="00330715" w:rsidRDefault="00330715" w:rsidP="0091601B">
            <w:r>
              <w:t>miR-125b-5p</w:t>
            </w:r>
          </w:p>
        </w:tc>
        <w:tc>
          <w:tcPr>
            <w:tcW w:w="1603" w:type="dxa"/>
          </w:tcPr>
          <w:p w14:paraId="4D1D6DFC" w14:textId="77777777" w:rsidR="00330715" w:rsidRDefault="00330715" w:rsidP="0091601B">
            <w:r>
              <w:t>Macrophage regulation</w:t>
            </w:r>
          </w:p>
        </w:tc>
        <w:tc>
          <w:tcPr>
            <w:tcW w:w="1727" w:type="dxa"/>
          </w:tcPr>
          <w:p w14:paraId="7D113B8D" w14:textId="77777777" w:rsidR="00330715" w:rsidRDefault="00330715" w:rsidP="0091601B">
            <w:r>
              <w:t>Macrophages</w:t>
            </w:r>
          </w:p>
        </w:tc>
        <w:tc>
          <w:tcPr>
            <w:tcW w:w="1610" w:type="dxa"/>
          </w:tcPr>
          <w:p w14:paraId="19269CB7" w14:textId="77777777" w:rsidR="00330715" w:rsidRDefault="00330715" w:rsidP="0091601B">
            <w:r>
              <w:t>Inflammatory</w:t>
            </w:r>
          </w:p>
        </w:tc>
        <w:tc>
          <w:tcPr>
            <w:tcW w:w="3305" w:type="dxa"/>
          </w:tcPr>
          <w:p w14:paraId="7956E222" w14:textId="77777777" w:rsidR="00330715" w:rsidRDefault="00330715" w:rsidP="0091601B">
            <w:r>
              <w:t>Regulates inflammatory state of macrophages through targeting of B7-H4.</w:t>
            </w:r>
          </w:p>
        </w:tc>
        <w:tc>
          <w:tcPr>
            <w:tcW w:w="4455" w:type="dxa"/>
          </w:tcPr>
          <w:p w14:paraId="152E2166" w14:textId="77777777" w:rsidR="00330715" w:rsidRDefault="00330715" w:rsidP="0091601B">
            <w:r w:rsidRPr="005A6B1F">
              <w:t>Diao</w:t>
            </w:r>
            <w:r>
              <w:t xml:space="preserve"> et al., 2017</w:t>
            </w:r>
          </w:p>
        </w:tc>
      </w:tr>
      <w:tr w:rsidR="00330715" w14:paraId="167902E6" w14:textId="77777777" w:rsidTr="00330715">
        <w:tc>
          <w:tcPr>
            <w:tcW w:w="1248" w:type="dxa"/>
          </w:tcPr>
          <w:p w14:paraId="6B625B67" w14:textId="77777777" w:rsidR="00330715" w:rsidRDefault="00330715" w:rsidP="0091601B">
            <w:r>
              <w:t>miR-125b-5p</w:t>
            </w:r>
          </w:p>
        </w:tc>
        <w:tc>
          <w:tcPr>
            <w:tcW w:w="1603" w:type="dxa"/>
          </w:tcPr>
          <w:p w14:paraId="375969F1" w14:textId="77777777" w:rsidR="00330715" w:rsidRDefault="00330715" w:rsidP="0091601B">
            <w:r>
              <w:t xml:space="preserve">Airway inflammation </w:t>
            </w:r>
          </w:p>
        </w:tc>
        <w:tc>
          <w:tcPr>
            <w:tcW w:w="1727" w:type="dxa"/>
          </w:tcPr>
          <w:p w14:paraId="7C420F33" w14:textId="77777777" w:rsidR="00330715" w:rsidRDefault="00330715" w:rsidP="0091601B">
            <w:r>
              <w:t>Asthma</w:t>
            </w:r>
          </w:p>
        </w:tc>
        <w:tc>
          <w:tcPr>
            <w:tcW w:w="1610" w:type="dxa"/>
          </w:tcPr>
          <w:p w14:paraId="0D4E10C4" w14:textId="77777777" w:rsidR="00330715" w:rsidRDefault="00330715" w:rsidP="0091601B">
            <w:r>
              <w:t>Immune, allergic</w:t>
            </w:r>
          </w:p>
        </w:tc>
        <w:tc>
          <w:tcPr>
            <w:tcW w:w="3305" w:type="dxa"/>
          </w:tcPr>
          <w:p w14:paraId="06E5DEA3" w14:textId="77777777" w:rsidR="00330715" w:rsidRDefault="00330715" w:rsidP="0091601B">
            <w:r>
              <w:t xml:space="preserve">Indicated in </w:t>
            </w:r>
            <w:r w:rsidRPr="00EA6DF6">
              <w:t xml:space="preserve">inflammatory response </w:t>
            </w:r>
            <w:r>
              <w:t xml:space="preserve">pathways </w:t>
            </w:r>
            <w:r w:rsidRPr="00EA6DF6">
              <w:t>and cilium assembly</w:t>
            </w:r>
            <w:r>
              <w:t xml:space="preserve"> and </w:t>
            </w:r>
            <w:r w:rsidRPr="00EA6DF6">
              <w:t>organisation</w:t>
            </w:r>
            <w:r>
              <w:t>.</w:t>
            </w:r>
          </w:p>
          <w:p w14:paraId="3B9AC5DE" w14:textId="77777777" w:rsidR="00330715" w:rsidRDefault="00330715" w:rsidP="0091601B"/>
          <w:p w14:paraId="3BA5A765" w14:textId="77777777" w:rsidR="00330715" w:rsidRDefault="00330715" w:rsidP="0091601B">
            <w:r>
              <w:t>Modulates</w:t>
            </w:r>
            <w:r w:rsidRPr="003705A4">
              <w:t xml:space="preserve"> macrophage polarization</w:t>
            </w:r>
            <w:r>
              <w:t>.</w:t>
            </w:r>
          </w:p>
        </w:tc>
        <w:tc>
          <w:tcPr>
            <w:tcW w:w="4455" w:type="dxa"/>
          </w:tcPr>
          <w:p w14:paraId="5D13AE0C" w14:textId="77777777" w:rsidR="00330715" w:rsidRDefault="00330715" w:rsidP="0091601B">
            <w:proofErr w:type="spellStart"/>
            <w:r>
              <w:t>Roffel</w:t>
            </w:r>
            <w:proofErr w:type="spellEnd"/>
            <w:r>
              <w:t xml:space="preserve"> et al., 2022; Zhu et al., 2023</w:t>
            </w:r>
          </w:p>
          <w:p w14:paraId="5708F2D3" w14:textId="77777777" w:rsidR="00330715" w:rsidRDefault="00330715" w:rsidP="0091601B"/>
          <w:p w14:paraId="0D587B25" w14:textId="77777777" w:rsidR="00330715" w:rsidRDefault="00330715" w:rsidP="0091601B"/>
        </w:tc>
      </w:tr>
      <w:tr w:rsidR="00330715" w14:paraId="2332C30B" w14:textId="77777777" w:rsidTr="00330715">
        <w:tc>
          <w:tcPr>
            <w:tcW w:w="1248" w:type="dxa"/>
          </w:tcPr>
          <w:p w14:paraId="3B70FDD5" w14:textId="77777777" w:rsidR="00330715" w:rsidRDefault="00330715" w:rsidP="0091601B">
            <w:r>
              <w:t>125b-5p</w:t>
            </w:r>
          </w:p>
        </w:tc>
        <w:tc>
          <w:tcPr>
            <w:tcW w:w="1603" w:type="dxa"/>
          </w:tcPr>
          <w:p w14:paraId="78C6AAC5" w14:textId="77777777" w:rsidR="00330715" w:rsidRDefault="00330715" w:rsidP="0091601B">
            <w:r>
              <w:t>Potential biomarker</w:t>
            </w:r>
          </w:p>
        </w:tc>
        <w:tc>
          <w:tcPr>
            <w:tcW w:w="1727" w:type="dxa"/>
          </w:tcPr>
          <w:p w14:paraId="789231F6" w14:textId="77777777" w:rsidR="00330715" w:rsidRDefault="00330715" w:rsidP="0091601B">
            <w:r>
              <w:t>Cigarette smoke exposure</w:t>
            </w:r>
          </w:p>
        </w:tc>
        <w:tc>
          <w:tcPr>
            <w:tcW w:w="1610" w:type="dxa"/>
          </w:tcPr>
          <w:p w14:paraId="1B93A7E0" w14:textId="77777777" w:rsidR="00330715" w:rsidRDefault="00330715" w:rsidP="0091601B">
            <w:r>
              <w:t>Airway</w:t>
            </w:r>
          </w:p>
        </w:tc>
        <w:tc>
          <w:tcPr>
            <w:tcW w:w="3305" w:type="dxa"/>
          </w:tcPr>
          <w:p w14:paraId="0A9BF972" w14:textId="77777777" w:rsidR="00330715" w:rsidRDefault="00330715" w:rsidP="0091601B">
            <w:r>
              <w:t xml:space="preserve">miR-125b-5p expression altered in gingival tissue following exposure to cigarette smoke </w:t>
            </w:r>
          </w:p>
        </w:tc>
        <w:tc>
          <w:tcPr>
            <w:tcW w:w="4455" w:type="dxa"/>
          </w:tcPr>
          <w:p w14:paraId="1CBD3F51" w14:textId="77777777" w:rsidR="00330715" w:rsidRDefault="00330715" w:rsidP="0091601B">
            <w:r>
              <w:t>Sewer et al., 2020</w:t>
            </w:r>
          </w:p>
        </w:tc>
      </w:tr>
      <w:tr w:rsidR="00330715" w14:paraId="2310F658" w14:textId="77777777" w:rsidTr="00330715">
        <w:tc>
          <w:tcPr>
            <w:tcW w:w="1248" w:type="dxa"/>
          </w:tcPr>
          <w:p w14:paraId="6D7154CF" w14:textId="77777777" w:rsidR="00330715" w:rsidRDefault="00330715" w:rsidP="0091601B">
            <w:r>
              <w:t>miR-125b-5p</w:t>
            </w:r>
          </w:p>
        </w:tc>
        <w:tc>
          <w:tcPr>
            <w:tcW w:w="1603" w:type="dxa"/>
          </w:tcPr>
          <w:p w14:paraId="2FCF84E8" w14:textId="77777777" w:rsidR="00330715" w:rsidRDefault="00330715" w:rsidP="0091601B">
            <w:r>
              <w:t>Pulmonary fibrosis</w:t>
            </w:r>
          </w:p>
        </w:tc>
        <w:tc>
          <w:tcPr>
            <w:tcW w:w="1727" w:type="dxa"/>
          </w:tcPr>
          <w:p w14:paraId="472A8DED" w14:textId="77777777" w:rsidR="00330715" w:rsidRDefault="00330715" w:rsidP="0091601B">
            <w:r>
              <w:t>Pulmonary fibrosis in mice</w:t>
            </w:r>
          </w:p>
        </w:tc>
        <w:tc>
          <w:tcPr>
            <w:tcW w:w="1610" w:type="dxa"/>
          </w:tcPr>
          <w:p w14:paraId="4693882D" w14:textId="77777777" w:rsidR="00330715" w:rsidRDefault="00330715" w:rsidP="0091601B">
            <w:r>
              <w:t>Epithelial</w:t>
            </w:r>
          </w:p>
        </w:tc>
        <w:tc>
          <w:tcPr>
            <w:tcW w:w="3305" w:type="dxa"/>
          </w:tcPr>
          <w:p w14:paraId="24DC0057" w14:textId="77777777" w:rsidR="00330715" w:rsidRDefault="00330715" w:rsidP="0091601B">
            <w:r>
              <w:t>miR-125b-5p interacts with BAK1 to regulate lung fibrosis and the epithelial-mesenchymal transition in lung epithelial cells.</w:t>
            </w:r>
          </w:p>
        </w:tc>
        <w:tc>
          <w:tcPr>
            <w:tcW w:w="4455" w:type="dxa"/>
          </w:tcPr>
          <w:p w14:paraId="2705C2DA" w14:textId="77777777" w:rsidR="00330715" w:rsidRDefault="00330715" w:rsidP="0091601B">
            <w:r>
              <w:t>Zhou et al., 2024</w:t>
            </w:r>
          </w:p>
        </w:tc>
      </w:tr>
      <w:tr w:rsidR="00330715" w14:paraId="6903644A" w14:textId="77777777" w:rsidTr="00330715">
        <w:tc>
          <w:tcPr>
            <w:tcW w:w="1248" w:type="dxa"/>
          </w:tcPr>
          <w:p w14:paraId="5CC75CF1" w14:textId="77777777" w:rsidR="00330715" w:rsidRDefault="00330715" w:rsidP="0091601B">
            <w:r>
              <w:lastRenderedPageBreak/>
              <w:t>miR-125b-5p</w:t>
            </w:r>
          </w:p>
        </w:tc>
        <w:tc>
          <w:tcPr>
            <w:tcW w:w="1603" w:type="dxa"/>
          </w:tcPr>
          <w:p w14:paraId="6745749F" w14:textId="77777777" w:rsidR="00330715" w:rsidRDefault="00330715" w:rsidP="0091601B">
            <w:r>
              <w:t>Extracellular vesicle signalling</w:t>
            </w:r>
          </w:p>
        </w:tc>
        <w:tc>
          <w:tcPr>
            <w:tcW w:w="1727" w:type="dxa"/>
          </w:tcPr>
          <w:p w14:paraId="6E97E741" w14:textId="77777777" w:rsidR="00330715" w:rsidRDefault="00330715" w:rsidP="0091601B">
            <w:r>
              <w:t>Extracellular vesicles</w:t>
            </w:r>
          </w:p>
        </w:tc>
        <w:tc>
          <w:tcPr>
            <w:tcW w:w="1610" w:type="dxa"/>
          </w:tcPr>
          <w:p w14:paraId="548F8D3E" w14:textId="77777777" w:rsidR="00330715" w:rsidRDefault="00330715" w:rsidP="0091601B">
            <w:r>
              <w:t>Extracellular vesicle, inflammation</w:t>
            </w:r>
          </w:p>
        </w:tc>
        <w:tc>
          <w:tcPr>
            <w:tcW w:w="3305" w:type="dxa"/>
          </w:tcPr>
          <w:p w14:paraId="222A5B44" w14:textId="77777777" w:rsidR="00330715" w:rsidRDefault="00330715" w:rsidP="0091601B">
            <w:r w:rsidRPr="00E128E4">
              <w:t>Small extracellular vesicles transfer miR-125b-5p to recipient pulmonary cells, reducing inflammation through regulation of the TRAF6 signalling pathway.</w:t>
            </w:r>
          </w:p>
          <w:p w14:paraId="4DFC0E14" w14:textId="77777777" w:rsidR="00330715" w:rsidRDefault="00330715" w:rsidP="0091601B"/>
          <w:p w14:paraId="59B4EEF4" w14:textId="77777777" w:rsidR="00330715" w:rsidRDefault="00330715" w:rsidP="0091601B">
            <w:r w:rsidRPr="00E128E4">
              <w:t>Adipose-derived stem cell exosomes deliver miR-125b-5p to pulmonary endothelial cells, reducing ferroptosis via the Keap1/Nrf2/GPX4 pathway.</w:t>
            </w:r>
          </w:p>
        </w:tc>
        <w:tc>
          <w:tcPr>
            <w:tcW w:w="4455" w:type="dxa"/>
          </w:tcPr>
          <w:p w14:paraId="0D3FF0BE" w14:textId="77777777" w:rsidR="00330715" w:rsidRDefault="00330715" w:rsidP="0091601B">
            <w:r>
              <w:t>Peng et al., 2023; Shen et al., 2023</w:t>
            </w:r>
          </w:p>
        </w:tc>
      </w:tr>
    </w:tbl>
    <w:p w14:paraId="7A43A2A1" w14:textId="77777777" w:rsidR="00330715" w:rsidRDefault="00330715" w:rsidP="00AB46F2"/>
    <w:p w14:paraId="3202E5F8" w14:textId="77777777" w:rsidR="00330715" w:rsidRDefault="00330715" w:rsidP="00330715">
      <w:r>
        <w:t>References:</w:t>
      </w:r>
    </w:p>
    <w:p w14:paraId="435F1705" w14:textId="3E737382" w:rsidR="00330715" w:rsidRDefault="00330715" w:rsidP="00AB46F2">
      <w:r w:rsidRPr="00330715">
        <w:t xml:space="preserve">DIAO, W., LU, L., LI, S., CHEN, J., ZEN, K. &amp; LI, L. 2017. MicroRNA-125b-5p modulates the inflammatory state of macrophages via targeting B7-H4. </w:t>
      </w:r>
      <w:proofErr w:type="spellStart"/>
      <w:r w:rsidRPr="00330715">
        <w:t>Biochem</w:t>
      </w:r>
      <w:proofErr w:type="spellEnd"/>
      <w:r w:rsidRPr="00330715">
        <w:t xml:space="preserve"> </w:t>
      </w:r>
      <w:proofErr w:type="spellStart"/>
      <w:r w:rsidRPr="00330715">
        <w:t>Biophys</w:t>
      </w:r>
      <w:proofErr w:type="spellEnd"/>
      <w:r w:rsidRPr="00330715">
        <w:t xml:space="preserve"> Res Commun, 491, 912-918.</w:t>
      </w:r>
    </w:p>
    <w:p w14:paraId="54856382" w14:textId="53BD0F43" w:rsidR="00330715" w:rsidRDefault="00330715" w:rsidP="00AB46F2">
      <w:r w:rsidRPr="00330715">
        <w:t xml:space="preserve">HAN, M. T. T., OO, T. Z. M., CHEWASKULYONG, B., PORNPRASERT, S., CHOOCHEEP, K., PUNTUREE, K., KUMSAIYAI, W., WUTTIIN, Y., CHIAMPANICHAYAKUL, S. &amp; CRESSEY, R. 2025. MiR-125b-5p and miR-100-5p as Biomarkers and therapeutic targets for the prevention of particulate matter-induced non-smoker lung cancer. </w:t>
      </w:r>
      <w:proofErr w:type="spellStart"/>
      <w:r w:rsidRPr="00330715">
        <w:t>PLoS</w:t>
      </w:r>
      <w:proofErr w:type="spellEnd"/>
      <w:r w:rsidRPr="00330715">
        <w:t xml:space="preserve"> One, 20, e0337805.</w:t>
      </w:r>
    </w:p>
    <w:p w14:paraId="5B955ED5" w14:textId="2A648504" w:rsidR="00330715" w:rsidRDefault="00330715" w:rsidP="00AB46F2">
      <w:r w:rsidRPr="00330715">
        <w:t>PENG, W., YANG, Y., CHEN, J., XU, Z., LOU, Y., LI, Q., ZHAO, N., QIAN, K. &amp; LIU, F. 2023. Small Extracellular Vesicles Secreted by iPSC-Derived MSCs Ameliorate Pulmonary Inflammation and Lung Injury Induced by Sepsis through Delivery of miR-125b-5p. J Immunol Res, 2023, 8987049.</w:t>
      </w:r>
    </w:p>
    <w:p w14:paraId="24F707C7" w14:textId="6344546A" w:rsidR="00330715" w:rsidRDefault="00330715" w:rsidP="00AB46F2">
      <w:r w:rsidRPr="00330715">
        <w:t xml:space="preserve">ROFFEL, M. P., BOUDEWIJN, I. M., VAN NIJNATTEN, J. L. L., FAIZ, A., VERMEULEN, C. J., VAN OOSTERHOUT, A. J., AFFLECK, K., TIMENS, W., BRACKE, K. R., MAES, T., HEIJINK, I. H., BRANDSMA, C. A. &amp; VAN DEN BERGE, M. 2022. Identification of asthma-associated microRNAs in bronchial biopsies. </w:t>
      </w:r>
      <w:proofErr w:type="spellStart"/>
      <w:r w:rsidRPr="00330715">
        <w:t>Eur</w:t>
      </w:r>
      <w:proofErr w:type="spellEnd"/>
      <w:r w:rsidRPr="00330715">
        <w:t xml:space="preserve"> Respir J, 59.</w:t>
      </w:r>
    </w:p>
    <w:p w14:paraId="48FF5247" w14:textId="4056BC69" w:rsidR="00330715" w:rsidRDefault="00330715" w:rsidP="00AB46F2">
      <w:r w:rsidRPr="00330715">
        <w:lastRenderedPageBreak/>
        <w:t xml:space="preserve">SEWER, A., ZANETTI, F., ISKANDAR, A. R., GUEDJ, E., DULIZE, R., PERIC, D., BORNAND, D., MATHIS, C., MARTIN, F., IVANOV, N. V., PEITSCH, M. C. &amp; HOENG, J. 2020. A meta-analysis of microRNAs expressed in human aerodigestive epithelial cultures and their role as potential biomarkers of exposure response to nicotine-containing products. </w:t>
      </w:r>
      <w:proofErr w:type="spellStart"/>
      <w:r w:rsidRPr="00330715">
        <w:t>Toxicol</w:t>
      </w:r>
      <w:proofErr w:type="spellEnd"/>
      <w:r w:rsidRPr="00330715">
        <w:t xml:space="preserve"> Rep, 7, 1282-1295.</w:t>
      </w:r>
    </w:p>
    <w:p w14:paraId="0242419D" w14:textId="288B731F" w:rsidR="00330715" w:rsidRDefault="00330715" w:rsidP="00AB46F2">
      <w:r w:rsidRPr="00330715">
        <w:t xml:space="preserve">SHEN, K., WANG, X., WANG, Y., JIA, Y., ZHANG, Y., WANG, K., LUO, L., CAI, W., LI, J., LI, S., DU, Y., ZHANG, L., ZHANG, H., CHEN, Y., XU, C., ZHANG, J., WANG, R., YANG, X., WANG, Y. &amp; HU, D. 2023. miR-125b-5p in adipose derived stem cells exosome alleviates pulmonary microvascular endothelial cells ferroptosis via Keap1/Nrf2/GPX4 in sepsis lung injury. Redox </w:t>
      </w:r>
      <w:proofErr w:type="spellStart"/>
      <w:r w:rsidRPr="00330715">
        <w:t>Biol</w:t>
      </w:r>
      <w:proofErr w:type="spellEnd"/>
      <w:r w:rsidRPr="00330715">
        <w:t>, 62, 102655.</w:t>
      </w:r>
    </w:p>
    <w:p w14:paraId="1E1A9719" w14:textId="54AB7B45" w:rsidR="00330715" w:rsidRDefault="00330715" w:rsidP="00AB46F2">
      <w:r w:rsidRPr="00330715">
        <w:t>ZHOU, S., CHENG, W., LIU, Y., GAO, H., YU, L. &amp; ZENG, Y. 2024. MiR-125b-5p alleviates pulmonary fibrosis by inhibiting TGFβ1-mediated epithelial-mesenchymal transition via targeting BAK1. Respir Res, 25, 382.</w:t>
      </w:r>
    </w:p>
    <w:p w14:paraId="3BCA28FD" w14:textId="74C389F8" w:rsidR="00330715" w:rsidRDefault="00330715" w:rsidP="00AB46F2">
      <w:r w:rsidRPr="00330715">
        <w:t xml:space="preserve">ZHU, X., HE, L., LI, X., PEI, W., YANG, H., ZHONG, M., ZHANG, M., LV, K. &amp; ZHANG, Y. 2023. LncRNA AK089514/miR-125b-5p/TRAF6 axis mediates macrophage polarization in allergic asthma. BMC </w:t>
      </w:r>
      <w:proofErr w:type="spellStart"/>
      <w:r w:rsidRPr="00330715">
        <w:t>Pulm</w:t>
      </w:r>
      <w:proofErr w:type="spellEnd"/>
      <w:r w:rsidRPr="00330715">
        <w:t xml:space="preserve"> Med, 23, 45.</w:t>
      </w:r>
    </w:p>
    <w:p w14:paraId="2C359A36" w14:textId="77777777" w:rsidR="00330715" w:rsidRDefault="00330715" w:rsidP="00AB46F2"/>
    <w:p w14:paraId="71D235DF" w14:textId="4CCAA33C" w:rsidR="00330715" w:rsidRDefault="00330715" w:rsidP="00AB46F2">
      <w:pPr>
        <w:rPr>
          <w:b/>
          <w:bCs/>
        </w:rPr>
      </w:pPr>
      <w:r w:rsidRPr="00330715">
        <w:rPr>
          <w:b/>
          <w:bCs/>
        </w:rPr>
        <w:t xml:space="preserve">Supplementary Table </w:t>
      </w:r>
      <w:r>
        <w:rPr>
          <w:b/>
          <w:bCs/>
        </w:rPr>
        <w:t>6</w:t>
      </w:r>
    </w:p>
    <w:tbl>
      <w:tblPr>
        <w:tblStyle w:val="TableGrid"/>
        <w:tblW w:w="0" w:type="auto"/>
        <w:tblLook w:val="04A0" w:firstRow="1" w:lastRow="0" w:firstColumn="1" w:lastColumn="0" w:noHBand="0" w:noVBand="1"/>
      </w:tblPr>
      <w:tblGrid>
        <w:gridCol w:w="1053"/>
        <w:gridCol w:w="1681"/>
        <w:gridCol w:w="1585"/>
        <w:gridCol w:w="1639"/>
        <w:gridCol w:w="3535"/>
        <w:gridCol w:w="4455"/>
      </w:tblGrid>
      <w:tr w:rsidR="00330715" w14:paraId="13C9594C" w14:textId="77777777" w:rsidTr="00330715">
        <w:tc>
          <w:tcPr>
            <w:tcW w:w="1053" w:type="dxa"/>
            <w:shd w:val="clear" w:color="auto" w:fill="D9D9D9" w:themeFill="background1" w:themeFillShade="D9"/>
          </w:tcPr>
          <w:p w14:paraId="6BE5A52C" w14:textId="77777777" w:rsidR="00330715" w:rsidRPr="009524CB" w:rsidRDefault="00330715" w:rsidP="0091601B">
            <w:pPr>
              <w:rPr>
                <w:b/>
                <w:bCs/>
              </w:rPr>
            </w:pPr>
            <w:r w:rsidRPr="009524CB">
              <w:rPr>
                <w:b/>
                <w:bCs/>
              </w:rPr>
              <w:t>miRNA</w:t>
            </w:r>
          </w:p>
        </w:tc>
        <w:tc>
          <w:tcPr>
            <w:tcW w:w="1681" w:type="dxa"/>
            <w:shd w:val="clear" w:color="auto" w:fill="D9D9D9" w:themeFill="background1" w:themeFillShade="D9"/>
          </w:tcPr>
          <w:p w14:paraId="63FE8942" w14:textId="77777777" w:rsidR="00330715" w:rsidRPr="009524CB" w:rsidRDefault="00330715" w:rsidP="0091601B">
            <w:pPr>
              <w:rPr>
                <w:b/>
                <w:bCs/>
              </w:rPr>
            </w:pPr>
            <w:r w:rsidRPr="00967A39">
              <w:rPr>
                <w:b/>
                <w:bCs/>
              </w:rPr>
              <w:t>Biological process / function</w:t>
            </w:r>
          </w:p>
        </w:tc>
        <w:tc>
          <w:tcPr>
            <w:tcW w:w="1585" w:type="dxa"/>
            <w:shd w:val="clear" w:color="auto" w:fill="D9D9D9" w:themeFill="background1" w:themeFillShade="D9"/>
          </w:tcPr>
          <w:p w14:paraId="36E4A7FB" w14:textId="77777777" w:rsidR="00330715" w:rsidRPr="009524CB" w:rsidRDefault="00330715" w:rsidP="0091601B">
            <w:pPr>
              <w:rPr>
                <w:b/>
                <w:bCs/>
              </w:rPr>
            </w:pPr>
            <w:r w:rsidRPr="009524CB">
              <w:rPr>
                <w:b/>
                <w:bCs/>
              </w:rPr>
              <w:t>Disease / context</w:t>
            </w:r>
          </w:p>
        </w:tc>
        <w:tc>
          <w:tcPr>
            <w:tcW w:w="1639" w:type="dxa"/>
            <w:shd w:val="clear" w:color="auto" w:fill="D9D9D9" w:themeFill="background1" w:themeFillShade="D9"/>
          </w:tcPr>
          <w:p w14:paraId="7D0D1D73" w14:textId="77777777" w:rsidR="00330715" w:rsidRDefault="00330715" w:rsidP="0091601B">
            <w:pPr>
              <w:rPr>
                <w:b/>
                <w:bCs/>
              </w:rPr>
            </w:pPr>
            <w:r>
              <w:rPr>
                <w:b/>
                <w:bCs/>
              </w:rPr>
              <w:t>Search Keyword</w:t>
            </w:r>
          </w:p>
        </w:tc>
        <w:tc>
          <w:tcPr>
            <w:tcW w:w="3535" w:type="dxa"/>
            <w:shd w:val="clear" w:color="auto" w:fill="D9D9D9" w:themeFill="background1" w:themeFillShade="D9"/>
          </w:tcPr>
          <w:p w14:paraId="7B2FB9BD" w14:textId="77777777" w:rsidR="00330715" w:rsidRPr="009524CB" w:rsidRDefault="00330715" w:rsidP="0091601B">
            <w:pPr>
              <w:rPr>
                <w:b/>
                <w:bCs/>
              </w:rPr>
            </w:pPr>
            <w:r w:rsidRPr="00967A39">
              <w:rPr>
                <w:b/>
                <w:bCs/>
              </w:rPr>
              <w:t>Summary of reported findings</w:t>
            </w:r>
          </w:p>
        </w:tc>
        <w:tc>
          <w:tcPr>
            <w:tcW w:w="4455" w:type="dxa"/>
            <w:shd w:val="clear" w:color="auto" w:fill="D9D9D9" w:themeFill="background1" w:themeFillShade="D9"/>
          </w:tcPr>
          <w:p w14:paraId="70F57654" w14:textId="77777777" w:rsidR="00330715" w:rsidRPr="009524CB" w:rsidRDefault="00330715" w:rsidP="0091601B">
            <w:pPr>
              <w:rPr>
                <w:b/>
                <w:bCs/>
              </w:rPr>
            </w:pPr>
            <w:r w:rsidRPr="009524CB">
              <w:rPr>
                <w:b/>
                <w:bCs/>
              </w:rPr>
              <w:t>Reference(s)</w:t>
            </w:r>
          </w:p>
        </w:tc>
      </w:tr>
      <w:tr w:rsidR="00330715" w14:paraId="4ED02251" w14:textId="77777777" w:rsidTr="00330715">
        <w:tc>
          <w:tcPr>
            <w:tcW w:w="1053" w:type="dxa"/>
          </w:tcPr>
          <w:p w14:paraId="2E7377ED" w14:textId="77777777" w:rsidR="00330715" w:rsidRDefault="00330715" w:rsidP="0091601B">
            <w:r w:rsidRPr="00C42BE1">
              <w:rPr>
                <w:rFonts w:ascii="Aptos" w:eastAsia="Times New Roman" w:hAnsi="Aptos" w:cs="Calibri"/>
                <w:color w:val="000000"/>
                <w:lang w:eastAsia="en-GB"/>
              </w:rPr>
              <w:t>miR-574-5p</w:t>
            </w:r>
          </w:p>
        </w:tc>
        <w:tc>
          <w:tcPr>
            <w:tcW w:w="1681" w:type="dxa"/>
          </w:tcPr>
          <w:p w14:paraId="1ECC853C" w14:textId="77777777" w:rsidR="00330715" w:rsidRDefault="00330715" w:rsidP="0091601B">
            <w:r>
              <w:t>Immune regulation</w:t>
            </w:r>
          </w:p>
        </w:tc>
        <w:tc>
          <w:tcPr>
            <w:tcW w:w="1585" w:type="dxa"/>
          </w:tcPr>
          <w:p w14:paraId="272002E0" w14:textId="77777777" w:rsidR="00330715" w:rsidRDefault="00330715" w:rsidP="0091601B">
            <w:r>
              <w:t>Toll-like receptor</w:t>
            </w:r>
          </w:p>
        </w:tc>
        <w:tc>
          <w:tcPr>
            <w:tcW w:w="1639" w:type="dxa"/>
          </w:tcPr>
          <w:p w14:paraId="121B0812" w14:textId="77777777" w:rsidR="00330715" w:rsidRDefault="00330715" w:rsidP="0091601B">
            <w:r>
              <w:t>Immune, inflammation</w:t>
            </w:r>
          </w:p>
        </w:tc>
        <w:tc>
          <w:tcPr>
            <w:tcW w:w="3535" w:type="dxa"/>
          </w:tcPr>
          <w:p w14:paraId="321152F6" w14:textId="77777777" w:rsidR="00330715" w:rsidRDefault="00330715" w:rsidP="0091601B">
            <w:pPr>
              <w:rPr>
                <w:rFonts w:ascii="Aptos" w:eastAsia="Times New Roman" w:hAnsi="Aptos" w:cs="Calibri"/>
                <w:color w:val="000000"/>
                <w:lang w:eastAsia="en-GB"/>
              </w:rPr>
            </w:pPr>
            <w:r w:rsidRPr="00C42BE1">
              <w:rPr>
                <w:rFonts w:ascii="Aptos" w:eastAsia="Times New Roman" w:hAnsi="Aptos" w:cs="Calibri"/>
                <w:color w:val="000000"/>
                <w:lang w:eastAsia="en-GB"/>
              </w:rPr>
              <w:t>miR-574-5p</w:t>
            </w:r>
            <w:r>
              <w:rPr>
                <w:rFonts w:ascii="Aptos" w:eastAsia="Times New Roman" w:hAnsi="Aptos" w:cs="Calibri"/>
                <w:color w:val="000000"/>
                <w:lang w:eastAsia="en-GB"/>
              </w:rPr>
              <w:t xml:space="preserve"> regulates TLR8/7, with signalling abnormalities associated with autoimmune diseases (e.g., lupus) and inflammation-related cancers, and neonatal respiratory distress syndrome via interactions with </w:t>
            </w:r>
            <w:r w:rsidRPr="00D5221A">
              <w:rPr>
                <w:rFonts w:ascii="Aptos" w:eastAsia="Times New Roman" w:hAnsi="Aptos" w:cs="Calibri"/>
                <w:color w:val="000000"/>
                <w:lang w:eastAsia="en-GB"/>
              </w:rPr>
              <w:t>RAB10</w:t>
            </w:r>
            <w:r>
              <w:rPr>
                <w:rFonts w:ascii="Aptos" w:eastAsia="Times New Roman" w:hAnsi="Aptos" w:cs="Calibri"/>
                <w:color w:val="000000"/>
                <w:lang w:eastAsia="en-GB"/>
              </w:rPr>
              <w:t>.</w:t>
            </w:r>
          </w:p>
          <w:p w14:paraId="5DA87897" w14:textId="77777777" w:rsidR="00330715" w:rsidRDefault="00330715" w:rsidP="0091601B">
            <w:pPr>
              <w:rPr>
                <w:rFonts w:ascii="Aptos" w:eastAsia="Times New Roman" w:hAnsi="Aptos" w:cs="Calibri"/>
                <w:color w:val="000000"/>
                <w:lang w:eastAsia="en-GB"/>
              </w:rPr>
            </w:pPr>
          </w:p>
          <w:p w14:paraId="23270ECD" w14:textId="77777777" w:rsidR="00330715" w:rsidRDefault="00330715" w:rsidP="0091601B"/>
        </w:tc>
        <w:tc>
          <w:tcPr>
            <w:tcW w:w="4455" w:type="dxa"/>
          </w:tcPr>
          <w:p w14:paraId="2C6F8F10" w14:textId="77777777" w:rsidR="00330715" w:rsidRDefault="00330715" w:rsidP="0091601B">
            <w:r>
              <w:t>Yang, 2024; Wang et al., 2024; Ji et al., 2026</w:t>
            </w:r>
          </w:p>
        </w:tc>
      </w:tr>
      <w:tr w:rsidR="00330715" w14:paraId="37CC9CDF" w14:textId="77777777" w:rsidTr="00330715">
        <w:tc>
          <w:tcPr>
            <w:tcW w:w="1053" w:type="dxa"/>
          </w:tcPr>
          <w:p w14:paraId="21C15E89" w14:textId="77777777" w:rsidR="00330715" w:rsidRDefault="00330715" w:rsidP="0091601B">
            <w:r w:rsidRPr="00C42BE1">
              <w:rPr>
                <w:rFonts w:ascii="Aptos" w:eastAsia="Times New Roman" w:hAnsi="Aptos" w:cs="Calibri"/>
                <w:color w:val="000000"/>
                <w:lang w:eastAsia="en-GB"/>
              </w:rPr>
              <w:lastRenderedPageBreak/>
              <w:t>miR-574-5p</w:t>
            </w:r>
          </w:p>
        </w:tc>
        <w:tc>
          <w:tcPr>
            <w:tcW w:w="1681" w:type="dxa"/>
          </w:tcPr>
          <w:p w14:paraId="125470D5" w14:textId="77777777" w:rsidR="00330715" w:rsidRDefault="00330715" w:rsidP="0091601B">
            <w:r>
              <w:t xml:space="preserve">Regulation of epithelial-mesenchymal transition </w:t>
            </w:r>
          </w:p>
        </w:tc>
        <w:tc>
          <w:tcPr>
            <w:tcW w:w="1585" w:type="dxa"/>
          </w:tcPr>
          <w:p w14:paraId="4C7964A9" w14:textId="77777777" w:rsidR="00330715" w:rsidRDefault="00330715" w:rsidP="0091601B">
            <w:r>
              <w:t>Small cell lung cancer</w:t>
            </w:r>
          </w:p>
        </w:tc>
        <w:tc>
          <w:tcPr>
            <w:tcW w:w="1639" w:type="dxa"/>
          </w:tcPr>
          <w:p w14:paraId="68177398" w14:textId="77777777" w:rsidR="00330715" w:rsidRDefault="00330715" w:rsidP="0091601B">
            <w:r>
              <w:t>Epithelial</w:t>
            </w:r>
          </w:p>
        </w:tc>
        <w:tc>
          <w:tcPr>
            <w:tcW w:w="3535" w:type="dxa"/>
          </w:tcPr>
          <w:p w14:paraId="66BA8401" w14:textId="77777777" w:rsidR="00330715" w:rsidRDefault="00330715" w:rsidP="0091601B">
            <w:r w:rsidRPr="00C42BE1">
              <w:rPr>
                <w:rFonts w:ascii="Aptos" w:eastAsia="Times New Roman" w:hAnsi="Aptos" w:cs="Calibri"/>
                <w:color w:val="000000"/>
                <w:lang w:eastAsia="en-GB"/>
              </w:rPr>
              <w:t>miR-574-5p</w:t>
            </w:r>
            <w:r>
              <w:rPr>
                <w:rFonts w:ascii="Aptos" w:eastAsia="Times New Roman" w:hAnsi="Aptos" w:cs="Calibri"/>
                <w:color w:val="000000"/>
                <w:lang w:eastAsia="en-GB"/>
              </w:rPr>
              <w:t xml:space="preserve"> binds directly to vimentin to potentially mediate the epithelial-mesenchymal transition in small cell lung cancer.</w:t>
            </w:r>
          </w:p>
        </w:tc>
        <w:tc>
          <w:tcPr>
            <w:tcW w:w="4455" w:type="dxa"/>
          </w:tcPr>
          <w:p w14:paraId="1C6708E3" w14:textId="77777777" w:rsidR="00330715" w:rsidRPr="005A6B1F" w:rsidRDefault="00330715" w:rsidP="0091601B">
            <w:r>
              <w:t>Sun et al., 2021</w:t>
            </w:r>
          </w:p>
        </w:tc>
      </w:tr>
      <w:tr w:rsidR="00330715" w14:paraId="1F1204D5" w14:textId="77777777" w:rsidTr="00330715">
        <w:tc>
          <w:tcPr>
            <w:tcW w:w="1053" w:type="dxa"/>
          </w:tcPr>
          <w:p w14:paraId="3FAAD786" w14:textId="77777777" w:rsidR="00330715" w:rsidRDefault="00330715" w:rsidP="0091601B">
            <w:r w:rsidRPr="00C42BE1">
              <w:rPr>
                <w:rFonts w:ascii="Aptos" w:eastAsia="Times New Roman" w:hAnsi="Aptos" w:cs="Calibri"/>
                <w:color w:val="000000"/>
                <w:lang w:eastAsia="en-GB"/>
              </w:rPr>
              <w:t>miR-574-5p</w:t>
            </w:r>
          </w:p>
        </w:tc>
        <w:tc>
          <w:tcPr>
            <w:tcW w:w="1681" w:type="dxa"/>
          </w:tcPr>
          <w:p w14:paraId="181B1895" w14:textId="77777777" w:rsidR="00330715" w:rsidRDefault="00330715" w:rsidP="0091601B">
            <w:r>
              <w:t>Extracellular vesicle signalling</w:t>
            </w:r>
          </w:p>
        </w:tc>
        <w:tc>
          <w:tcPr>
            <w:tcW w:w="1585" w:type="dxa"/>
          </w:tcPr>
          <w:p w14:paraId="628ACAFE" w14:textId="77777777" w:rsidR="00330715" w:rsidRDefault="00330715" w:rsidP="0091601B">
            <w:r>
              <w:t>Extracellular vesicles</w:t>
            </w:r>
          </w:p>
        </w:tc>
        <w:tc>
          <w:tcPr>
            <w:tcW w:w="1639" w:type="dxa"/>
          </w:tcPr>
          <w:p w14:paraId="019A5B54" w14:textId="77777777" w:rsidR="00330715" w:rsidRDefault="00330715" w:rsidP="0091601B">
            <w:r>
              <w:t>Extracellular vesicle</w:t>
            </w:r>
          </w:p>
        </w:tc>
        <w:tc>
          <w:tcPr>
            <w:tcW w:w="3535" w:type="dxa"/>
          </w:tcPr>
          <w:p w14:paraId="19AE4BF5" w14:textId="77777777" w:rsidR="00330715" w:rsidRPr="00EC2505" w:rsidRDefault="00330715" w:rsidP="0091601B">
            <w:r>
              <w:t xml:space="preserve">Small extracellular vesicles transfer </w:t>
            </w:r>
            <w:r w:rsidRPr="00EC2505">
              <w:t>miR</w:t>
            </w:r>
            <w:r w:rsidRPr="00EC2505">
              <w:rPr>
                <w:rFonts w:ascii="Cambria Math" w:hAnsi="Cambria Math" w:cs="Cambria Math"/>
              </w:rPr>
              <w:t>‐</w:t>
            </w:r>
            <w:r w:rsidRPr="00EC2505">
              <w:t>574</w:t>
            </w:r>
            <w:r w:rsidRPr="00EC2505">
              <w:rPr>
                <w:rFonts w:ascii="Cambria Math" w:hAnsi="Cambria Math" w:cs="Cambria Math"/>
              </w:rPr>
              <w:t>‐</w:t>
            </w:r>
            <w:r w:rsidRPr="00EC2505">
              <w:t>5p</w:t>
            </w:r>
            <w:r>
              <w:t xml:space="preserve"> to activate TLR7/8 and regulate prostaglandin E</w:t>
            </w:r>
            <w:r>
              <w:rPr>
                <w:vertAlign w:val="subscript"/>
              </w:rPr>
              <w:t>2</w:t>
            </w:r>
            <w:r>
              <w:t xml:space="preserve"> in adenocarcinoma.</w:t>
            </w:r>
          </w:p>
        </w:tc>
        <w:tc>
          <w:tcPr>
            <w:tcW w:w="4455" w:type="dxa"/>
          </w:tcPr>
          <w:p w14:paraId="4EA4B073" w14:textId="77777777" w:rsidR="00330715" w:rsidRPr="005A6B1F" w:rsidRDefault="00330715" w:rsidP="0091601B">
            <w:r>
              <w:t>Donzelli et al., 2021</w:t>
            </w:r>
          </w:p>
        </w:tc>
      </w:tr>
    </w:tbl>
    <w:p w14:paraId="35019746" w14:textId="77777777" w:rsidR="00330715" w:rsidRDefault="00330715" w:rsidP="00AB46F2">
      <w:pPr>
        <w:rPr>
          <w:b/>
          <w:bCs/>
        </w:rPr>
      </w:pPr>
    </w:p>
    <w:p w14:paraId="0D4B0518" w14:textId="30745FE3" w:rsidR="00330715" w:rsidRDefault="00330715" w:rsidP="00AB46F2">
      <w:pPr>
        <w:rPr>
          <w:b/>
          <w:bCs/>
        </w:rPr>
      </w:pPr>
      <w:r w:rsidRPr="00330715">
        <w:t>References</w:t>
      </w:r>
      <w:r w:rsidRPr="00330715">
        <w:rPr>
          <w:b/>
          <w:bCs/>
        </w:rPr>
        <w:t>:</w:t>
      </w:r>
    </w:p>
    <w:p w14:paraId="44F9B180" w14:textId="6ADDAA64" w:rsidR="00330715" w:rsidRPr="00330715" w:rsidRDefault="00330715" w:rsidP="00AB46F2">
      <w:r w:rsidRPr="00330715">
        <w:t xml:space="preserve">DONZELLI, J., PROESTLER, E., RIEDEL, A., NEVERMANN, S., HERTEL, B., GUENTHER, A., </w:t>
      </w:r>
      <w:proofErr w:type="spellStart"/>
      <w:r w:rsidRPr="00330715">
        <w:t>GATTENLöHNER</w:t>
      </w:r>
      <w:proofErr w:type="spellEnd"/>
      <w:r w:rsidRPr="00330715">
        <w:t xml:space="preserve">, S., SAVAI, R., LARSSON, K. &amp; SAUL, M. J. 2021. Small extracellular vesicle-derived miR-574-5p regulates PGE2-biosynthesis via TLR7/8 in lung cancer. J </w:t>
      </w:r>
      <w:proofErr w:type="spellStart"/>
      <w:r w:rsidRPr="00330715">
        <w:t>Extracell</w:t>
      </w:r>
      <w:proofErr w:type="spellEnd"/>
      <w:r w:rsidRPr="00330715">
        <w:t xml:space="preserve"> Vesicles, 10, e12143.</w:t>
      </w:r>
    </w:p>
    <w:p w14:paraId="00099B8A" w14:textId="34F4400E" w:rsidR="00330715" w:rsidRPr="00330715" w:rsidRDefault="00330715" w:rsidP="00AB46F2">
      <w:r w:rsidRPr="00330715">
        <w:t>JI, Y., ZHOU, Y., DENG, L. &amp; HU, T. 2026. The downregulation of RAB10 by miR-574-5p alleviates the inflammatory response in neonatal respiratory distress syndrome. Exp Lung Res, 52, 58-71.</w:t>
      </w:r>
    </w:p>
    <w:p w14:paraId="4CE9FE48" w14:textId="34BF5E3D" w:rsidR="00330715" w:rsidRPr="00330715" w:rsidRDefault="00330715" w:rsidP="00AB46F2">
      <w:r w:rsidRPr="00330715">
        <w:t>SUN, Y., YI, Y., GAN, S., YE, R., HUANG, C., LI, M., HUANG, J. &amp; GUO, Y. 2021. miR-574-5p mediates epithelial-mesenchymal transition in small cell lung cancer by targeting vimentin via a competitive endogenous RNA network. Oncol Lett, 21, 459.</w:t>
      </w:r>
    </w:p>
    <w:p w14:paraId="0BAF76CE" w14:textId="08A5B877" w:rsidR="00330715" w:rsidRPr="00330715" w:rsidRDefault="00330715" w:rsidP="00AB46F2">
      <w:r w:rsidRPr="00330715">
        <w:t xml:space="preserve">WANG, T., SONG, D., LI, X., LUO, Y., YANG, D., LIU, X., KONG, X., XING, Y., BI, S., ZHANG, Y., HU, T., ZHANG, Y., DAI, S., SHAO, Z., CHEN, D., HOU, J., BALLESTAR, E., CAI, J., ZHENG, F. &amp; YANG, J. Y. 2024. MiR-574-5p activates human TLR8 to promote autoimmune </w:t>
      </w:r>
      <w:proofErr w:type="spellStart"/>
      <w:r w:rsidRPr="00330715">
        <w:t>signaling</w:t>
      </w:r>
      <w:proofErr w:type="spellEnd"/>
      <w:r w:rsidRPr="00330715">
        <w:t xml:space="preserve"> and lupus. Cell Commun Signal, 22, 220.</w:t>
      </w:r>
    </w:p>
    <w:p w14:paraId="6AC07644" w14:textId="360C427E" w:rsidR="00330715" w:rsidRPr="00330715" w:rsidRDefault="00330715" w:rsidP="00AB46F2">
      <w:r w:rsidRPr="00330715">
        <w:t xml:space="preserve">YANG, J. Y. 2024. miR-574-5p in epigenetic regulation and Toll-like receptor </w:t>
      </w:r>
      <w:proofErr w:type="spellStart"/>
      <w:r w:rsidRPr="00330715">
        <w:t>signaling</w:t>
      </w:r>
      <w:proofErr w:type="spellEnd"/>
      <w:r w:rsidRPr="00330715">
        <w:t>. Cell Commun Signal, 22, 567.</w:t>
      </w:r>
    </w:p>
    <w:sectPr w:rsidR="00330715" w:rsidRPr="00330715" w:rsidSect="00330715">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DEC6302" w14:textId="77777777" w:rsidR="007D551E" w:rsidRDefault="007D551E" w:rsidP="0003677C">
      <w:pPr>
        <w:spacing w:after="0" w:line="240" w:lineRule="auto"/>
      </w:pPr>
      <w:r>
        <w:separator/>
      </w:r>
    </w:p>
  </w:endnote>
  <w:endnote w:type="continuationSeparator" w:id="0">
    <w:p w14:paraId="162973CD" w14:textId="77777777" w:rsidR="007D551E" w:rsidRDefault="007D551E" w:rsidP="000367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ヒラギノ角ゴ Pro W3">
    <w:panose1 w:val="020B0604020202020204"/>
    <w:charset w:val="00"/>
    <w:family w:val="roman"/>
    <w:pitch w:val="default"/>
  </w:font>
  <w:font w:name="Verdana Bold">
    <w:altName w:val="Verdana"/>
    <w:panose1 w:val="020B0604020202020204"/>
    <w:charset w:val="00"/>
    <w:family w:val="roman"/>
    <w:pitch w:val="default"/>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277454047"/>
      <w:docPartObj>
        <w:docPartGallery w:val="Page Numbers (Bottom of Page)"/>
        <w:docPartUnique/>
      </w:docPartObj>
    </w:sdtPr>
    <w:sdtContent>
      <w:p w14:paraId="4F714717" w14:textId="57139A48" w:rsidR="00B823B8" w:rsidRDefault="00B823B8" w:rsidP="0003199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980DB7E" w14:textId="77777777" w:rsidR="00B823B8" w:rsidRDefault="00B823B8" w:rsidP="00B823B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552915854"/>
      <w:docPartObj>
        <w:docPartGallery w:val="Page Numbers (Bottom of Page)"/>
        <w:docPartUnique/>
      </w:docPartObj>
    </w:sdtPr>
    <w:sdtContent>
      <w:p w14:paraId="7FE0FFE5" w14:textId="0B7BD615" w:rsidR="00B823B8" w:rsidRDefault="00B823B8" w:rsidP="0003199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1449A51" w14:textId="77777777" w:rsidR="00B823B8" w:rsidRDefault="00B823B8" w:rsidP="00B823B8">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886719239"/>
      <w:docPartObj>
        <w:docPartGallery w:val="Page Numbers (Bottom of Page)"/>
        <w:docPartUnique/>
      </w:docPartObj>
    </w:sdtPr>
    <w:sdtContent>
      <w:p w14:paraId="01A868E3" w14:textId="215B547F" w:rsidR="0003677C" w:rsidRDefault="0003677C" w:rsidP="0003199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97892E6" w14:textId="77777777" w:rsidR="0003677C" w:rsidRDefault="0003677C" w:rsidP="0003677C">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925559736"/>
      <w:docPartObj>
        <w:docPartGallery w:val="Page Numbers (Bottom of Page)"/>
        <w:docPartUnique/>
      </w:docPartObj>
    </w:sdtPr>
    <w:sdtContent>
      <w:p w14:paraId="480DC5F0" w14:textId="0695886B" w:rsidR="0003677C" w:rsidRDefault="0003677C" w:rsidP="0003199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BD9A7F8" w14:textId="77777777" w:rsidR="0003677C" w:rsidRDefault="0003677C" w:rsidP="0003677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FD74430" w14:textId="77777777" w:rsidR="007D551E" w:rsidRDefault="007D551E" w:rsidP="0003677C">
      <w:pPr>
        <w:spacing w:after="0" w:line="240" w:lineRule="auto"/>
      </w:pPr>
      <w:r>
        <w:separator/>
      </w:r>
    </w:p>
  </w:footnote>
  <w:footnote w:type="continuationSeparator" w:id="0">
    <w:p w14:paraId="1381E0BF" w14:textId="77777777" w:rsidR="007D551E" w:rsidRDefault="007D551E" w:rsidP="000367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B3129C"/>
    <w:multiLevelType w:val="hybridMultilevel"/>
    <w:tmpl w:val="0F520656"/>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3B6455F"/>
    <w:multiLevelType w:val="hybridMultilevel"/>
    <w:tmpl w:val="988010F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D3433B1"/>
    <w:multiLevelType w:val="hybridMultilevel"/>
    <w:tmpl w:val="767CD31E"/>
    <w:lvl w:ilvl="0" w:tplc="08090011">
      <w:start w:val="1"/>
      <w:numFmt w:val="decimal"/>
      <w:lvlText w:val="%1)"/>
      <w:lvlJc w:val="left"/>
      <w:pPr>
        <w:ind w:left="1571" w:hanging="360"/>
      </w:pPr>
    </w:lvl>
    <w:lvl w:ilvl="1" w:tplc="08090019" w:tentative="1">
      <w:start w:val="1"/>
      <w:numFmt w:val="lowerLetter"/>
      <w:lvlText w:val="%2."/>
      <w:lvlJc w:val="left"/>
      <w:pPr>
        <w:ind w:left="2291" w:hanging="360"/>
      </w:pPr>
    </w:lvl>
    <w:lvl w:ilvl="2" w:tplc="0809001B" w:tentative="1">
      <w:start w:val="1"/>
      <w:numFmt w:val="lowerRoman"/>
      <w:lvlText w:val="%3."/>
      <w:lvlJc w:val="right"/>
      <w:pPr>
        <w:ind w:left="3011" w:hanging="180"/>
      </w:pPr>
    </w:lvl>
    <w:lvl w:ilvl="3" w:tplc="0809000F" w:tentative="1">
      <w:start w:val="1"/>
      <w:numFmt w:val="decimal"/>
      <w:lvlText w:val="%4."/>
      <w:lvlJc w:val="left"/>
      <w:pPr>
        <w:ind w:left="3731" w:hanging="360"/>
      </w:pPr>
    </w:lvl>
    <w:lvl w:ilvl="4" w:tplc="08090019" w:tentative="1">
      <w:start w:val="1"/>
      <w:numFmt w:val="lowerLetter"/>
      <w:lvlText w:val="%5."/>
      <w:lvlJc w:val="left"/>
      <w:pPr>
        <w:ind w:left="4451" w:hanging="360"/>
      </w:pPr>
    </w:lvl>
    <w:lvl w:ilvl="5" w:tplc="0809001B" w:tentative="1">
      <w:start w:val="1"/>
      <w:numFmt w:val="lowerRoman"/>
      <w:lvlText w:val="%6."/>
      <w:lvlJc w:val="right"/>
      <w:pPr>
        <w:ind w:left="5171" w:hanging="180"/>
      </w:pPr>
    </w:lvl>
    <w:lvl w:ilvl="6" w:tplc="0809000F" w:tentative="1">
      <w:start w:val="1"/>
      <w:numFmt w:val="decimal"/>
      <w:lvlText w:val="%7."/>
      <w:lvlJc w:val="left"/>
      <w:pPr>
        <w:ind w:left="5891" w:hanging="360"/>
      </w:pPr>
    </w:lvl>
    <w:lvl w:ilvl="7" w:tplc="08090019" w:tentative="1">
      <w:start w:val="1"/>
      <w:numFmt w:val="lowerLetter"/>
      <w:lvlText w:val="%8."/>
      <w:lvlJc w:val="left"/>
      <w:pPr>
        <w:ind w:left="6611" w:hanging="360"/>
      </w:pPr>
    </w:lvl>
    <w:lvl w:ilvl="8" w:tplc="0809001B" w:tentative="1">
      <w:start w:val="1"/>
      <w:numFmt w:val="lowerRoman"/>
      <w:lvlText w:val="%9."/>
      <w:lvlJc w:val="right"/>
      <w:pPr>
        <w:ind w:left="7331" w:hanging="180"/>
      </w:pPr>
    </w:lvl>
  </w:abstractNum>
  <w:abstractNum w:abstractNumId="3" w15:restartNumberingAfterBreak="0">
    <w:nsid w:val="762E0FF9"/>
    <w:multiLevelType w:val="hybridMultilevel"/>
    <w:tmpl w:val="DBA26A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16587201">
    <w:abstractNumId w:val="3"/>
  </w:num>
  <w:num w:numId="2" w16cid:durableId="2125885894">
    <w:abstractNumId w:val="0"/>
  </w:num>
  <w:num w:numId="3" w16cid:durableId="1532064723">
    <w:abstractNumId w:val="1"/>
  </w:num>
  <w:num w:numId="4" w16cid:durableId="1734543506">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486"/>
    <w:rsid w:val="00001138"/>
    <w:rsid w:val="00004A7B"/>
    <w:rsid w:val="000062C5"/>
    <w:rsid w:val="000075EF"/>
    <w:rsid w:val="000100B9"/>
    <w:rsid w:val="0001038A"/>
    <w:rsid w:val="00014F98"/>
    <w:rsid w:val="0002196B"/>
    <w:rsid w:val="00023CAE"/>
    <w:rsid w:val="00030347"/>
    <w:rsid w:val="0003677C"/>
    <w:rsid w:val="00040507"/>
    <w:rsid w:val="00047129"/>
    <w:rsid w:val="00063712"/>
    <w:rsid w:val="0006745F"/>
    <w:rsid w:val="000751C6"/>
    <w:rsid w:val="00082FEE"/>
    <w:rsid w:val="00087674"/>
    <w:rsid w:val="000A2124"/>
    <w:rsid w:val="000A2214"/>
    <w:rsid w:val="000A412F"/>
    <w:rsid w:val="000B1E19"/>
    <w:rsid w:val="000B4FFF"/>
    <w:rsid w:val="000B6A1D"/>
    <w:rsid w:val="000C0C98"/>
    <w:rsid w:val="000C37ED"/>
    <w:rsid w:val="000C3A29"/>
    <w:rsid w:val="000C6934"/>
    <w:rsid w:val="000D0304"/>
    <w:rsid w:val="000D0EB8"/>
    <w:rsid w:val="000D24C0"/>
    <w:rsid w:val="000D2C3E"/>
    <w:rsid w:val="000D50AF"/>
    <w:rsid w:val="000E30ED"/>
    <w:rsid w:val="000E6C77"/>
    <w:rsid w:val="00100920"/>
    <w:rsid w:val="001025FB"/>
    <w:rsid w:val="001028CC"/>
    <w:rsid w:val="0010345C"/>
    <w:rsid w:val="00121055"/>
    <w:rsid w:val="00121CBD"/>
    <w:rsid w:val="001233F3"/>
    <w:rsid w:val="0012484D"/>
    <w:rsid w:val="0013173A"/>
    <w:rsid w:val="0013211E"/>
    <w:rsid w:val="00134F1B"/>
    <w:rsid w:val="00135299"/>
    <w:rsid w:val="00142A6D"/>
    <w:rsid w:val="00151ADF"/>
    <w:rsid w:val="00152EAF"/>
    <w:rsid w:val="00154771"/>
    <w:rsid w:val="001622FB"/>
    <w:rsid w:val="0016350A"/>
    <w:rsid w:val="00164445"/>
    <w:rsid w:val="00166B9B"/>
    <w:rsid w:val="00180574"/>
    <w:rsid w:val="00186C80"/>
    <w:rsid w:val="001910DF"/>
    <w:rsid w:val="0019269E"/>
    <w:rsid w:val="00194B2E"/>
    <w:rsid w:val="001961BF"/>
    <w:rsid w:val="001A19CE"/>
    <w:rsid w:val="001C1143"/>
    <w:rsid w:val="001C1675"/>
    <w:rsid w:val="001C4D12"/>
    <w:rsid w:val="001C5A09"/>
    <w:rsid w:val="001D63A9"/>
    <w:rsid w:val="001E0E43"/>
    <w:rsid w:val="001E357F"/>
    <w:rsid w:val="001F243D"/>
    <w:rsid w:val="0023299A"/>
    <w:rsid w:val="00243F62"/>
    <w:rsid w:val="002564F5"/>
    <w:rsid w:val="00257F5E"/>
    <w:rsid w:val="00263D1F"/>
    <w:rsid w:val="0026566B"/>
    <w:rsid w:val="0027533F"/>
    <w:rsid w:val="00297183"/>
    <w:rsid w:val="002A28C6"/>
    <w:rsid w:val="002A6713"/>
    <w:rsid w:val="002A68A1"/>
    <w:rsid w:val="002C17AE"/>
    <w:rsid w:val="002C3FBA"/>
    <w:rsid w:val="002C65DC"/>
    <w:rsid w:val="002C6D40"/>
    <w:rsid w:val="002D1E9B"/>
    <w:rsid w:val="002D28C2"/>
    <w:rsid w:val="002D3B3A"/>
    <w:rsid w:val="002D3E00"/>
    <w:rsid w:val="002D4C98"/>
    <w:rsid w:val="002D6491"/>
    <w:rsid w:val="002E718F"/>
    <w:rsid w:val="002F0646"/>
    <w:rsid w:val="002F083A"/>
    <w:rsid w:val="002F27D0"/>
    <w:rsid w:val="0030365D"/>
    <w:rsid w:val="003121FA"/>
    <w:rsid w:val="00314F62"/>
    <w:rsid w:val="003151AB"/>
    <w:rsid w:val="00330715"/>
    <w:rsid w:val="0033757A"/>
    <w:rsid w:val="003531C6"/>
    <w:rsid w:val="00353EBB"/>
    <w:rsid w:val="003548AD"/>
    <w:rsid w:val="00361B9E"/>
    <w:rsid w:val="003808DD"/>
    <w:rsid w:val="00382C27"/>
    <w:rsid w:val="00384E01"/>
    <w:rsid w:val="00397E4D"/>
    <w:rsid w:val="003A7BB1"/>
    <w:rsid w:val="003B038C"/>
    <w:rsid w:val="003B0808"/>
    <w:rsid w:val="003B1082"/>
    <w:rsid w:val="003B459C"/>
    <w:rsid w:val="003B5CE7"/>
    <w:rsid w:val="003C2804"/>
    <w:rsid w:val="003C7AAA"/>
    <w:rsid w:val="003D2EEB"/>
    <w:rsid w:val="003D4F05"/>
    <w:rsid w:val="003F128A"/>
    <w:rsid w:val="003F27D5"/>
    <w:rsid w:val="003F4098"/>
    <w:rsid w:val="00400932"/>
    <w:rsid w:val="004011A9"/>
    <w:rsid w:val="00405032"/>
    <w:rsid w:val="00412B7F"/>
    <w:rsid w:val="00413B9B"/>
    <w:rsid w:val="00414B37"/>
    <w:rsid w:val="0041709D"/>
    <w:rsid w:val="00417C27"/>
    <w:rsid w:val="00423C1B"/>
    <w:rsid w:val="0042769D"/>
    <w:rsid w:val="00427A72"/>
    <w:rsid w:val="004322CE"/>
    <w:rsid w:val="00440941"/>
    <w:rsid w:val="00450FA6"/>
    <w:rsid w:val="0045640B"/>
    <w:rsid w:val="00460240"/>
    <w:rsid w:val="00460744"/>
    <w:rsid w:val="0046118D"/>
    <w:rsid w:val="004614FA"/>
    <w:rsid w:val="0046190D"/>
    <w:rsid w:val="00467531"/>
    <w:rsid w:val="0047035E"/>
    <w:rsid w:val="004713FC"/>
    <w:rsid w:val="00473F94"/>
    <w:rsid w:val="0048054B"/>
    <w:rsid w:val="00483BAA"/>
    <w:rsid w:val="004867A1"/>
    <w:rsid w:val="0049100A"/>
    <w:rsid w:val="00492298"/>
    <w:rsid w:val="00497BEF"/>
    <w:rsid w:val="004A33CC"/>
    <w:rsid w:val="004B2AB1"/>
    <w:rsid w:val="004C046D"/>
    <w:rsid w:val="004C0F98"/>
    <w:rsid w:val="004C1D56"/>
    <w:rsid w:val="004C381F"/>
    <w:rsid w:val="004C52FE"/>
    <w:rsid w:val="004D477C"/>
    <w:rsid w:val="004D5A8D"/>
    <w:rsid w:val="004E0FFA"/>
    <w:rsid w:val="004E603C"/>
    <w:rsid w:val="004F29DB"/>
    <w:rsid w:val="00500F65"/>
    <w:rsid w:val="00505768"/>
    <w:rsid w:val="0051170F"/>
    <w:rsid w:val="00517147"/>
    <w:rsid w:val="00517496"/>
    <w:rsid w:val="005227DE"/>
    <w:rsid w:val="00541A6D"/>
    <w:rsid w:val="00543DBF"/>
    <w:rsid w:val="005465FF"/>
    <w:rsid w:val="005505AC"/>
    <w:rsid w:val="005508BC"/>
    <w:rsid w:val="005524A2"/>
    <w:rsid w:val="00553F9E"/>
    <w:rsid w:val="0055642F"/>
    <w:rsid w:val="0056176D"/>
    <w:rsid w:val="0056269E"/>
    <w:rsid w:val="00567FB2"/>
    <w:rsid w:val="00576C23"/>
    <w:rsid w:val="005870FD"/>
    <w:rsid w:val="00596FC0"/>
    <w:rsid w:val="005A26A8"/>
    <w:rsid w:val="005A5DE2"/>
    <w:rsid w:val="005B1175"/>
    <w:rsid w:val="005B192A"/>
    <w:rsid w:val="005B44CB"/>
    <w:rsid w:val="005B467C"/>
    <w:rsid w:val="005C267B"/>
    <w:rsid w:val="005C2B43"/>
    <w:rsid w:val="005C453C"/>
    <w:rsid w:val="005C6D20"/>
    <w:rsid w:val="005D3ECB"/>
    <w:rsid w:val="005D6DD8"/>
    <w:rsid w:val="005E3D8D"/>
    <w:rsid w:val="00602381"/>
    <w:rsid w:val="00606721"/>
    <w:rsid w:val="006174CC"/>
    <w:rsid w:val="006213D8"/>
    <w:rsid w:val="00621C88"/>
    <w:rsid w:val="00626607"/>
    <w:rsid w:val="006279E8"/>
    <w:rsid w:val="0063375F"/>
    <w:rsid w:val="00640210"/>
    <w:rsid w:val="00640B9C"/>
    <w:rsid w:val="00650AAB"/>
    <w:rsid w:val="006549B7"/>
    <w:rsid w:val="00657B75"/>
    <w:rsid w:val="00664A8D"/>
    <w:rsid w:val="0068162F"/>
    <w:rsid w:val="0068495B"/>
    <w:rsid w:val="00692892"/>
    <w:rsid w:val="0069763A"/>
    <w:rsid w:val="006A176A"/>
    <w:rsid w:val="006A3352"/>
    <w:rsid w:val="006B651A"/>
    <w:rsid w:val="006C1EC5"/>
    <w:rsid w:val="006C1F13"/>
    <w:rsid w:val="006E0112"/>
    <w:rsid w:val="006E1EA2"/>
    <w:rsid w:val="006F0B33"/>
    <w:rsid w:val="006F5D9C"/>
    <w:rsid w:val="00703510"/>
    <w:rsid w:val="007073B3"/>
    <w:rsid w:val="00727835"/>
    <w:rsid w:val="00727F9B"/>
    <w:rsid w:val="00731925"/>
    <w:rsid w:val="00735691"/>
    <w:rsid w:val="0075162F"/>
    <w:rsid w:val="00756FD1"/>
    <w:rsid w:val="00757A2B"/>
    <w:rsid w:val="00760F8C"/>
    <w:rsid w:val="0076122F"/>
    <w:rsid w:val="00770812"/>
    <w:rsid w:val="00773A5E"/>
    <w:rsid w:val="007866AF"/>
    <w:rsid w:val="0079273B"/>
    <w:rsid w:val="0079323E"/>
    <w:rsid w:val="00793829"/>
    <w:rsid w:val="0079385A"/>
    <w:rsid w:val="00793E26"/>
    <w:rsid w:val="007A17DB"/>
    <w:rsid w:val="007A69D7"/>
    <w:rsid w:val="007B23E1"/>
    <w:rsid w:val="007B2A92"/>
    <w:rsid w:val="007B4EC7"/>
    <w:rsid w:val="007B5137"/>
    <w:rsid w:val="007B6B0E"/>
    <w:rsid w:val="007B74C6"/>
    <w:rsid w:val="007C22C0"/>
    <w:rsid w:val="007C3EA5"/>
    <w:rsid w:val="007C67B8"/>
    <w:rsid w:val="007C7C3E"/>
    <w:rsid w:val="007D0F2F"/>
    <w:rsid w:val="007D551E"/>
    <w:rsid w:val="007D626D"/>
    <w:rsid w:val="007E59F2"/>
    <w:rsid w:val="00801A1C"/>
    <w:rsid w:val="00801F1B"/>
    <w:rsid w:val="00803352"/>
    <w:rsid w:val="00803787"/>
    <w:rsid w:val="008115BC"/>
    <w:rsid w:val="008132AC"/>
    <w:rsid w:val="00815CA4"/>
    <w:rsid w:val="00821654"/>
    <w:rsid w:val="00831D17"/>
    <w:rsid w:val="00840548"/>
    <w:rsid w:val="00842A5E"/>
    <w:rsid w:val="00844F49"/>
    <w:rsid w:val="008465A0"/>
    <w:rsid w:val="008650FE"/>
    <w:rsid w:val="00866569"/>
    <w:rsid w:val="00866F12"/>
    <w:rsid w:val="0086756A"/>
    <w:rsid w:val="00873C65"/>
    <w:rsid w:val="00875567"/>
    <w:rsid w:val="00880BE5"/>
    <w:rsid w:val="00883C91"/>
    <w:rsid w:val="00883FA1"/>
    <w:rsid w:val="00884102"/>
    <w:rsid w:val="008847F3"/>
    <w:rsid w:val="008962CC"/>
    <w:rsid w:val="008A73BE"/>
    <w:rsid w:val="008B4202"/>
    <w:rsid w:val="008B6529"/>
    <w:rsid w:val="008C19BD"/>
    <w:rsid w:val="008C2685"/>
    <w:rsid w:val="008C38DF"/>
    <w:rsid w:val="008C51D7"/>
    <w:rsid w:val="008D2693"/>
    <w:rsid w:val="008D30D8"/>
    <w:rsid w:val="008D56EC"/>
    <w:rsid w:val="008D7131"/>
    <w:rsid w:val="008F0E54"/>
    <w:rsid w:val="008F241E"/>
    <w:rsid w:val="008F3035"/>
    <w:rsid w:val="008F4B97"/>
    <w:rsid w:val="008F7C5C"/>
    <w:rsid w:val="0090021F"/>
    <w:rsid w:val="009035F0"/>
    <w:rsid w:val="009065A9"/>
    <w:rsid w:val="009160BA"/>
    <w:rsid w:val="00917C8D"/>
    <w:rsid w:val="00926578"/>
    <w:rsid w:val="0093401D"/>
    <w:rsid w:val="009365DB"/>
    <w:rsid w:val="00943C84"/>
    <w:rsid w:val="00944A6D"/>
    <w:rsid w:val="00946A39"/>
    <w:rsid w:val="00951BC7"/>
    <w:rsid w:val="0095447A"/>
    <w:rsid w:val="009571C3"/>
    <w:rsid w:val="009576F0"/>
    <w:rsid w:val="0096091F"/>
    <w:rsid w:val="00974CDA"/>
    <w:rsid w:val="00985C20"/>
    <w:rsid w:val="00987476"/>
    <w:rsid w:val="009924B2"/>
    <w:rsid w:val="00992996"/>
    <w:rsid w:val="009A435E"/>
    <w:rsid w:val="009A4607"/>
    <w:rsid w:val="009A588D"/>
    <w:rsid w:val="009A60A3"/>
    <w:rsid w:val="009A6BB6"/>
    <w:rsid w:val="009B1855"/>
    <w:rsid w:val="009B335C"/>
    <w:rsid w:val="009B433E"/>
    <w:rsid w:val="009B7FC9"/>
    <w:rsid w:val="009C5687"/>
    <w:rsid w:val="009C7DB9"/>
    <w:rsid w:val="009E0854"/>
    <w:rsid w:val="009E0C08"/>
    <w:rsid w:val="009F19E1"/>
    <w:rsid w:val="009F2D8E"/>
    <w:rsid w:val="009F4212"/>
    <w:rsid w:val="009F5A6B"/>
    <w:rsid w:val="009F68D6"/>
    <w:rsid w:val="00A03509"/>
    <w:rsid w:val="00A06F7D"/>
    <w:rsid w:val="00A072A6"/>
    <w:rsid w:val="00A122C4"/>
    <w:rsid w:val="00A219BC"/>
    <w:rsid w:val="00A21C05"/>
    <w:rsid w:val="00A22073"/>
    <w:rsid w:val="00A2298C"/>
    <w:rsid w:val="00A2332A"/>
    <w:rsid w:val="00A2565B"/>
    <w:rsid w:val="00A26004"/>
    <w:rsid w:val="00A26B58"/>
    <w:rsid w:val="00A344BE"/>
    <w:rsid w:val="00A3711B"/>
    <w:rsid w:val="00A37372"/>
    <w:rsid w:val="00A5596B"/>
    <w:rsid w:val="00A61375"/>
    <w:rsid w:val="00A64698"/>
    <w:rsid w:val="00A727E1"/>
    <w:rsid w:val="00A80D9F"/>
    <w:rsid w:val="00A812A1"/>
    <w:rsid w:val="00A82E9B"/>
    <w:rsid w:val="00A83001"/>
    <w:rsid w:val="00A843BE"/>
    <w:rsid w:val="00A84744"/>
    <w:rsid w:val="00A9148D"/>
    <w:rsid w:val="00A9388C"/>
    <w:rsid w:val="00AA3B1B"/>
    <w:rsid w:val="00AA463B"/>
    <w:rsid w:val="00AA4E5D"/>
    <w:rsid w:val="00AB116F"/>
    <w:rsid w:val="00AB46F2"/>
    <w:rsid w:val="00AB5AAE"/>
    <w:rsid w:val="00AC5F5C"/>
    <w:rsid w:val="00AD2D27"/>
    <w:rsid w:val="00AD6723"/>
    <w:rsid w:val="00AD7784"/>
    <w:rsid w:val="00AF395F"/>
    <w:rsid w:val="00AF519B"/>
    <w:rsid w:val="00AF5ACB"/>
    <w:rsid w:val="00AF6562"/>
    <w:rsid w:val="00B0132D"/>
    <w:rsid w:val="00B048DF"/>
    <w:rsid w:val="00B15A1C"/>
    <w:rsid w:val="00B22364"/>
    <w:rsid w:val="00B24486"/>
    <w:rsid w:val="00B277A6"/>
    <w:rsid w:val="00B27DBA"/>
    <w:rsid w:val="00B46D3C"/>
    <w:rsid w:val="00B54B2E"/>
    <w:rsid w:val="00B6490D"/>
    <w:rsid w:val="00B659D7"/>
    <w:rsid w:val="00B81155"/>
    <w:rsid w:val="00B823B8"/>
    <w:rsid w:val="00B863A7"/>
    <w:rsid w:val="00B93834"/>
    <w:rsid w:val="00BA14F3"/>
    <w:rsid w:val="00BB0819"/>
    <w:rsid w:val="00BB4765"/>
    <w:rsid w:val="00BB714E"/>
    <w:rsid w:val="00BC0594"/>
    <w:rsid w:val="00BC35ED"/>
    <w:rsid w:val="00BC3A44"/>
    <w:rsid w:val="00BC5A36"/>
    <w:rsid w:val="00BC5B8A"/>
    <w:rsid w:val="00BD0173"/>
    <w:rsid w:val="00BD2F2A"/>
    <w:rsid w:val="00BE04C4"/>
    <w:rsid w:val="00BE3280"/>
    <w:rsid w:val="00BF176D"/>
    <w:rsid w:val="00BF18D3"/>
    <w:rsid w:val="00BF54B6"/>
    <w:rsid w:val="00BF598A"/>
    <w:rsid w:val="00BF7533"/>
    <w:rsid w:val="00C110B8"/>
    <w:rsid w:val="00C122AF"/>
    <w:rsid w:val="00C31296"/>
    <w:rsid w:val="00C343FA"/>
    <w:rsid w:val="00C36AA9"/>
    <w:rsid w:val="00C41726"/>
    <w:rsid w:val="00C44C6D"/>
    <w:rsid w:val="00C555DA"/>
    <w:rsid w:val="00C671D0"/>
    <w:rsid w:val="00C72A9B"/>
    <w:rsid w:val="00C80DFB"/>
    <w:rsid w:val="00C80E01"/>
    <w:rsid w:val="00C8684D"/>
    <w:rsid w:val="00C91128"/>
    <w:rsid w:val="00C91136"/>
    <w:rsid w:val="00CA01FB"/>
    <w:rsid w:val="00CB5EC7"/>
    <w:rsid w:val="00CB7B3A"/>
    <w:rsid w:val="00CC1BE7"/>
    <w:rsid w:val="00CC2C6F"/>
    <w:rsid w:val="00CC5749"/>
    <w:rsid w:val="00CC76FF"/>
    <w:rsid w:val="00CD34DA"/>
    <w:rsid w:val="00CE3284"/>
    <w:rsid w:val="00CF70B9"/>
    <w:rsid w:val="00D051AB"/>
    <w:rsid w:val="00D0537F"/>
    <w:rsid w:val="00D05438"/>
    <w:rsid w:val="00D065B4"/>
    <w:rsid w:val="00D42336"/>
    <w:rsid w:val="00D451FA"/>
    <w:rsid w:val="00D45457"/>
    <w:rsid w:val="00D479BC"/>
    <w:rsid w:val="00D50EFB"/>
    <w:rsid w:val="00D512B2"/>
    <w:rsid w:val="00D61F79"/>
    <w:rsid w:val="00D65E35"/>
    <w:rsid w:val="00D743BD"/>
    <w:rsid w:val="00D75CF5"/>
    <w:rsid w:val="00D82791"/>
    <w:rsid w:val="00D83CEF"/>
    <w:rsid w:val="00D962AA"/>
    <w:rsid w:val="00DB273C"/>
    <w:rsid w:val="00DC5A7B"/>
    <w:rsid w:val="00DD7601"/>
    <w:rsid w:val="00DD7806"/>
    <w:rsid w:val="00DE27C7"/>
    <w:rsid w:val="00DE327B"/>
    <w:rsid w:val="00DE3BAE"/>
    <w:rsid w:val="00DE5884"/>
    <w:rsid w:val="00DF2C75"/>
    <w:rsid w:val="00DF73F3"/>
    <w:rsid w:val="00E01F9A"/>
    <w:rsid w:val="00E121F7"/>
    <w:rsid w:val="00E12FCA"/>
    <w:rsid w:val="00E1335B"/>
    <w:rsid w:val="00E20685"/>
    <w:rsid w:val="00E20B1B"/>
    <w:rsid w:val="00E300CA"/>
    <w:rsid w:val="00E35CD6"/>
    <w:rsid w:val="00E42A10"/>
    <w:rsid w:val="00E43832"/>
    <w:rsid w:val="00E47DBD"/>
    <w:rsid w:val="00E6521C"/>
    <w:rsid w:val="00E71E2C"/>
    <w:rsid w:val="00E73E96"/>
    <w:rsid w:val="00E827FE"/>
    <w:rsid w:val="00E82E65"/>
    <w:rsid w:val="00E85DB3"/>
    <w:rsid w:val="00E87C38"/>
    <w:rsid w:val="00E93267"/>
    <w:rsid w:val="00EA5FC5"/>
    <w:rsid w:val="00EA7097"/>
    <w:rsid w:val="00EB2100"/>
    <w:rsid w:val="00EB675A"/>
    <w:rsid w:val="00EC12B9"/>
    <w:rsid w:val="00EC6A1A"/>
    <w:rsid w:val="00ED1C59"/>
    <w:rsid w:val="00ED68C6"/>
    <w:rsid w:val="00EE05E9"/>
    <w:rsid w:val="00EE2BF4"/>
    <w:rsid w:val="00EE68EF"/>
    <w:rsid w:val="00EE78D5"/>
    <w:rsid w:val="00F03F3A"/>
    <w:rsid w:val="00F04F15"/>
    <w:rsid w:val="00F11542"/>
    <w:rsid w:val="00F12678"/>
    <w:rsid w:val="00F1511C"/>
    <w:rsid w:val="00F17DA5"/>
    <w:rsid w:val="00F244E3"/>
    <w:rsid w:val="00F27297"/>
    <w:rsid w:val="00F30DD5"/>
    <w:rsid w:val="00F30DE9"/>
    <w:rsid w:val="00F31DE2"/>
    <w:rsid w:val="00F321FA"/>
    <w:rsid w:val="00F401C1"/>
    <w:rsid w:val="00F47737"/>
    <w:rsid w:val="00F626A5"/>
    <w:rsid w:val="00F70B40"/>
    <w:rsid w:val="00F71514"/>
    <w:rsid w:val="00F730A4"/>
    <w:rsid w:val="00F73176"/>
    <w:rsid w:val="00F80702"/>
    <w:rsid w:val="00F8548F"/>
    <w:rsid w:val="00F87735"/>
    <w:rsid w:val="00F959B4"/>
    <w:rsid w:val="00FA10E7"/>
    <w:rsid w:val="00FA41C6"/>
    <w:rsid w:val="00FA4C05"/>
    <w:rsid w:val="00FB5454"/>
    <w:rsid w:val="00FB653F"/>
    <w:rsid w:val="00FC2B89"/>
    <w:rsid w:val="00FC57CA"/>
    <w:rsid w:val="00FE3440"/>
    <w:rsid w:val="00FE5348"/>
    <w:rsid w:val="00FE61DC"/>
    <w:rsid w:val="00FE7E73"/>
    <w:rsid w:val="00FF7B3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B80B1"/>
  <w15:chartTrackingRefBased/>
  <w15:docId w15:val="{7242F53E-45E8-494F-AFC6-BD2A1D84B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44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44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44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44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44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44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44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44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44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44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44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44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44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44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44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44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44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4486"/>
    <w:rPr>
      <w:rFonts w:eastAsiaTheme="majorEastAsia" w:cstheme="majorBidi"/>
      <w:color w:val="272727" w:themeColor="text1" w:themeTint="D8"/>
    </w:rPr>
  </w:style>
  <w:style w:type="paragraph" w:styleId="Title">
    <w:name w:val="Title"/>
    <w:basedOn w:val="Normal"/>
    <w:next w:val="Normal"/>
    <w:link w:val="TitleChar"/>
    <w:uiPriority w:val="10"/>
    <w:qFormat/>
    <w:rsid w:val="00B244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44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44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44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4486"/>
    <w:pPr>
      <w:spacing w:before="160"/>
      <w:jc w:val="center"/>
    </w:pPr>
    <w:rPr>
      <w:i/>
      <w:iCs/>
      <w:color w:val="404040" w:themeColor="text1" w:themeTint="BF"/>
    </w:rPr>
  </w:style>
  <w:style w:type="character" w:customStyle="1" w:styleId="QuoteChar">
    <w:name w:val="Quote Char"/>
    <w:basedOn w:val="DefaultParagraphFont"/>
    <w:link w:val="Quote"/>
    <w:uiPriority w:val="29"/>
    <w:rsid w:val="00B24486"/>
    <w:rPr>
      <w:i/>
      <w:iCs/>
      <w:color w:val="404040" w:themeColor="text1" w:themeTint="BF"/>
    </w:rPr>
  </w:style>
  <w:style w:type="paragraph" w:styleId="ListParagraph">
    <w:name w:val="List Paragraph"/>
    <w:basedOn w:val="Normal"/>
    <w:uiPriority w:val="34"/>
    <w:qFormat/>
    <w:rsid w:val="00B24486"/>
    <w:pPr>
      <w:ind w:left="720"/>
      <w:contextualSpacing/>
    </w:pPr>
  </w:style>
  <w:style w:type="character" w:styleId="IntenseEmphasis">
    <w:name w:val="Intense Emphasis"/>
    <w:basedOn w:val="DefaultParagraphFont"/>
    <w:uiPriority w:val="21"/>
    <w:qFormat/>
    <w:rsid w:val="00B24486"/>
    <w:rPr>
      <w:i/>
      <w:iCs/>
      <w:color w:val="0F4761" w:themeColor="accent1" w:themeShade="BF"/>
    </w:rPr>
  </w:style>
  <w:style w:type="paragraph" w:styleId="IntenseQuote">
    <w:name w:val="Intense Quote"/>
    <w:basedOn w:val="Normal"/>
    <w:next w:val="Normal"/>
    <w:link w:val="IntenseQuoteChar"/>
    <w:uiPriority w:val="30"/>
    <w:qFormat/>
    <w:rsid w:val="00B244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4486"/>
    <w:rPr>
      <w:i/>
      <w:iCs/>
      <w:color w:val="0F4761" w:themeColor="accent1" w:themeShade="BF"/>
    </w:rPr>
  </w:style>
  <w:style w:type="character" w:styleId="IntenseReference">
    <w:name w:val="Intense Reference"/>
    <w:basedOn w:val="DefaultParagraphFont"/>
    <w:uiPriority w:val="32"/>
    <w:qFormat/>
    <w:rsid w:val="00B24486"/>
    <w:rPr>
      <w:b/>
      <w:bCs/>
      <w:smallCaps/>
      <w:color w:val="0F4761" w:themeColor="accent1" w:themeShade="BF"/>
      <w:spacing w:val="5"/>
    </w:rPr>
  </w:style>
  <w:style w:type="character" w:styleId="Hyperlink">
    <w:name w:val="Hyperlink"/>
    <w:basedOn w:val="DefaultParagraphFont"/>
    <w:uiPriority w:val="99"/>
    <w:unhideWhenUsed/>
    <w:rsid w:val="00F730A4"/>
    <w:rPr>
      <w:color w:val="467886" w:themeColor="hyperlink"/>
      <w:u w:val="single"/>
    </w:rPr>
  </w:style>
  <w:style w:type="character" w:styleId="FollowedHyperlink">
    <w:name w:val="FollowedHyperlink"/>
    <w:basedOn w:val="DefaultParagraphFont"/>
    <w:uiPriority w:val="99"/>
    <w:semiHidden/>
    <w:unhideWhenUsed/>
    <w:rsid w:val="00F730A4"/>
    <w:rPr>
      <w:color w:val="96607D" w:themeColor="followedHyperlink"/>
      <w:u w:val="single"/>
    </w:rPr>
  </w:style>
  <w:style w:type="character" w:customStyle="1" w:styleId="text-token-text-primary">
    <w:name w:val="text-token-text-primary"/>
    <w:basedOn w:val="DefaultParagraphFont"/>
    <w:rsid w:val="001D63A9"/>
  </w:style>
  <w:style w:type="paragraph" w:styleId="Caption">
    <w:name w:val="caption"/>
    <w:basedOn w:val="Normal"/>
    <w:next w:val="Normal"/>
    <w:uiPriority w:val="35"/>
    <w:unhideWhenUsed/>
    <w:qFormat/>
    <w:rsid w:val="009F4212"/>
    <w:pPr>
      <w:spacing w:after="200" w:line="240" w:lineRule="auto"/>
    </w:pPr>
    <w:rPr>
      <w:i/>
      <w:iCs/>
      <w:color w:val="0E2841" w:themeColor="text2"/>
      <w:sz w:val="18"/>
      <w:szCs w:val="18"/>
    </w:rPr>
  </w:style>
  <w:style w:type="character" w:styleId="UnresolvedMention">
    <w:name w:val="Unresolved Mention"/>
    <w:basedOn w:val="DefaultParagraphFont"/>
    <w:uiPriority w:val="99"/>
    <w:semiHidden/>
    <w:unhideWhenUsed/>
    <w:rsid w:val="009F4212"/>
    <w:rPr>
      <w:color w:val="605E5C"/>
      <w:shd w:val="clear" w:color="auto" w:fill="E1DFDD"/>
    </w:rPr>
  </w:style>
  <w:style w:type="table" w:styleId="TableGrid">
    <w:name w:val="Table Grid"/>
    <w:basedOn w:val="TableNormal"/>
    <w:uiPriority w:val="39"/>
    <w:rsid w:val="003307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03677C"/>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677C"/>
  </w:style>
  <w:style w:type="character" w:styleId="PageNumber">
    <w:name w:val="page number"/>
    <w:basedOn w:val="DefaultParagraphFont"/>
    <w:uiPriority w:val="99"/>
    <w:semiHidden/>
    <w:unhideWhenUsed/>
    <w:rsid w:val="000367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github.com/CJ770411/L4137_HBEC_EV_Transcriptomics-Project" TargetMode="External"/><Relationship Id="rId18" Type="http://schemas.openxmlformats.org/officeDocument/2006/relationships/image" Target="media/image7.emf"/><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hyperlink" Target="https://github.com/CJ770411/L4137_HBEC_EV_Transcriptomics" TargetMode="External"/><Relationship Id="rId17" Type="http://schemas.openxmlformats.org/officeDocument/2006/relationships/image" Target="media/image6.emf"/><Relationship Id="rId2" Type="http://schemas.openxmlformats.org/officeDocument/2006/relationships/styles" Target="styles.xml"/><Relationship Id="rId16" Type="http://schemas.openxmlformats.org/officeDocument/2006/relationships/image" Target="media/image5.emf"/><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emf"/><Relationship Id="rId5" Type="http://schemas.openxmlformats.org/officeDocument/2006/relationships/footnotes" Target="footnotes.xml"/><Relationship Id="rId15" Type="http://schemas.openxmlformats.org/officeDocument/2006/relationships/image" Target="media/image4.emf"/><Relationship Id="rId10" Type="http://schemas.openxmlformats.org/officeDocument/2006/relationships/hyperlink" Target="https://www.nottingham.ac.uk/studentservices/servicedetails/appeals-complaints-and-conduct/academic-misconduct.aspx" TargetMode="Externa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3.emf"/><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30</Pages>
  <Words>9586</Words>
  <Characters>54643</Characters>
  <Application>Microsoft Office Word</Application>
  <DocSecurity>0</DocSecurity>
  <Lines>455</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Janschke</dc:creator>
  <cp:keywords/>
  <dc:description/>
  <cp:lastModifiedBy>Chris Janschke</cp:lastModifiedBy>
  <cp:revision>51</cp:revision>
  <dcterms:created xsi:type="dcterms:W3CDTF">2026-07-08T13:54:00Z</dcterms:created>
  <dcterms:modified xsi:type="dcterms:W3CDTF">2026-07-30T13:40:00Z</dcterms:modified>
</cp:coreProperties>
</file>