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3092" w:type="dxa"/>
        <w:tblLook w:val="04A0" w:firstRow="1" w:lastRow="0" w:firstColumn="1" w:lastColumn="0" w:noHBand="0" w:noVBand="1"/>
      </w:tblPr>
      <w:tblGrid>
        <w:gridCol w:w="958"/>
        <w:gridCol w:w="2865"/>
        <w:gridCol w:w="3685"/>
        <w:gridCol w:w="4536"/>
        <w:gridCol w:w="1048"/>
      </w:tblGrid>
      <w:tr w:rsidR="00DC0061" w:rsidRPr="00DC0061" w14:paraId="6499153C" w14:textId="77777777" w:rsidTr="001C6461">
        <w:trPr>
          <w:trHeight w:val="687"/>
        </w:trPr>
        <w:tc>
          <w:tcPr>
            <w:tcW w:w="958" w:type="dxa"/>
            <w:vAlign w:val="center"/>
          </w:tcPr>
          <w:p w14:paraId="5620E1F4" w14:textId="77777777" w:rsidR="00DC0061" w:rsidRPr="000704A6" w:rsidRDefault="00DC0061" w:rsidP="000704A6">
            <w:pPr>
              <w:jc w:val="center"/>
              <w:rPr>
                <w:b/>
                <w:bCs/>
                <w:sz w:val="13"/>
                <w:szCs w:val="13"/>
              </w:rPr>
            </w:pPr>
            <w:r w:rsidRPr="000704A6">
              <w:rPr>
                <w:b/>
                <w:bCs/>
                <w:sz w:val="13"/>
                <w:szCs w:val="13"/>
              </w:rPr>
              <w:t>Method</w:t>
            </w:r>
          </w:p>
        </w:tc>
        <w:tc>
          <w:tcPr>
            <w:tcW w:w="2865" w:type="dxa"/>
            <w:vAlign w:val="center"/>
          </w:tcPr>
          <w:p w14:paraId="4689399D" w14:textId="77777777" w:rsidR="00DC0061" w:rsidRPr="000704A6" w:rsidRDefault="00DC0061" w:rsidP="000704A6">
            <w:pPr>
              <w:jc w:val="center"/>
              <w:rPr>
                <w:b/>
                <w:bCs/>
                <w:sz w:val="13"/>
                <w:szCs w:val="13"/>
              </w:rPr>
            </w:pPr>
            <w:r w:rsidRPr="000704A6">
              <w:rPr>
                <w:b/>
                <w:bCs/>
                <w:sz w:val="13"/>
                <w:szCs w:val="13"/>
              </w:rPr>
              <w:t>Description</w:t>
            </w:r>
          </w:p>
        </w:tc>
        <w:tc>
          <w:tcPr>
            <w:tcW w:w="3685" w:type="dxa"/>
            <w:vAlign w:val="center"/>
          </w:tcPr>
          <w:p w14:paraId="13FF74FE" w14:textId="77777777" w:rsidR="00DC0061" w:rsidRPr="000704A6" w:rsidRDefault="00DC0061" w:rsidP="000704A6">
            <w:pPr>
              <w:jc w:val="center"/>
              <w:rPr>
                <w:b/>
                <w:bCs/>
                <w:sz w:val="13"/>
                <w:szCs w:val="13"/>
              </w:rPr>
            </w:pPr>
            <w:r w:rsidRPr="000704A6">
              <w:rPr>
                <w:b/>
                <w:bCs/>
                <w:sz w:val="13"/>
                <w:szCs w:val="13"/>
              </w:rPr>
              <w:t>Advantage</w:t>
            </w:r>
          </w:p>
        </w:tc>
        <w:tc>
          <w:tcPr>
            <w:tcW w:w="4536" w:type="dxa"/>
            <w:vAlign w:val="center"/>
          </w:tcPr>
          <w:p w14:paraId="4A37EA12" w14:textId="77777777" w:rsidR="00DC0061" w:rsidRPr="000704A6" w:rsidRDefault="00DC0061" w:rsidP="000704A6">
            <w:pPr>
              <w:jc w:val="center"/>
              <w:rPr>
                <w:b/>
                <w:bCs/>
                <w:sz w:val="13"/>
                <w:szCs w:val="13"/>
              </w:rPr>
            </w:pPr>
            <w:r w:rsidRPr="000704A6">
              <w:rPr>
                <w:b/>
                <w:bCs/>
                <w:sz w:val="13"/>
                <w:szCs w:val="13"/>
              </w:rPr>
              <w:t>Disadvantage</w:t>
            </w:r>
          </w:p>
        </w:tc>
        <w:tc>
          <w:tcPr>
            <w:tcW w:w="1048" w:type="dxa"/>
            <w:vAlign w:val="center"/>
          </w:tcPr>
          <w:p w14:paraId="5E1B9E69" w14:textId="77777777" w:rsidR="00DC0061" w:rsidRPr="000704A6" w:rsidRDefault="00DC0061" w:rsidP="000704A6">
            <w:pPr>
              <w:jc w:val="center"/>
              <w:rPr>
                <w:b/>
                <w:bCs/>
                <w:sz w:val="13"/>
                <w:szCs w:val="13"/>
              </w:rPr>
            </w:pPr>
            <w:r w:rsidRPr="000704A6">
              <w:rPr>
                <w:b/>
                <w:bCs/>
                <w:sz w:val="13"/>
                <w:szCs w:val="13"/>
              </w:rPr>
              <w:t>Reference(s)</w:t>
            </w:r>
          </w:p>
        </w:tc>
      </w:tr>
      <w:tr w:rsidR="00DC0061" w:rsidRPr="00DC0061" w14:paraId="79E24029" w14:textId="77777777" w:rsidTr="001C6461">
        <w:trPr>
          <w:trHeight w:val="1401"/>
        </w:trPr>
        <w:tc>
          <w:tcPr>
            <w:tcW w:w="958" w:type="dxa"/>
          </w:tcPr>
          <w:p w14:paraId="5FD078A2" w14:textId="77777777" w:rsidR="00DC0061" w:rsidRPr="00DC0061" w:rsidRDefault="00DC0061" w:rsidP="0091601B">
            <w:pPr>
              <w:rPr>
                <w:sz w:val="13"/>
                <w:szCs w:val="13"/>
              </w:rPr>
            </w:pPr>
            <w:r w:rsidRPr="00DC0061">
              <w:rPr>
                <w:sz w:val="13"/>
                <w:szCs w:val="13"/>
              </w:rPr>
              <w:t>Experimental validation</w:t>
            </w:r>
          </w:p>
        </w:tc>
        <w:tc>
          <w:tcPr>
            <w:tcW w:w="2865" w:type="dxa"/>
          </w:tcPr>
          <w:p w14:paraId="0E431EA1" w14:textId="77777777" w:rsidR="00DC0061" w:rsidRPr="00DC0061" w:rsidRDefault="00DC0061" w:rsidP="00DC0061">
            <w:pPr>
              <w:rPr>
                <w:sz w:val="13"/>
                <w:szCs w:val="13"/>
              </w:rPr>
            </w:pPr>
            <w:r w:rsidRPr="00DC0061">
              <w:rPr>
                <w:sz w:val="13"/>
                <w:szCs w:val="13"/>
              </w:rPr>
              <w:t>Filter target genes according to the type and strength of experimental evidence supporting each miRNA-target interaction.</w:t>
            </w:r>
          </w:p>
          <w:p w14:paraId="5BB0D6E3" w14:textId="77777777" w:rsidR="00DC0061" w:rsidRPr="00DC0061" w:rsidRDefault="00DC0061" w:rsidP="00DC0061">
            <w:pPr>
              <w:rPr>
                <w:sz w:val="13"/>
                <w:szCs w:val="13"/>
              </w:rPr>
            </w:pPr>
          </w:p>
        </w:tc>
        <w:tc>
          <w:tcPr>
            <w:tcW w:w="3685" w:type="dxa"/>
          </w:tcPr>
          <w:p w14:paraId="11BE6682" w14:textId="77777777" w:rsidR="00DC0061" w:rsidRPr="00DC0061" w:rsidRDefault="00DC0061" w:rsidP="00DC0061">
            <w:pPr>
              <w:rPr>
                <w:sz w:val="13"/>
                <w:szCs w:val="13"/>
              </w:rPr>
            </w:pPr>
            <w:r w:rsidRPr="00DC0061">
              <w:rPr>
                <w:sz w:val="13"/>
                <w:szCs w:val="13"/>
              </w:rPr>
              <w:t>Can retain only target genes supported by stronger experimental evidence e.g., reporter assay, western blot and qPCR.</w:t>
            </w:r>
          </w:p>
          <w:p w14:paraId="506F5188" w14:textId="77777777" w:rsidR="00DC0061" w:rsidRPr="00DC0061" w:rsidRDefault="00DC0061" w:rsidP="00DC0061">
            <w:pPr>
              <w:rPr>
                <w:sz w:val="13"/>
                <w:szCs w:val="13"/>
              </w:rPr>
            </w:pPr>
            <w:r w:rsidRPr="00DC0061">
              <w:rPr>
                <w:sz w:val="13"/>
                <w:szCs w:val="13"/>
              </w:rPr>
              <w:t xml:space="preserve">Can exclude target genes supported by weaker experimental evidence e.g., microarray, NGS, </w:t>
            </w:r>
            <w:proofErr w:type="spellStart"/>
            <w:r w:rsidRPr="00DC0061">
              <w:rPr>
                <w:sz w:val="13"/>
                <w:szCs w:val="13"/>
              </w:rPr>
              <w:t>pSILAC</w:t>
            </w:r>
            <w:proofErr w:type="spellEnd"/>
            <w:r w:rsidRPr="00DC0061">
              <w:rPr>
                <w:sz w:val="13"/>
                <w:szCs w:val="13"/>
              </w:rPr>
              <w:t>, CLIP-</w:t>
            </w:r>
            <w:proofErr w:type="spellStart"/>
            <w:r w:rsidRPr="00DC0061">
              <w:rPr>
                <w:sz w:val="13"/>
                <w:szCs w:val="13"/>
              </w:rPr>
              <w:t>Seq</w:t>
            </w:r>
            <w:proofErr w:type="spellEnd"/>
            <w:r w:rsidRPr="00DC0061">
              <w:rPr>
                <w:sz w:val="13"/>
                <w:szCs w:val="13"/>
              </w:rPr>
              <w:t>, CLASH</w:t>
            </w:r>
          </w:p>
          <w:p w14:paraId="25D7EEC9" w14:textId="77777777" w:rsidR="00DC0061" w:rsidRPr="00DC0061" w:rsidRDefault="00DC0061" w:rsidP="00DC0061">
            <w:pPr>
              <w:rPr>
                <w:sz w:val="13"/>
                <w:szCs w:val="13"/>
              </w:rPr>
            </w:pPr>
          </w:p>
        </w:tc>
        <w:tc>
          <w:tcPr>
            <w:tcW w:w="4536" w:type="dxa"/>
          </w:tcPr>
          <w:p w14:paraId="46833CA8" w14:textId="77777777" w:rsidR="00DC0061" w:rsidRPr="00DC0061" w:rsidRDefault="00DC0061" w:rsidP="00DC0061">
            <w:pPr>
              <w:rPr>
                <w:sz w:val="13"/>
                <w:szCs w:val="13"/>
              </w:rPr>
            </w:pPr>
            <w:r w:rsidRPr="00DC0061">
              <w:rPr>
                <w:sz w:val="13"/>
                <w:szCs w:val="13"/>
              </w:rPr>
              <w:t>Different experimental methods capture different aspects of miRNA regulation therefore filtering may bias towards well-studied genes or pathways.</w:t>
            </w:r>
          </w:p>
          <w:p w14:paraId="6B9849FC" w14:textId="77777777" w:rsidR="00DC0061" w:rsidRPr="00DC0061" w:rsidRDefault="00DC0061" w:rsidP="00DC0061">
            <w:pPr>
              <w:rPr>
                <w:sz w:val="13"/>
                <w:szCs w:val="13"/>
              </w:rPr>
            </w:pPr>
          </w:p>
          <w:p w14:paraId="33BACB3B" w14:textId="77777777" w:rsidR="00DC0061" w:rsidRPr="00DC0061" w:rsidRDefault="00DC0061" w:rsidP="00DC0061">
            <w:pPr>
              <w:rPr>
                <w:sz w:val="13"/>
                <w:szCs w:val="13"/>
              </w:rPr>
            </w:pPr>
            <w:r w:rsidRPr="00DC0061">
              <w:rPr>
                <w:sz w:val="13"/>
                <w:szCs w:val="13"/>
              </w:rPr>
              <w:t xml:space="preserve">High-confidence support is not always available for true miRNA-target interactions. </w:t>
            </w:r>
          </w:p>
          <w:p w14:paraId="201353E1" w14:textId="77777777" w:rsidR="00DC0061" w:rsidRPr="00DC0061" w:rsidRDefault="00DC0061" w:rsidP="00DC0061">
            <w:pPr>
              <w:rPr>
                <w:sz w:val="13"/>
                <w:szCs w:val="13"/>
              </w:rPr>
            </w:pPr>
            <w:r w:rsidRPr="00DC0061">
              <w:rPr>
                <w:sz w:val="13"/>
                <w:szCs w:val="13"/>
              </w:rPr>
              <w:t xml:space="preserve">This can produce miRNA-target lists that are too small to support robust pathway enrichment analysis. </w:t>
            </w:r>
          </w:p>
          <w:p w14:paraId="67F060C5" w14:textId="77777777" w:rsidR="00DC0061" w:rsidRPr="00DC0061" w:rsidRDefault="00DC0061" w:rsidP="00DC0061">
            <w:pPr>
              <w:rPr>
                <w:sz w:val="13"/>
                <w:szCs w:val="13"/>
              </w:rPr>
            </w:pPr>
          </w:p>
        </w:tc>
        <w:tc>
          <w:tcPr>
            <w:tcW w:w="1048" w:type="dxa"/>
          </w:tcPr>
          <w:p w14:paraId="0BBD57E9" w14:textId="2BA9C1FC" w:rsidR="00DC0061" w:rsidRPr="00DC0061" w:rsidRDefault="00DC0061" w:rsidP="0091601B">
            <w:pPr>
              <w:rPr>
                <w:sz w:val="10"/>
                <w:szCs w:val="10"/>
              </w:rPr>
            </w:pPr>
            <w:r>
              <w:rPr>
                <w:sz w:val="10"/>
                <w:szCs w:val="10"/>
              </w:rPr>
              <w:t>Huan</w:t>
            </w:r>
            <w:r w:rsidR="007F3D0D">
              <w:rPr>
                <w:sz w:val="10"/>
                <w:szCs w:val="10"/>
              </w:rPr>
              <w:t>g et al., 2025; Cu</w:t>
            </w:r>
            <w:r w:rsidR="000704A6">
              <w:rPr>
                <w:sz w:val="10"/>
                <w:szCs w:val="10"/>
              </w:rPr>
              <w:t>i</w:t>
            </w:r>
            <w:r w:rsidR="007F3D0D">
              <w:rPr>
                <w:sz w:val="10"/>
                <w:szCs w:val="10"/>
              </w:rPr>
              <w:t xml:space="preserve"> et al., 2024</w:t>
            </w:r>
          </w:p>
        </w:tc>
      </w:tr>
      <w:tr w:rsidR="00DC0061" w:rsidRPr="00DC0061" w14:paraId="4601C417" w14:textId="77777777" w:rsidTr="001C6461">
        <w:trPr>
          <w:trHeight w:val="1401"/>
        </w:trPr>
        <w:tc>
          <w:tcPr>
            <w:tcW w:w="958" w:type="dxa"/>
          </w:tcPr>
          <w:p w14:paraId="77C45FC6" w14:textId="77777777" w:rsidR="00DC0061" w:rsidRPr="00DC0061" w:rsidRDefault="00DC0061" w:rsidP="0091601B">
            <w:pPr>
              <w:rPr>
                <w:sz w:val="13"/>
                <w:szCs w:val="13"/>
              </w:rPr>
            </w:pPr>
            <w:r w:rsidRPr="00DC0061">
              <w:rPr>
                <w:sz w:val="13"/>
                <w:szCs w:val="13"/>
              </w:rPr>
              <w:t>miRNA multi-targeting</w:t>
            </w:r>
          </w:p>
        </w:tc>
        <w:tc>
          <w:tcPr>
            <w:tcW w:w="2865" w:type="dxa"/>
          </w:tcPr>
          <w:p w14:paraId="32AE4447" w14:textId="77777777" w:rsidR="00DC0061" w:rsidRPr="00DC0061" w:rsidRDefault="00DC0061" w:rsidP="00DC0061">
            <w:pPr>
              <w:rPr>
                <w:sz w:val="13"/>
                <w:szCs w:val="13"/>
              </w:rPr>
            </w:pPr>
            <w:r w:rsidRPr="00DC0061">
              <w:rPr>
                <w:sz w:val="13"/>
                <w:szCs w:val="13"/>
              </w:rPr>
              <w:t>Filter target genes according to the number of differentially expressed miRNAs known to target each gene, retaining genes co-targeted by multiple miRNAs.</w:t>
            </w:r>
          </w:p>
          <w:p w14:paraId="627E190E" w14:textId="77777777" w:rsidR="00DC0061" w:rsidRPr="00DC0061" w:rsidRDefault="00DC0061" w:rsidP="00DC0061">
            <w:pPr>
              <w:rPr>
                <w:sz w:val="13"/>
                <w:szCs w:val="13"/>
              </w:rPr>
            </w:pPr>
            <w:r w:rsidRPr="00DC0061">
              <w:rPr>
                <w:sz w:val="13"/>
                <w:szCs w:val="13"/>
              </w:rPr>
              <w:t>co-targeting a given target.</w:t>
            </w:r>
          </w:p>
          <w:p w14:paraId="439B2AF0" w14:textId="77777777" w:rsidR="00DC0061" w:rsidRPr="00DC0061" w:rsidRDefault="00DC0061" w:rsidP="00DC0061">
            <w:pPr>
              <w:rPr>
                <w:sz w:val="13"/>
                <w:szCs w:val="13"/>
              </w:rPr>
            </w:pPr>
          </w:p>
        </w:tc>
        <w:tc>
          <w:tcPr>
            <w:tcW w:w="3685" w:type="dxa"/>
          </w:tcPr>
          <w:p w14:paraId="258FEE03" w14:textId="77777777" w:rsidR="00DC0061" w:rsidRPr="00DC0061" w:rsidRDefault="00DC0061" w:rsidP="00DC0061">
            <w:pPr>
              <w:rPr>
                <w:sz w:val="13"/>
                <w:szCs w:val="13"/>
              </w:rPr>
            </w:pPr>
            <w:r w:rsidRPr="00DC0061">
              <w:rPr>
                <w:sz w:val="13"/>
                <w:szCs w:val="13"/>
              </w:rPr>
              <w:t>Prioritises genes that may be under stronger regulation by multiple miRNAs.</w:t>
            </w:r>
          </w:p>
          <w:p w14:paraId="1DAAAE7A" w14:textId="77777777" w:rsidR="00DC0061" w:rsidRPr="00DC0061" w:rsidRDefault="00DC0061" w:rsidP="00DC0061">
            <w:pPr>
              <w:rPr>
                <w:sz w:val="13"/>
                <w:szCs w:val="13"/>
              </w:rPr>
            </w:pPr>
            <w:r w:rsidRPr="00DC0061">
              <w:rPr>
                <w:sz w:val="13"/>
                <w:szCs w:val="13"/>
              </w:rPr>
              <w:t>Can improve the biological relevance of pathway enrichment by focusing on potentially highly connected regulatory genes.</w:t>
            </w:r>
          </w:p>
          <w:p w14:paraId="31725E90" w14:textId="77777777" w:rsidR="00DC0061" w:rsidRPr="00DC0061" w:rsidRDefault="00DC0061" w:rsidP="00DC0061">
            <w:pPr>
              <w:rPr>
                <w:sz w:val="13"/>
                <w:szCs w:val="13"/>
              </w:rPr>
            </w:pPr>
          </w:p>
        </w:tc>
        <w:tc>
          <w:tcPr>
            <w:tcW w:w="4536" w:type="dxa"/>
          </w:tcPr>
          <w:p w14:paraId="11DA5936" w14:textId="77777777" w:rsidR="00DC0061" w:rsidRPr="00DC0061" w:rsidRDefault="00DC0061" w:rsidP="00DC0061">
            <w:pPr>
              <w:rPr>
                <w:sz w:val="13"/>
                <w:szCs w:val="13"/>
              </w:rPr>
            </w:pPr>
            <w:r w:rsidRPr="00DC0061">
              <w:rPr>
                <w:sz w:val="13"/>
                <w:szCs w:val="13"/>
              </w:rPr>
              <w:t>Risks excluding real target genes that are only supported by one or a small number of miRNAs.</w:t>
            </w:r>
          </w:p>
          <w:p w14:paraId="009D34DA" w14:textId="77777777" w:rsidR="00DC0061" w:rsidRPr="00DC0061" w:rsidRDefault="00DC0061" w:rsidP="00DC0061">
            <w:pPr>
              <w:rPr>
                <w:sz w:val="13"/>
                <w:szCs w:val="13"/>
              </w:rPr>
            </w:pPr>
            <w:r w:rsidRPr="00DC0061">
              <w:rPr>
                <w:sz w:val="13"/>
                <w:szCs w:val="13"/>
              </w:rPr>
              <w:t>The minimum threshold for gene co-targeting is arbitrary.</w:t>
            </w:r>
          </w:p>
          <w:p w14:paraId="65619B27" w14:textId="77777777" w:rsidR="00DC0061" w:rsidRPr="00DC0061" w:rsidRDefault="00DC0061" w:rsidP="00DC0061">
            <w:pPr>
              <w:rPr>
                <w:sz w:val="13"/>
                <w:szCs w:val="13"/>
              </w:rPr>
            </w:pPr>
          </w:p>
          <w:p w14:paraId="2A014692" w14:textId="77777777" w:rsidR="00DC0061" w:rsidRPr="00DC0061" w:rsidRDefault="00DC0061" w:rsidP="00DC0061">
            <w:pPr>
              <w:rPr>
                <w:sz w:val="13"/>
                <w:szCs w:val="13"/>
              </w:rPr>
            </w:pPr>
            <w:r w:rsidRPr="00DC0061">
              <w:rPr>
                <w:sz w:val="13"/>
                <w:szCs w:val="13"/>
              </w:rPr>
              <w:t>Can bias towards better characterised genes which could influence pathway enrichment analysis.</w:t>
            </w:r>
          </w:p>
          <w:p w14:paraId="0BA295CE" w14:textId="77777777" w:rsidR="00DC0061" w:rsidRPr="00DC0061" w:rsidRDefault="00DC0061" w:rsidP="00DC0061">
            <w:pPr>
              <w:rPr>
                <w:sz w:val="13"/>
                <w:szCs w:val="13"/>
              </w:rPr>
            </w:pPr>
          </w:p>
        </w:tc>
        <w:tc>
          <w:tcPr>
            <w:tcW w:w="1048" w:type="dxa"/>
          </w:tcPr>
          <w:p w14:paraId="7759AAFE" w14:textId="512740E5" w:rsidR="007F3D0D" w:rsidRPr="00DC0061" w:rsidRDefault="007F3D0D" w:rsidP="0091601B">
            <w:pPr>
              <w:rPr>
                <w:sz w:val="10"/>
                <w:szCs w:val="10"/>
              </w:rPr>
            </w:pPr>
            <w:r>
              <w:rPr>
                <w:sz w:val="10"/>
                <w:szCs w:val="10"/>
              </w:rPr>
              <w:t>Zhang et al., 2019; Hu et al., 2012</w:t>
            </w:r>
          </w:p>
        </w:tc>
      </w:tr>
      <w:tr w:rsidR="00DC0061" w:rsidRPr="00DC0061" w14:paraId="1E5D2656" w14:textId="77777777" w:rsidTr="001C6461">
        <w:trPr>
          <w:trHeight w:val="1401"/>
        </w:trPr>
        <w:tc>
          <w:tcPr>
            <w:tcW w:w="958" w:type="dxa"/>
          </w:tcPr>
          <w:p w14:paraId="4CCC7CE6" w14:textId="77777777" w:rsidR="00DC0061" w:rsidRPr="00DC0061" w:rsidRDefault="00DC0061" w:rsidP="0091601B">
            <w:pPr>
              <w:rPr>
                <w:sz w:val="13"/>
                <w:szCs w:val="13"/>
              </w:rPr>
            </w:pPr>
            <w:r w:rsidRPr="00DC0061">
              <w:rPr>
                <w:sz w:val="13"/>
                <w:szCs w:val="13"/>
              </w:rPr>
              <w:t>Multiple databases</w:t>
            </w:r>
          </w:p>
        </w:tc>
        <w:tc>
          <w:tcPr>
            <w:tcW w:w="2865" w:type="dxa"/>
          </w:tcPr>
          <w:p w14:paraId="50091D7F" w14:textId="77777777" w:rsidR="00DC0061" w:rsidRPr="00DC0061" w:rsidRDefault="00DC0061" w:rsidP="00DC0061">
            <w:pPr>
              <w:rPr>
                <w:sz w:val="13"/>
                <w:szCs w:val="13"/>
              </w:rPr>
            </w:pPr>
            <w:r w:rsidRPr="00DC0061">
              <w:rPr>
                <w:sz w:val="13"/>
                <w:szCs w:val="13"/>
              </w:rPr>
              <w:t>Filter target genes according to the number of databases that report the miRNA-target interaction, retaining only interactions supported by multiple databases.</w:t>
            </w:r>
          </w:p>
          <w:p w14:paraId="5BE05586" w14:textId="77777777" w:rsidR="00DC0061" w:rsidRPr="00DC0061" w:rsidRDefault="00DC0061" w:rsidP="00DC0061">
            <w:pPr>
              <w:rPr>
                <w:sz w:val="13"/>
                <w:szCs w:val="13"/>
              </w:rPr>
            </w:pPr>
          </w:p>
        </w:tc>
        <w:tc>
          <w:tcPr>
            <w:tcW w:w="3685" w:type="dxa"/>
          </w:tcPr>
          <w:p w14:paraId="4D95866E" w14:textId="77777777" w:rsidR="00DC0061" w:rsidRPr="00DC0061" w:rsidRDefault="00DC0061" w:rsidP="00DC0061">
            <w:pPr>
              <w:rPr>
                <w:sz w:val="13"/>
                <w:szCs w:val="13"/>
              </w:rPr>
            </w:pPr>
            <w:r w:rsidRPr="00DC0061">
              <w:rPr>
                <w:sz w:val="13"/>
                <w:szCs w:val="13"/>
              </w:rPr>
              <w:t>The intersection of 2 or more databases may reduce the likelihood of identifying false-positive target genes.</w:t>
            </w:r>
          </w:p>
          <w:p w14:paraId="0A6B03A9" w14:textId="77777777" w:rsidR="00DC0061" w:rsidRPr="00DC0061" w:rsidRDefault="00DC0061" w:rsidP="00DC0061">
            <w:pPr>
              <w:rPr>
                <w:sz w:val="13"/>
                <w:szCs w:val="13"/>
              </w:rPr>
            </w:pPr>
          </w:p>
        </w:tc>
        <w:tc>
          <w:tcPr>
            <w:tcW w:w="4536" w:type="dxa"/>
          </w:tcPr>
          <w:p w14:paraId="707E99FA" w14:textId="77777777" w:rsidR="00DC0061" w:rsidRPr="00DC0061" w:rsidRDefault="00DC0061" w:rsidP="00DC0061">
            <w:pPr>
              <w:rPr>
                <w:sz w:val="13"/>
                <w:szCs w:val="13"/>
              </w:rPr>
            </w:pPr>
            <w:r w:rsidRPr="00DC0061">
              <w:rPr>
                <w:sz w:val="13"/>
                <w:szCs w:val="13"/>
              </w:rPr>
              <w:t>Due to differences in database sizes, curation methods and update frequency, real target genes present in only one, or a small number of databases may be excluded.</w:t>
            </w:r>
          </w:p>
          <w:p w14:paraId="4F8E52CD" w14:textId="77777777" w:rsidR="00DC0061" w:rsidRPr="00DC0061" w:rsidRDefault="00DC0061" w:rsidP="00DC0061">
            <w:pPr>
              <w:rPr>
                <w:sz w:val="13"/>
                <w:szCs w:val="13"/>
              </w:rPr>
            </w:pPr>
          </w:p>
          <w:p w14:paraId="43E5F612" w14:textId="77777777" w:rsidR="00DC0061" w:rsidRPr="00DC0061" w:rsidRDefault="00DC0061" w:rsidP="00DC0061">
            <w:pPr>
              <w:rPr>
                <w:sz w:val="13"/>
                <w:szCs w:val="13"/>
              </w:rPr>
            </w:pPr>
            <w:r w:rsidRPr="00DC0061">
              <w:rPr>
                <w:sz w:val="13"/>
                <w:szCs w:val="13"/>
              </w:rPr>
              <w:t xml:space="preserve">The minimum threshold of databases required to support a miRNA-target interaction is arbitrary. </w:t>
            </w:r>
          </w:p>
          <w:p w14:paraId="2C0BD644" w14:textId="77777777" w:rsidR="00DC0061" w:rsidRPr="00DC0061" w:rsidRDefault="00DC0061" w:rsidP="00DC0061">
            <w:pPr>
              <w:rPr>
                <w:sz w:val="13"/>
                <w:szCs w:val="13"/>
              </w:rPr>
            </w:pPr>
          </w:p>
          <w:p w14:paraId="681DD9BE" w14:textId="77777777" w:rsidR="00DC0061" w:rsidRPr="00DC0061" w:rsidRDefault="00DC0061" w:rsidP="00DC0061">
            <w:pPr>
              <w:rPr>
                <w:sz w:val="13"/>
                <w:szCs w:val="13"/>
              </w:rPr>
            </w:pPr>
            <w:r w:rsidRPr="00DC0061">
              <w:rPr>
                <w:sz w:val="13"/>
                <w:szCs w:val="13"/>
              </w:rPr>
              <w:t xml:space="preserve">Many databases are curated using the same data sources therefore consensus may not reflect independent support. </w:t>
            </w:r>
          </w:p>
          <w:p w14:paraId="5C37399E" w14:textId="77777777" w:rsidR="00DC0061" w:rsidRPr="00DC0061" w:rsidRDefault="00DC0061" w:rsidP="00DC0061">
            <w:pPr>
              <w:rPr>
                <w:sz w:val="13"/>
                <w:szCs w:val="13"/>
              </w:rPr>
            </w:pPr>
            <w:r w:rsidRPr="00DC0061">
              <w:rPr>
                <w:sz w:val="13"/>
                <w:szCs w:val="13"/>
              </w:rPr>
              <w:t>Filtering by supporting databases may bias towards well-characterised miRNAs and target genes.</w:t>
            </w:r>
          </w:p>
          <w:p w14:paraId="46781148" w14:textId="77777777" w:rsidR="00DC0061" w:rsidRPr="00DC0061" w:rsidRDefault="00DC0061" w:rsidP="00DC0061">
            <w:pPr>
              <w:rPr>
                <w:sz w:val="13"/>
                <w:szCs w:val="13"/>
              </w:rPr>
            </w:pPr>
          </w:p>
        </w:tc>
        <w:tc>
          <w:tcPr>
            <w:tcW w:w="1048" w:type="dxa"/>
          </w:tcPr>
          <w:p w14:paraId="073BDB6A" w14:textId="1A4A2212" w:rsidR="007F3D0D" w:rsidRPr="00DC0061" w:rsidRDefault="007F3D0D" w:rsidP="0091601B">
            <w:pPr>
              <w:rPr>
                <w:sz w:val="10"/>
                <w:szCs w:val="10"/>
              </w:rPr>
            </w:pPr>
            <w:r>
              <w:rPr>
                <w:sz w:val="10"/>
                <w:szCs w:val="10"/>
              </w:rPr>
              <w:t>Hu et al., 2014; Xu et al., 2024; Huang et al., 2025</w:t>
            </w:r>
          </w:p>
        </w:tc>
      </w:tr>
      <w:tr w:rsidR="00DC0061" w:rsidRPr="00DC0061" w14:paraId="3DB8FA10" w14:textId="77777777" w:rsidTr="001C6461">
        <w:trPr>
          <w:trHeight w:val="1401"/>
        </w:trPr>
        <w:tc>
          <w:tcPr>
            <w:tcW w:w="958" w:type="dxa"/>
          </w:tcPr>
          <w:p w14:paraId="769466E3" w14:textId="30FFE841" w:rsidR="00DC0061" w:rsidRPr="00DC0061" w:rsidRDefault="00DC0061" w:rsidP="0091601B">
            <w:pPr>
              <w:rPr>
                <w:sz w:val="13"/>
                <w:szCs w:val="13"/>
              </w:rPr>
            </w:pPr>
            <w:r w:rsidRPr="00DC0061">
              <w:rPr>
                <w:sz w:val="13"/>
                <w:szCs w:val="13"/>
              </w:rPr>
              <w:t>Context-specific filtering</w:t>
            </w:r>
          </w:p>
        </w:tc>
        <w:tc>
          <w:tcPr>
            <w:tcW w:w="2865" w:type="dxa"/>
          </w:tcPr>
          <w:p w14:paraId="4BCFB85D" w14:textId="77777777" w:rsidR="00DC0061" w:rsidRPr="00DC0061" w:rsidRDefault="00DC0061" w:rsidP="00DC0061">
            <w:pPr>
              <w:rPr>
                <w:sz w:val="13"/>
                <w:szCs w:val="13"/>
              </w:rPr>
            </w:pPr>
            <w:r w:rsidRPr="00DC0061">
              <w:rPr>
                <w:sz w:val="13"/>
                <w:szCs w:val="13"/>
              </w:rPr>
              <w:t>Filter target genes according to whether expression in the biological system is plausible. Retain only the intersection of target genes identified and genes biologically plausible.</w:t>
            </w:r>
          </w:p>
          <w:p w14:paraId="363C14C4" w14:textId="77777777" w:rsidR="00DC0061" w:rsidRPr="00DC0061" w:rsidRDefault="00DC0061" w:rsidP="00DC0061">
            <w:pPr>
              <w:rPr>
                <w:sz w:val="13"/>
                <w:szCs w:val="13"/>
              </w:rPr>
            </w:pPr>
          </w:p>
        </w:tc>
        <w:tc>
          <w:tcPr>
            <w:tcW w:w="3685" w:type="dxa"/>
          </w:tcPr>
          <w:p w14:paraId="41E3F235" w14:textId="77777777" w:rsidR="00DC0061" w:rsidRPr="00DC0061" w:rsidRDefault="00DC0061" w:rsidP="00DC0061">
            <w:pPr>
              <w:rPr>
                <w:sz w:val="13"/>
                <w:szCs w:val="13"/>
              </w:rPr>
            </w:pPr>
            <w:r w:rsidRPr="00DC0061">
              <w:rPr>
                <w:sz w:val="13"/>
                <w:szCs w:val="13"/>
              </w:rPr>
              <w:t>Excludes genes that are not relevant to the biological model (e.g., genes not expressed in airway epithelium), which may improve the specificity of pathway enrichment analysis by reducing noise and false-positive pathway associations.</w:t>
            </w:r>
          </w:p>
          <w:p w14:paraId="1912E8F3" w14:textId="77777777" w:rsidR="00DC0061" w:rsidRPr="00DC0061" w:rsidRDefault="00DC0061" w:rsidP="00DC0061">
            <w:pPr>
              <w:rPr>
                <w:sz w:val="13"/>
                <w:szCs w:val="13"/>
              </w:rPr>
            </w:pPr>
          </w:p>
        </w:tc>
        <w:tc>
          <w:tcPr>
            <w:tcW w:w="4536" w:type="dxa"/>
          </w:tcPr>
          <w:p w14:paraId="5CA3F9FE" w14:textId="77777777" w:rsidR="00DC0061" w:rsidRPr="00DC0061" w:rsidRDefault="00DC0061" w:rsidP="00DC0061">
            <w:pPr>
              <w:rPr>
                <w:sz w:val="13"/>
                <w:szCs w:val="13"/>
              </w:rPr>
            </w:pPr>
            <w:r w:rsidRPr="00DC0061">
              <w:rPr>
                <w:sz w:val="13"/>
                <w:szCs w:val="13"/>
              </w:rPr>
              <w:t>Cells can express large proportions of the genome (e.g., respiratory ciliated cells can express ~12k genes), therefore this approach may not substantially reduce the target gene list.</w:t>
            </w:r>
          </w:p>
          <w:p w14:paraId="5884E257" w14:textId="77777777" w:rsidR="00DC0061" w:rsidRPr="00DC0061" w:rsidRDefault="00DC0061" w:rsidP="00DC0061">
            <w:pPr>
              <w:rPr>
                <w:sz w:val="13"/>
                <w:szCs w:val="13"/>
              </w:rPr>
            </w:pPr>
          </w:p>
          <w:p w14:paraId="19BA7F09" w14:textId="77777777" w:rsidR="00DC0061" w:rsidRPr="00DC0061" w:rsidRDefault="00DC0061" w:rsidP="00DC0061">
            <w:pPr>
              <w:rPr>
                <w:sz w:val="13"/>
                <w:szCs w:val="13"/>
              </w:rPr>
            </w:pPr>
            <w:r w:rsidRPr="00DC0061">
              <w:rPr>
                <w:sz w:val="13"/>
                <w:szCs w:val="13"/>
              </w:rPr>
              <w:t>Airway epithelial-derived EVs can target multiple recipient cell types (e.g., immune cells) therefore it is difficult to define a suitable list of potential recipient cells.</w:t>
            </w:r>
          </w:p>
          <w:p w14:paraId="08B0DEB0" w14:textId="77777777" w:rsidR="00DC0061" w:rsidRPr="00DC0061" w:rsidRDefault="00DC0061" w:rsidP="00DC0061">
            <w:pPr>
              <w:rPr>
                <w:sz w:val="13"/>
                <w:szCs w:val="13"/>
              </w:rPr>
            </w:pPr>
          </w:p>
          <w:p w14:paraId="22A8361E" w14:textId="77777777" w:rsidR="00DC0061" w:rsidRPr="00DC0061" w:rsidRDefault="00DC0061" w:rsidP="00DC0061">
            <w:pPr>
              <w:rPr>
                <w:sz w:val="13"/>
                <w:szCs w:val="13"/>
              </w:rPr>
            </w:pPr>
            <w:r w:rsidRPr="00DC0061">
              <w:rPr>
                <w:sz w:val="13"/>
                <w:szCs w:val="13"/>
              </w:rPr>
              <w:t>Creating an exhaustive list of cell types potentially targeted by airway-derived EVs would be very extensive and would likely incorporate a large proportion of the genome, limiting the effectiveness of this approach.</w:t>
            </w:r>
          </w:p>
          <w:p w14:paraId="057F6083" w14:textId="77777777" w:rsidR="00DC0061" w:rsidRPr="00DC0061" w:rsidRDefault="00DC0061" w:rsidP="00DC0061">
            <w:pPr>
              <w:rPr>
                <w:sz w:val="13"/>
                <w:szCs w:val="13"/>
              </w:rPr>
            </w:pPr>
          </w:p>
        </w:tc>
        <w:tc>
          <w:tcPr>
            <w:tcW w:w="1048" w:type="dxa"/>
          </w:tcPr>
          <w:p w14:paraId="02A637D8" w14:textId="68DF6000" w:rsidR="00DC0061" w:rsidRPr="00DC0061" w:rsidRDefault="007F3D0D" w:rsidP="007F3D0D">
            <w:pPr>
              <w:rPr>
                <w:sz w:val="10"/>
                <w:szCs w:val="10"/>
              </w:rPr>
            </w:pPr>
            <w:r>
              <w:rPr>
                <w:sz w:val="10"/>
                <w:szCs w:val="10"/>
              </w:rPr>
              <w:t>Bradley and Moxon, 2020</w:t>
            </w:r>
          </w:p>
        </w:tc>
      </w:tr>
      <w:tr w:rsidR="00DC0061" w:rsidRPr="00DC0061" w14:paraId="2F53CEC9" w14:textId="77777777" w:rsidTr="001C6461">
        <w:trPr>
          <w:trHeight w:val="1401"/>
        </w:trPr>
        <w:tc>
          <w:tcPr>
            <w:tcW w:w="958" w:type="dxa"/>
          </w:tcPr>
          <w:p w14:paraId="7C5E122D" w14:textId="49354BA0" w:rsidR="00DC0061" w:rsidRPr="00DC0061" w:rsidRDefault="00DC0061" w:rsidP="0091601B">
            <w:pPr>
              <w:rPr>
                <w:sz w:val="13"/>
                <w:szCs w:val="13"/>
              </w:rPr>
            </w:pPr>
            <w:r w:rsidRPr="00DC0061">
              <w:rPr>
                <w:sz w:val="13"/>
                <w:szCs w:val="13"/>
              </w:rPr>
              <w:t>Network-based</w:t>
            </w:r>
          </w:p>
        </w:tc>
        <w:tc>
          <w:tcPr>
            <w:tcW w:w="2865" w:type="dxa"/>
          </w:tcPr>
          <w:p w14:paraId="34A8BB99" w14:textId="77777777" w:rsidR="00DC0061" w:rsidRPr="00DC0061" w:rsidRDefault="00DC0061" w:rsidP="00DC0061">
            <w:pPr>
              <w:rPr>
                <w:sz w:val="13"/>
                <w:szCs w:val="13"/>
              </w:rPr>
            </w:pPr>
            <w:r w:rsidRPr="00DC0061">
              <w:rPr>
                <w:sz w:val="13"/>
                <w:szCs w:val="13"/>
              </w:rPr>
              <w:t>Construct biological interaction networks to identify highly connected genes (hub genes). Prioritise genes with greater connectivity for downstream pathway enrichment analysis, as these genes may represent important regulators within the biological system.</w:t>
            </w:r>
          </w:p>
          <w:p w14:paraId="3FEC3B70" w14:textId="77777777" w:rsidR="00DC0061" w:rsidRPr="00DC0061" w:rsidRDefault="00DC0061" w:rsidP="00DC0061">
            <w:pPr>
              <w:rPr>
                <w:sz w:val="13"/>
                <w:szCs w:val="13"/>
              </w:rPr>
            </w:pPr>
          </w:p>
        </w:tc>
        <w:tc>
          <w:tcPr>
            <w:tcW w:w="3685" w:type="dxa"/>
          </w:tcPr>
          <w:p w14:paraId="4060D154" w14:textId="77777777" w:rsidR="00DC0061" w:rsidRPr="00DC0061" w:rsidRDefault="00DC0061" w:rsidP="00DC0061">
            <w:pPr>
              <w:rPr>
                <w:sz w:val="13"/>
                <w:szCs w:val="13"/>
              </w:rPr>
            </w:pPr>
            <w:r w:rsidRPr="00DC0061">
              <w:rPr>
                <w:sz w:val="13"/>
                <w:szCs w:val="13"/>
              </w:rPr>
              <w:t>Prioritising highly connected genes can reduce noise by excluding isolated target genes which may increase the specificity of pathway enrichment.</w:t>
            </w:r>
          </w:p>
          <w:p w14:paraId="5D4B6033" w14:textId="77777777" w:rsidR="00DC0061" w:rsidRPr="00DC0061" w:rsidRDefault="00DC0061" w:rsidP="00DC0061">
            <w:pPr>
              <w:rPr>
                <w:sz w:val="13"/>
                <w:szCs w:val="13"/>
              </w:rPr>
            </w:pPr>
            <w:r w:rsidRPr="00DC0061">
              <w:rPr>
                <w:sz w:val="13"/>
                <w:szCs w:val="13"/>
              </w:rPr>
              <w:t>Network-based approaches can incorporate additional biological information beyond individual miRNA-target predictions.</w:t>
            </w:r>
          </w:p>
          <w:p w14:paraId="64B11186" w14:textId="77777777" w:rsidR="00DC0061" w:rsidRPr="00DC0061" w:rsidRDefault="00DC0061" w:rsidP="00DC0061">
            <w:pPr>
              <w:rPr>
                <w:sz w:val="13"/>
                <w:szCs w:val="13"/>
              </w:rPr>
            </w:pPr>
          </w:p>
        </w:tc>
        <w:tc>
          <w:tcPr>
            <w:tcW w:w="4536" w:type="dxa"/>
          </w:tcPr>
          <w:p w14:paraId="763690EE" w14:textId="77777777" w:rsidR="00DC0061" w:rsidRPr="00DC0061" w:rsidRDefault="00DC0061" w:rsidP="00DC0061">
            <w:pPr>
              <w:rPr>
                <w:sz w:val="13"/>
                <w:szCs w:val="13"/>
              </w:rPr>
            </w:pPr>
            <w:r w:rsidRPr="00DC0061">
              <w:rPr>
                <w:sz w:val="13"/>
                <w:szCs w:val="13"/>
              </w:rPr>
              <w:t>Defining connectivity thresholds is arbitrary and may exclude real miRNA-target interactions with less-connected roles.</w:t>
            </w:r>
          </w:p>
          <w:p w14:paraId="2662F3EC" w14:textId="77777777" w:rsidR="00DC0061" w:rsidRPr="00DC0061" w:rsidRDefault="00DC0061" w:rsidP="00DC0061">
            <w:pPr>
              <w:rPr>
                <w:sz w:val="13"/>
                <w:szCs w:val="13"/>
              </w:rPr>
            </w:pPr>
            <w:r w:rsidRPr="00DC0061">
              <w:rPr>
                <w:sz w:val="13"/>
                <w:szCs w:val="13"/>
              </w:rPr>
              <w:t>Network analyses depend on known connections, and this can bias towards better characterised genes.</w:t>
            </w:r>
          </w:p>
          <w:p w14:paraId="77FA39B6" w14:textId="77777777" w:rsidR="00DC0061" w:rsidRPr="00DC0061" w:rsidRDefault="00DC0061" w:rsidP="00DC0061">
            <w:pPr>
              <w:rPr>
                <w:sz w:val="13"/>
                <w:szCs w:val="13"/>
              </w:rPr>
            </w:pPr>
          </w:p>
        </w:tc>
        <w:tc>
          <w:tcPr>
            <w:tcW w:w="1048" w:type="dxa"/>
          </w:tcPr>
          <w:p w14:paraId="69990B4F" w14:textId="0E61C378" w:rsidR="00DC0061" w:rsidRPr="00DC0061" w:rsidRDefault="007F3D0D" w:rsidP="007F3D0D">
            <w:pPr>
              <w:rPr>
                <w:sz w:val="10"/>
                <w:szCs w:val="10"/>
              </w:rPr>
            </w:pPr>
            <w:r>
              <w:rPr>
                <w:sz w:val="10"/>
                <w:szCs w:val="10"/>
              </w:rPr>
              <w:t>Fan et al., 2016</w:t>
            </w:r>
          </w:p>
        </w:tc>
      </w:tr>
    </w:tbl>
    <w:p w14:paraId="06CDFA8E" w14:textId="5E2AE963" w:rsidR="00BC35ED" w:rsidRPr="000704A6" w:rsidRDefault="000704A6" w:rsidP="00DC0061">
      <w:pPr>
        <w:rPr>
          <w:b/>
          <w:bCs/>
        </w:rPr>
      </w:pPr>
      <w:r w:rsidRPr="000704A6">
        <w:rPr>
          <w:b/>
          <w:bCs/>
        </w:rPr>
        <w:lastRenderedPageBreak/>
        <w:t>References:</w:t>
      </w:r>
    </w:p>
    <w:p w14:paraId="4AA3F8D2" w14:textId="77777777" w:rsidR="000704A6" w:rsidRDefault="000704A6" w:rsidP="000704A6">
      <w:r>
        <w:t xml:space="preserve">BRADLEY, T. &amp; MOXON, S. 2020. </w:t>
      </w:r>
      <w:proofErr w:type="spellStart"/>
      <w:r>
        <w:t>FilTar</w:t>
      </w:r>
      <w:proofErr w:type="spellEnd"/>
      <w:r>
        <w:t>: using RNA-</w:t>
      </w:r>
      <w:proofErr w:type="spellStart"/>
      <w:r>
        <w:t>Seq</w:t>
      </w:r>
      <w:proofErr w:type="spellEnd"/>
      <w:r>
        <w:t xml:space="preserve"> data to improve microRNA target prediction accuracy in animals. Bioinformatics, 36, 2410-2416.</w:t>
      </w:r>
    </w:p>
    <w:p w14:paraId="0F8D736C" w14:textId="77777777" w:rsidR="000704A6" w:rsidRDefault="000704A6" w:rsidP="000704A6">
      <w:r>
        <w:t xml:space="preserve">CUI, S., YU, S., HUANG, H.-Y., LIN, Y.-C.-D., HUANG, Y., ZHANG, B., XIAO, J., ZUO, H., WANG, J., LI, Z., LI, G., MA, J., CHEN, B., ZHANG, H., FU, J., WANG, L. &amp; HUANG, H.-D. 2025. </w:t>
      </w:r>
      <w:proofErr w:type="spellStart"/>
      <w:r>
        <w:t>miRTarBase</w:t>
      </w:r>
      <w:proofErr w:type="spellEnd"/>
      <w:r>
        <w:t xml:space="preserve"> 2025: updates to the collection of experimentally validated microRNA–target interactions. Nucleic Acids Research, 53, D147-D156.</w:t>
      </w:r>
    </w:p>
    <w:p w14:paraId="4091B5A0" w14:textId="77777777" w:rsidR="000704A6" w:rsidRDefault="000704A6" w:rsidP="000704A6">
      <w:r>
        <w:t xml:space="preserve">FAN, Y., SIKLENKA, K., ARORA, S. K., RIBEIRO, P., KIMMINS, S. &amp; XIA, J. 2016. </w:t>
      </w:r>
      <w:proofErr w:type="spellStart"/>
      <w:r>
        <w:t>miRNet</w:t>
      </w:r>
      <w:proofErr w:type="spellEnd"/>
      <w:r>
        <w:t xml:space="preserve"> - dissecting miRNA-target interactions and functional associations through network-based visual analysis. Nucleic Acids Research, 44, W135-W141.</w:t>
      </w:r>
    </w:p>
    <w:p w14:paraId="30F1883A" w14:textId="77777777" w:rsidR="000704A6" w:rsidRDefault="000704A6" w:rsidP="000704A6">
      <w:r>
        <w:t>HUANG, L., CHEN, D., YANG, B., YANG, Z., XUE, C. &amp; LU, C. 2025. A Verified Workflow for MiRNA-</w:t>
      </w:r>
      <w:proofErr w:type="spellStart"/>
      <w:r>
        <w:t>Seq</w:t>
      </w:r>
      <w:proofErr w:type="spellEnd"/>
      <w:r>
        <w:t xml:space="preserve"> Data Processing and Bioinformatics Analysis Using R. </w:t>
      </w:r>
      <w:proofErr w:type="spellStart"/>
      <w:r>
        <w:t>JoVE</w:t>
      </w:r>
      <w:proofErr w:type="spellEnd"/>
      <w:r>
        <w:t>, e68760.</w:t>
      </w:r>
    </w:p>
    <w:p w14:paraId="3D03EF63" w14:textId="77777777" w:rsidR="000704A6" w:rsidRDefault="000704A6" w:rsidP="000704A6">
      <w:r>
        <w:t xml:space="preserve">HU, Z., YU, D., ALMEIDA-SUHETT, C., TU, K., MARINI, A. M., EIDEN, L., BRAGA, M. F., ZHU, J. &amp; LI, Z. 2012. Expression of miRNAs and their cooperative regulation of the pathophysiology in traumatic brain injury. </w:t>
      </w:r>
      <w:proofErr w:type="spellStart"/>
      <w:r>
        <w:t>PLoS</w:t>
      </w:r>
      <w:proofErr w:type="spellEnd"/>
      <w:r>
        <w:t xml:space="preserve"> One, 7, e39357.</w:t>
      </w:r>
    </w:p>
    <w:p w14:paraId="322DD9F5" w14:textId="77777777" w:rsidR="000704A6" w:rsidRDefault="000704A6" w:rsidP="000704A6">
      <w:r>
        <w:t>HU, Z., YU, D., GU, Q. H., YANG, Y., TU, K., ZHU, J. &amp; LI, Z. 2014. miR-191 and miR-135 are required for long-lasting spine remodelling associated with synaptic long-term depression. Nat Commun, 5, 3263.</w:t>
      </w:r>
    </w:p>
    <w:p w14:paraId="7961D393" w14:textId="77777777" w:rsidR="000704A6" w:rsidRDefault="000704A6" w:rsidP="000704A6">
      <w:r>
        <w:t xml:space="preserve">XU, S., HU, E., CAI, Y., XIE, Z., LUO, X., ZHAN, L., TANG, W., WANG, Q., LIU, B., WANG, R., XIE, W., WU, T., XIE, L. &amp; YU, G. 2024. Using </w:t>
      </w:r>
      <w:proofErr w:type="spellStart"/>
      <w:r>
        <w:t>clusterProfiler</w:t>
      </w:r>
      <w:proofErr w:type="spellEnd"/>
      <w:r>
        <w:t xml:space="preserve"> to characterize </w:t>
      </w:r>
      <w:proofErr w:type="spellStart"/>
      <w:r>
        <w:t>multiomics</w:t>
      </w:r>
      <w:proofErr w:type="spellEnd"/>
      <w:r>
        <w:t xml:space="preserve"> data. Nature Protocols, 19, 3292-3320.</w:t>
      </w:r>
    </w:p>
    <w:p w14:paraId="1CD0C9D1" w14:textId="77777777" w:rsidR="000704A6" w:rsidRDefault="000704A6" w:rsidP="000704A6">
      <w:r>
        <w:t>ZHANG, J., PHAM, V. V. H., LIU, L., XU, T., TRUONG, B., LI, J., RAO, N. &amp; LE, T. D. 2019. Identifying miRNA synergism using multiple-intervention causal inference. BMC Bioinformatics, 20, 613.</w:t>
      </w:r>
    </w:p>
    <w:p w14:paraId="10DB2202" w14:textId="77777777" w:rsidR="000704A6" w:rsidRDefault="000704A6" w:rsidP="000704A6"/>
    <w:p w14:paraId="05548FBA" w14:textId="77777777" w:rsidR="000704A6" w:rsidRPr="000704A6" w:rsidRDefault="000704A6" w:rsidP="00DC0061"/>
    <w:sectPr w:rsidR="000704A6" w:rsidRPr="000704A6" w:rsidSect="00DC006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05450"/>
    <w:multiLevelType w:val="hybridMultilevel"/>
    <w:tmpl w:val="20864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8B4B19"/>
    <w:multiLevelType w:val="hybridMultilevel"/>
    <w:tmpl w:val="89363D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733602"/>
    <w:multiLevelType w:val="hybridMultilevel"/>
    <w:tmpl w:val="5C301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FB3C58"/>
    <w:multiLevelType w:val="hybridMultilevel"/>
    <w:tmpl w:val="58808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9264645">
    <w:abstractNumId w:val="3"/>
  </w:num>
  <w:num w:numId="2" w16cid:durableId="840973285">
    <w:abstractNumId w:val="0"/>
  </w:num>
  <w:num w:numId="3" w16cid:durableId="1490752817">
    <w:abstractNumId w:val="2"/>
  </w:num>
  <w:num w:numId="4" w16cid:durableId="12707720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6B"/>
    <w:rsid w:val="00001138"/>
    <w:rsid w:val="00004A7B"/>
    <w:rsid w:val="000062C5"/>
    <w:rsid w:val="000075EF"/>
    <w:rsid w:val="000100B9"/>
    <w:rsid w:val="0001038A"/>
    <w:rsid w:val="00014F98"/>
    <w:rsid w:val="0002196B"/>
    <w:rsid w:val="00023CAE"/>
    <w:rsid w:val="000247C3"/>
    <w:rsid w:val="00030347"/>
    <w:rsid w:val="00042782"/>
    <w:rsid w:val="00047129"/>
    <w:rsid w:val="00063712"/>
    <w:rsid w:val="0006745F"/>
    <w:rsid w:val="000704A6"/>
    <w:rsid w:val="000751C6"/>
    <w:rsid w:val="00083E28"/>
    <w:rsid w:val="00087674"/>
    <w:rsid w:val="000A2124"/>
    <w:rsid w:val="000A2214"/>
    <w:rsid w:val="000A412F"/>
    <w:rsid w:val="000B4FFF"/>
    <w:rsid w:val="000C0C98"/>
    <w:rsid w:val="000C37ED"/>
    <w:rsid w:val="000C3A29"/>
    <w:rsid w:val="000C6934"/>
    <w:rsid w:val="000D0304"/>
    <w:rsid w:val="000D0EB8"/>
    <w:rsid w:val="000D24C0"/>
    <w:rsid w:val="000D2C3E"/>
    <w:rsid w:val="000D50AF"/>
    <w:rsid w:val="000E30ED"/>
    <w:rsid w:val="000E6C77"/>
    <w:rsid w:val="00100920"/>
    <w:rsid w:val="001025FB"/>
    <w:rsid w:val="001028CC"/>
    <w:rsid w:val="0010345C"/>
    <w:rsid w:val="00121055"/>
    <w:rsid w:val="00121CBD"/>
    <w:rsid w:val="001233F3"/>
    <w:rsid w:val="0012484D"/>
    <w:rsid w:val="0013173A"/>
    <w:rsid w:val="0013211E"/>
    <w:rsid w:val="00135299"/>
    <w:rsid w:val="00142A6D"/>
    <w:rsid w:val="00151ADF"/>
    <w:rsid w:val="00152EAF"/>
    <w:rsid w:val="00154771"/>
    <w:rsid w:val="001622FB"/>
    <w:rsid w:val="0016350A"/>
    <w:rsid w:val="00164445"/>
    <w:rsid w:val="00166B9B"/>
    <w:rsid w:val="00175C2C"/>
    <w:rsid w:val="00186C80"/>
    <w:rsid w:val="001910DF"/>
    <w:rsid w:val="0019269E"/>
    <w:rsid w:val="00194B2E"/>
    <w:rsid w:val="001961BF"/>
    <w:rsid w:val="001A19CE"/>
    <w:rsid w:val="001C1675"/>
    <w:rsid w:val="001C5A09"/>
    <w:rsid w:val="001C6461"/>
    <w:rsid w:val="001E0E43"/>
    <w:rsid w:val="001E357F"/>
    <w:rsid w:val="001F243D"/>
    <w:rsid w:val="0023299A"/>
    <w:rsid w:val="002407BA"/>
    <w:rsid w:val="00243F62"/>
    <w:rsid w:val="00247B1E"/>
    <w:rsid w:val="002564F5"/>
    <w:rsid w:val="00263D1F"/>
    <w:rsid w:val="0027533F"/>
    <w:rsid w:val="00297183"/>
    <w:rsid w:val="002A28C6"/>
    <w:rsid w:val="002A6713"/>
    <w:rsid w:val="002C17AE"/>
    <w:rsid w:val="002C3FBA"/>
    <w:rsid w:val="002C65DC"/>
    <w:rsid w:val="002C6D40"/>
    <w:rsid w:val="002D1E9B"/>
    <w:rsid w:val="002D28C2"/>
    <w:rsid w:val="002D3B3A"/>
    <w:rsid w:val="002D3E00"/>
    <w:rsid w:val="002D4C98"/>
    <w:rsid w:val="002D6491"/>
    <w:rsid w:val="002E718F"/>
    <w:rsid w:val="002F0646"/>
    <w:rsid w:val="002F083A"/>
    <w:rsid w:val="002F27D0"/>
    <w:rsid w:val="0030365D"/>
    <w:rsid w:val="003121FA"/>
    <w:rsid w:val="00314F62"/>
    <w:rsid w:val="003151AB"/>
    <w:rsid w:val="003155E1"/>
    <w:rsid w:val="00327528"/>
    <w:rsid w:val="0033757A"/>
    <w:rsid w:val="003531C6"/>
    <w:rsid w:val="00353EBB"/>
    <w:rsid w:val="003548AD"/>
    <w:rsid w:val="00361B9E"/>
    <w:rsid w:val="00366743"/>
    <w:rsid w:val="003808DD"/>
    <w:rsid w:val="00382C27"/>
    <w:rsid w:val="00384E01"/>
    <w:rsid w:val="00397E4D"/>
    <w:rsid w:val="003A7BB1"/>
    <w:rsid w:val="003B038C"/>
    <w:rsid w:val="003B0808"/>
    <w:rsid w:val="003B1082"/>
    <w:rsid w:val="003B459C"/>
    <w:rsid w:val="003B5CE7"/>
    <w:rsid w:val="003C2804"/>
    <w:rsid w:val="003C7AAA"/>
    <w:rsid w:val="003D2EEB"/>
    <w:rsid w:val="003D3292"/>
    <w:rsid w:val="003D4F05"/>
    <w:rsid w:val="003F128A"/>
    <w:rsid w:val="003F27D5"/>
    <w:rsid w:val="003F4098"/>
    <w:rsid w:val="00400932"/>
    <w:rsid w:val="004011A9"/>
    <w:rsid w:val="00405032"/>
    <w:rsid w:val="00412B7F"/>
    <w:rsid w:val="00413B9B"/>
    <w:rsid w:val="00414B37"/>
    <w:rsid w:val="0041709D"/>
    <w:rsid w:val="00417C27"/>
    <w:rsid w:val="00423C1B"/>
    <w:rsid w:val="0042769D"/>
    <w:rsid w:val="00427A72"/>
    <w:rsid w:val="004322CE"/>
    <w:rsid w:val="00440941"/>
    <w:rsid w:val="00450FA6"/>
    <w:rsid w:val="0045640B"/>
    <w:rsid w:val="00460240"/>
    <w:rsid w:val="00460744"/>
    <w:rsid w:val="0046118D"/>
    <w:rsid w:val="004614FA"/>
    <w:rsid w:val="0046190D"/>
    <w:rsid w:val="00467531"/>
    <w:rsid w:val="0047035E"/>
    <w:rsid w:val="00473F94"/>
    <w:rsid w:val="0048054B"/>
    <w:rsid w:val="004867A1"/>
    <w:rsid w:val="0049100A"/>
    <w:rsid w:val="00492298"/>
    <w:rsid w:val="004A33CC"/>
    <w:rsid w:val="004B2AB1"/>
    <w:rsid w:val="004C046D"/>
    <w:rsid w:val="004C0F98"/>
    <w:rsid w:val="004C381F"/>
    <w:rsid w:val="004C52FE"/>
    <w:rsid w:val="004D477C"/>
    <w:rsid w:val="004D5A8D"/>
    <w:rsid w:val="004E0FFA"/>
    <w:rsid w:val="004E603C"/>
    <w:rsid w:val="004F29DB"/>
    <w:rsid w:val="00500F65"/>
    <w:rsid w:val="00505768"/>
    <w:rsid w:val="0051170F"/>
    <w:rsid w:val="00517147"/>
    <w:rsid w:val="00517496"/>
    <w:rsid w:val="005227DE"/>
    <w:rsid w:val="00534CD2"/>
    <w:rsid w:val="00541A6D"/>
    <w:rsid w:val="005465FF"/>
    <w:rsid w:val="005505AC"/>
    <w:rsid w:val="005508BC"/>
    <w:rsid w:val="005524A2"/>
    <w:rsid w:val="005529EF"/>
    <w:rsid w:val="00553F9E"/>
    <w:rsid w:val="0055642F"/>
    <w:rsid w:val="0056176D"/>
    <w:rsid w:val="0056269E"/>
    <w:rsid w:val="00567FB2"/>
    <w:rsid w:val="00576B4B"/>
    <w:rsid w:val="00576C23"/>
    <w:rsid w:val="005870FD"/>
    <w:rsid w:val="00596FC0"/>
    <w:rsid w:val="005A26A8"/>
    <w:rsid w:val="005A5DE2"/>
    <w:rsid w:val="005B1175"/>
    <w:rsid w:val="005B192A"/>
    <w:rsid w:val="005B44CB"/>
    <w:rsid w:val="005B467C"/>
    <w:rsid w:val="005C2B43"/>
    <w:rsid w:val="005C453C"/>
    <w:rsid w:val="005C6D20"/>
    <w:rsid w:val="005D3ECB"/>
    <w:rsid w:val="005D6DD8"/>
    <w:rsid w:val="005E3D8D"/>
    <w:rsid w:val="00606721"/>
    <w:rsid w:val="006174CC"/>
    <w:rsid w:val="006213D8"/>
    <w:rsid w:val="00621C88"/>
    <w:rsid w:val="00626607"/>
    <w:rsid w:val="006279E8"/>
    <w:rsid w:val="0063375F"/>
    <w:rsid w:val="00636E97"/>
    <w:rsid w:val="00640B9C"/>
    <w:rsid w:val="00650AAB"/>
    <w:rsid w:val="006549B7"/>
    <w:rsid w:val="00657B75"/>
    <w:rsid w:val="0067656B"/>
    <w:rsid w:val="0068162F"/>
    <w:rsid w:val="0068495B"/>
    <w:rsid w:val="00692892"/>
    <w:rsid w:val="0069763A"/>
    <w:rsid w:val="006A176A"/>
    <w:rsid w:val="006A3352"/>
    <w:rsid w:val="006A5D6A"/>
    <w:rsid w:val="006B651A"/>
    <w:rsid w:val="006C1EC5"/>
    <w:rsid w:val="006D1A76"/>
    <w:rsid w:val="006D2B88"/>
    <w:rsid w:val="006E0112"/>
    <w:rsid w:val="006E1EA2"/>
    <w:rsid w:val="00703510"/>
    <w:rsid w:val="007073B3"/>
    <w:rsid w:val="00727835"/>
    <w:rsid w:val="00727F9B"/>
    <w:rsid w:val="00731925"/>
    <w:rsid w:val="0075162F"/>
    <w:rsid w:val="00756FD1"/>
    <w:rsid w:val="00757A2B"/>
    <w:rsid w:val="00760F8C"/>
    <w:rsid w:val="0076122F"/>
    <w:rsid w:val="00770812"/>
    <w:rsid w:val="00773A5E"/>
    <w:rsid w:val="007866AF"/>
    <w:rsid w:val="0079273B"/>
    <w:rsid w:val="0079323E"/>
    <w:rsid w:val="00793829"/>
    <w:rsid w:val="00793E26"/>
    <w:rsid w:val="007A17DB"/>
    <w:rsid w:val="007A69D7"/>
    <w:rsid w:val="007B23E1"/>
    <w:rsid w:val="007B2A92"/>
    <w:rsid w:val="007B4EC7"/>
    <w:rsid w:val="007B5137"/>
    <w:rsid w:val="007B6B0E"/>
    <w:rsid w:val="007B74C6"/>
    <w:rsid w:val="007C22C0"/>
    <w:rsid w:val="007C3EA5"/>
    <w:rsid w:val="007C7C3E"/>
    <w:rsid w:val="007D0F2F"/>
    <w:rsid w:val="007D626D"/>
    <w:rsid w:val="007E59F2"/>
    <w:rsid w:val="007F3D0D"/>
    <w:rsid w:val="007F4A96"/>
    <w:rsid w:val="007F4B73"/>
    <w:rsid w:val="00801A1C"/>
    <w:rsid w:val="00801F1B"/>
    <w:rsid w:val="00803352"/>
    <w:rsid w:val="00803787"/>
    <w:rsid w:val="008115BC"/>
    <w:rsid w:val="008132AC"/>
    <w:rsid w:val="00815CA4"/>
    <w:rsid w:val="00821654"/>
    <w:rsid w:val="00822B0A"/>
    <w:rsid w:val="00831D17"/>
    <w:rsid w:val="00835714"/>
    <w:rsid w:val="00840548"/>
    <w:rsid w:val="00842A5E"/>
    <w:rsid w:val="00844F49"/>
    <w:rsid w:val="008465A0"/>
    <w:rsid w:val="008650FE"/>
    <w:rsid w:val="00866569"/>
    <w:rsid w:val="00866F12"/>
    <w:rsid w:val="0086756A"/>
    <w:rsid w:val="00873C65"/>
    <w:rsid w:val="00875567"/>
    <w:rsid w:val="00880BE5"/>
    <w:rsid w:val="00883FA1"/>
    <w:rsid w:val="00884102"/>
    <w:rsid w:val="008847F3"/>
    <w:rsid w:val="008962CC"/>
    <w:rsid w:val="008A73BE"/>
    <w:rsid w:val="008B4202"/>
    <w:rsid w:val="008B6529"/>
    <w:rsid w:val="008C19BD"/>
    <w:rsid w:val="008C2685"/>
    <w:rsid w:val="008C38DF"/>
    <w:rsid w:val="008C51D7"/>
    <w:rsid w:val="008D2693"/>
    <w:rsid w:val="008D56EC"/>
    <w:rsid w:val="008D7131"/>
    <w:rsid w:val="008E3AFD"/>
    <w:rsid w:val="008F0E54"/>
    <w:rsid w:val="008F241E"/>
    <w:rsid w:val="008F3035"/>
    <w:rsid w:val="008F4A6E"/>
    <w:rsid w:val="008F4B97"/>
    <w:rsid w:val="008F7C5C"/>
    <w:rsid w:val="0090021F"/>
    <w:rsid w:val="009035F0"/>
    <w:rsid w:val="009065A9"/>
    <w:rsid w:val="0091378D"/>
    <w:rsid w:val="009160BA"/>
    <w:rsid w:val="00917C8D"/>
    <w:rsid w:val="0093401D"/>
    <w:rsid w:val="009365DB"/>
    <w:rsid w:val="00943C84"/>
    <w:rsid w:val="00944A6D"/>
    <w:rsid w:val="00946A39"/>
    <w:rsid w:val="00951BC7"/>
    <w:rsid w:val="0095447A"/>
    <w:rsid w:val="009571C3"/>
    <w:rsid w:val="009576F0"/>
    <w:rsid w:val="0096091F"/>
    <w:rsid w:val="00974CDA"/>
    <w:rsid w:val="00975226"/>
    <w:rsid w:val="00985C20"/>
    <w:rsid w:val="00987476"/>
    <w:rsid w:val="009924B2"/>
    <w:rsid w:val="00992996"/>
    <w:rsid w:val="009A4607"/>
    <w:rsid w:val="009A588D"/>
    <w:rsid w:val="009A60A3"/>
    <w:rsid w:val="009A6BB6"/>
    <w:rsid w:val="009B1855"/>
    <w:rsid w:val="009B3158"/>
    <w:rsid w:val="009B335C"/>
    <w:rsid w:val="009B433E"/>
    <w:rsid w:val="009C5687"/>
    <w:rsid w:val="009C7DB9"/>
    <w:rsid w:val="009E0854"/>
    <w:rsid w:val="009E0C08"/>
    <w:rsid w:val="009F19E1"/>
    <w:rsid w:val="009F2D8E"/>
    <w:rsid w:val="009F5A6B"/>
    <w:rsid w:val="009F68D6"/>
    <w:rsid w:val="00A06F7D"/>
    <w:rsid w:val="00A072A6"/>
    <w:rsid w:val="00A219BC"/>
    <w:rsid w:val="00A21C05"/>
    <w:rsid w:val="00A2298C"/>
    <w:rsid w:val="00A2332A"/>
    <w:rsid w:val="00A2565B"/>
    <w:rsid w:val="00A26004"/>
    <w:rsid w:val="00A26B58"/>
    <w:rsid w:val="00A344BE"/>
    <w:rsid w:val="00A3711B"/>
    <w:rsid w:val="00A37372"/>
    <w:rsid w:val="00A5596B"/>
    <w:rsid w:val="00A61375"/>
    <w:rsid w:val="00A727E1"/>
    <w:rsid w:val="00A80D9F"/>
    <w:rsid w:val="00A812A1"/>
    <w:rsid w:val="00A83001"/>
    <w:rsid w:val="00A843BE"/>
    <w:rsid w:val="00A84744"/>
    <w:rsid w:val="00A9148D"/>
    <w:rsid w:val="00A9388C"/>
    <w:rsid w:val="00AA3B1B"/>
    <w:rsid w:val="00AA463B"/>
    <w:rsid w:val="00AA4E5D"/>
    <w:rsid w:val="00AB116F"/>
    <w:rsid w:val="00AB5AAE"/>
    <w:rsid w:val="00AC5F5C"/>
    <w:rsid w:val="00AD2D27"/>
    <w:rsid w:val="00AD3541"/>
    <w:rsid w:val="00AD6723"/>
    <w:rsid w:val="00AD7784"/>
    <w:rsid w:val="00AF395F"/>
    <w:rsid w:val="00AF519B"/>
    <w:rsid w:val="00AF57A7"/>
    <w:rsid w:val="00AF5ACB"/>
    <w:rsid w:val="00AF6562"/>
    <w:rsid w:val="00B0132D"/>
    <w:rsid w:val="00B15A1C"/>
    <w:rsid w:val="00B22364"/>
    <w:rsid w:val="00B277A6"/>
    <w:rsid w:val="00B27DBA"/>
    <w:rsid w:val="00B46D3C"/>
    <w:rsid w:val="00B54B2E"/>
    <w:rsid w:val="00B62882"/>
    <w:rsid w:val="00B6490D"/>
    <w:rsid w:val="00B659D7"/>
    <w:rsid w:val="00B81155"/>
    <w:rsid w:val="00B863A7"/>
    <w:rsid w:val="00B93834"/>
    <w:rsid w:val="00BA14F3"/>
    <w:rsid w:val="00BA2D9B"/>
    <w:rsid w:val="00BA3714"/>
    <w:rsid w:val="00BB0819"/>
    <w:rsid w:val="00BB4765"/>
    <w:rsid w:val="00BB714E"/>
    <w:rsid w:val="00BC35ED"/>
    <w:rsid w:val="00BC3A44"/>
    <w:rsid w:val="00BC5A36"/>
    <w:rsid w:val="00BC5B8A"/>
    <w:rsid w:val="00BD0173"/>
    <w:rsid w:val="00BD2F2A"/>
    <w:rsid w:val="00BE04C4"/>
    <w:rsid w:val="00BE3280"/>
    <w:rsid w:val="00BF176D"/>
    <w:rsid w:val="00BF18D3"/>
    <w:rsid w:val="00BF54B6"/>
    <w:rsid w:val="00BF598A"/>
    <w:rsid w:val="00BF7533"/>
    <w:rsid w:val="00C110B8"/>
    <w:rsid w:val="00C122AF"/>
    <w:rsid w:val="00C158B2"/>
    <w:rsid w:val="00C31296"/>
    <w:rsid w:val="00C343FA"/>
    <w:rsid w:val="00C41726"/>
    <w:rsid w:val="00C44C6D"/>
    <w:rsid w:val="00C555DA"/>
    <w:rsid w:val="00C64956"/>
    <w:rsid w:val="00C72A9B"/>
    <w:rsid w:val="00C80DFB"/>
    <w:rsid w:val="00C80E01"/>
    <w:rsid w:val="00C8684D"/>
    <w:rsid w:val="00C91128"/>
    <w:rsid w:val="00C91136"/>
    <w:rsid w:val="00CA01FB"/>
    <w:rsid w:val="00CB5EC7"/>
    <w:rsid w:val="00CB7B3A"/>
    <w:rsid w:val="00CC0B6D"/>
    <w:rsid w:val="00CC1BE7"/>
    <w:rsid w:val="00CC2C6F"/>
    <w:rsid w:val="00CC76FF"/>
    <w:rsid w:val="00CD34DA"/>
    <w:rsid w:val="00CE3284"/>
    <w:rsid w:val="00CF70B9"/>
    <w:rsid w:val="00CF72AD"/>
    <w:rsid w:val="00D051AB"/>
    <w:rsid w:val="00D0537F"/>
    <w:rsid w:val="00D05438"/>
    <w:rsid w:val="00D065B4"/>
    <w:rsid w:val="00D42336"/>
    <w:rsid w:val="00D45457"/>
    <w:rsid w:val="00D479BC"/>
    <w:rsid w:val="00D50EFB"/>
    <w:rsid w:val="00D512B2"/>
    <w:rsid w:val="00D61F79"/>
    <w:rsid w:val="00D65E35"/>
    <w:rsid w:val="00D743BD"/>
    <w:rsid w:val="00D75CF5"/>
    <w:rsid w:val="00D83CEF"/>
    <w:rsid w:val="00DB273C"/>
    <w:rsid w:val="00DC0061"/>
    <w:rsid w:val="00DC5A7B"/>
    <w:rsid w:val="00DD7601"/>
    <w:rsid w:val="00DD7806"/>
    <w:rsid w:val="00DE1368"/>
    <w:rsid w:val="00DE266A"/>
    <w:rsid w:val="00DE27C7"/>
    <w:rsid w:val="00DE327B"/>
    <w:rsid w:val="00DE3BAE"/>
    <w:rsid w:val="00DE5884"/>
    <w:rsid w:val="00DF045C"/>
    <w:rsid w:val="00DF2C75"/>
    <w:rsid w:val="00DF2E4D"/>
    <w:rsid w:val="00DF73F3"/>
    <w:rsid w:val="00E01F9A"/>
    <w:rsid w:val="00E12FCA"/>
    <w:rsid w:val="00E1335B"/>
    <w:rsid w:val="00E1558E"/>
    <w:rsid w:val="00E20685"/>
    <w:rsid w:val="00E20B1B"/>
    <w:rsid w:val="00E26F40"/>
    <w:rsid w:val="00E300CA"/>
    <w:rsid w:val="00E35CD6"/>
    <w:rsid w:val="00E42A10"/>
    <w:rsid w:val="00E43832"/>
    <w:rsid w:val="00E47DBD"/>
    <w:rsid w:val="00E6521C"/>
    <w:rsid w:val="00E71E2C"/>
    <w:rsid w:val="00E73E96"/>
    <w:rsid w:val="00E827FE"/>
    <w:rsid w:val="00E82E65"/>
    <w:rsid w:val="00E85DB3"/>
    <w:rsid w:val="00E93267"/>
    <w:rsid w:val="00E93543"/>
    <w:rsid w:val="00EA5FC5"/>
    <w:rsid w:val="00EA7097"/>
    <w:rsid w:val="00EB675A"/>
    <w:rsid w:val="00EC12B9"/>
    <w:rsid w:val="00EC3353"/>
    <w:rsid w:val="00EC6A1A"/>
    <w:rsid w:val="00ED1C59"/>
    <w:rsid w:val="00EE05E9"/>
    <w:rsid w:val="00EE2BF4"/>
    <w:rsid w:val="00EE68EF"/>
    <w:rsid w:val="00EE78D5"/>
    <w:rsid w:val="00F03F3A"/>
    <w:rsid w:val="00F04F15"/>
    <w:rsid w:val="00F11542"/>
    <w:rsid w:val="00F12678"/>
    <w:rsid w:val="00F13925"/>
    <w:rsid w:val="00F1511C"/>
    <w:rsid w:val="00F17DA5"/>
    <w:rsid w:val="00F244E3"/>
    <w:rsid w:val="00F27297"/>
    <w:rsid w:val="00F30DD5"/>
    <w:rsid w:val="00F31DE2"/>
    <w:rsid w:val="00F321FA"/>
    <w:rsid w:val="00F47737"/>
    <w:rsid w:val="00F70B40"/>
    <w:rsid w:val="00F71514"/>
    <w:rsid w:val="00F73176"/>
    <w:rsid w:val="00F7676D"/>
    <w:rsid w:val="00F80702"/>
    <w:rsid w:val="00F8548F"/>
    <w:rsid w:val="00F87735"/>
    <w:rsid w:val="00F959B4"/>
    <w:rsid w:val="00FA10E7"/>
    <w:rsid w:val="00FA41C6"/>
    <w:rsid w:val="00FA4C05"/>
    <w:rsid w:val="00FB5454"/>
    <w:rsid w:val="00FB653F"/>
    <w:rsid w:val="00FC2B89"/>
    <w:rsid w:val="00FC57CA"/>
    <w:rsid w:val="00FD4CF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B828"/>
  <w15:chartTrackingRefBased/>
  <w15:docId w15:val="{81FDA0AD-05BA-E344-8987-FBAABBB4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061"/>
  </w:style>
  <w:style w:type="paragraph" w:styleId="Heading1">
    <w:name w:val="heading 1"/>
    <w:basedOn w:val="Normal"/>
    <w:next w:val="Normal"/>
    <w:link w:val="Heading1Char"/>
    <w:uiPriority w:val="9"/>
    <w:qFormat/>
    <w:rsid w:val="00676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6B"/>
    <w:rPr>
      <w:rFonts w:eastAsiaTheme="majorEastAsia" w:cstheme="majorBidi"/>
      <w:color w:val="272727" w:themeColor="text1" w:themeTint="D8"/>
    </w:rPr>
  </w:style>
  <w:style w:type="paragraph" w:styleId="Title">
    <w:name w:val="Title"/>
    <w:basedOn w:val="Normal"/>
    <w:next w:val="Normal"/>
    <w:link w:val="TitleChar"/>
    <w:uiPriority w:val="10"/>
    <w:qFormat/>
    <w:rsid w:val="00676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6B"/>
    <w:pPr>
      <w:spacing w:before="160"/>
      <w:jc w:val="center"/>
    </w:pPr>
    <w:rPr>
      <w:i/>
      <w:iCs/>
      <w:color w:val="404040" w:themeColor="text1" w:themeTint="BF"/>
    </w:rPr>
  </w:style>
  <w:style w:type="character" w:customStyle="1" w:styleId="QuoteChar">
    <w:name w:val="Quote Char"/>
    <w:basedOn w:val="DefaultParagraphFont"/>
    <w:link w:val="Quote"/>
    <w:uiPriority w:val="29"/>
    <w:rsid w:val="0067656B"/>
    <w:rPr>
      <w:i/>
      <w:iCs/>
      <w:color w:val="404040" w:themeColor="text1" w:themeTint="BF"/>
    </w:rPr>
  </w:style>
  <w:style w:type="paragraph" w:styleId="ListParagraph">
    <w:name w:val="List Paragraph"/>
    <w:basedOn w:val="Normal"/>
    <w:uiPriority w:val="34"/>
    <w:qFormat/>
    <w:rsid w:val="0067656B"/>
    <w:pPr>
      <w:ind w:left="720"/>
      <w:contextualSpacing/>
    </w:pPr>
  </w:style>
  <w:style w:type="character" w:styleId="IntenseEmphasis">
    <w:name w:val="Intense Emphasis"/>
    <w:basedOn w:val="DefaultParagraphFont"/>
    <w:uiPriority w:val="21"/>
    <w:qFormat/>
    <w:rsid w:val="0067656B"/>
    <w:rPr>
      <w:i/>
      <w:iCs/>
      <w:color w:val="0F4761" w:themeColor="accent1" w:themeShade="BF"/>
    </w:rPr>
  </w:style>
  <w:style w:type="paragraph" w:styleId="IntenseQuote">
    <w:name w:val="Intense Quote"/>
    <w:basedOn w:val="Normal"/>
    <w:next w:val="Normal"/>
    <w:link w:val="IntenseQuoteChar"/>
    <w:uiPriority w:val="30"/>
    <w:qFormat/>
    <w:rsid w:val="00676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6B"/>
    <w:rPr>
      <w:i/>
      <w:iCs/>
      <w:color w:val="0F4761" w:themeColor="accent1" w:themeShade="BF"/>
    </w:rPr>
  </w:style>
  <w:style w:type="character" w:styleId="IntenseReference">
    <w:name w:val="Intense Reference"/>
    <w:basedOn w:val="DefaultParagraphFont"/>
    <w:uiPriority w:val="32"/>
    <w:qFormat/>
    <w:rsid w:val="0067656B"/>
    <w:rPr>
      <w:b/>
      <w:bCs/>
      <w:smallCaps/>
      <w:color w:val="0F4761" w:themeColor="accent1" w:themeShade="BF"/>
      <w:spacing w:val="5"/>
    </w:rPr>
  </w:style>
  <w:style w:type="character" w:styleId="Hyperlink">
    <w:name w:val="Hyperlink"/>
    <w:basedOn w:val="DefaultParagraphFont"/>
    <w:uiPriority w:val="99"/>
    <w:unhideWhenUsed/>
    <w:rsid w:val="00DC0061"/>
    <w:rPr>
      <w:color w:val="467886" w:themeColor="hyperlink"/>
      <w:u w:val="single"/>
    </w:rPr>
  </w:style>
  <w:style w:type="table" w:styleId="TableGrid">
    <w:name w:val="Table Grid"/>
    <w:basedOn w:val="TableNormal"/>
    <w:uiPriority w:val="39"/>
    <w:rsid w:val="00DC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00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3</cp:revision>
  <dcterms:created xsi:type="dcterms:W3CDTF">2026-07-30T06:14:00Z</dcterms:created>
  <dcterms:modified xsi:type="dcterms:W3CDTF">2026-07-30T09:54:00Z</dcterms:modified>
</cp:coreProperties>
</file>