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13257B" w14:textId="50C90E5D" w:rsidR="00BC35ED" w:rsidRPr="00CE12AF" w:rsidRDefault="00690CC6" w:rsidP="00690CC6">
      <w:pPr>
        <w:pStyle w:val="ListParagraph"/>
        <w:numPr>
          <w:ilvl w:val="0"/>
          <w:numId w:val="1"/>
        </w:numPr>
        <w:rPr>
          <w:rFonts w:ascii="Aptos" w:hAnsi="Aptos"/>
        </w:rPr>
      </w:pPr>
      <w:r w:rsidRPr="00907C68">
        <w:rPr>
          <w:rFonts w:ascii="Aptos" w:hAnsi="Aptos"/>
        </w:rPr>
        <w:t xml:space="preserve">(Huang et al., 2025) </w:t>
      </w:r>
      <w:hyperlink r:id="rId5" w:history="1">
        <w:r w:rsidRPr="00907C68">
          <w:rPr>
            <w:rStyle w:val="Hyperlink"/>
            <w:rFonts w:ascii="Aptos" w:hAnsi="Aptos"/>
          </w:rPr>
          <w:t>https://www.jove.com/t/68760/a-verified-workflow-for-mirna-seq-data-processing-bioinformatics</w:t>
        </w:r>
        <w:r w:rsidRPr="00907C68">
          <w:rPr>
            <w:rStyle w:val="Hyperlink"/>
            <w:rFonts w:ascii="Aptos" w:hAnsi="Aptos"/>
            <w:noProof/>
          </w:rPr>
          <w:drawing>
            <wp:inline distT="0" distB="0" distL="0" distR="0" wp14:anchorId="1999016F" wp14:editId="1DD8C17D">
              <wp:extent cx="4059252" cy="1401355"/>
              <wp:effectExtent l="0" t="0" r="5080" b="0"/>
              <wp:docPr id="28229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93035" name=""/>
                      <pic:cNvPicPr/>
                    </pic:nvPicPr>
                    <pic:blipFill>
                      <a:blip r:embed="rId6"/>
                      <a:stretch>
                        <a:fillRect/>
                      </a:stretch>
                    </pic:blipFill>
                    <pic:spPr>
                      <a:xfrm>
                        <a:off x="0" y="0"/>
                        <a:ext cx="4078728" cy="1408079"/>
                      </a:xfrm>
                      <a:prstGeom prst="rect">
                        <a:avLst/>
                      </a:prstGeom>
                    </pic:spPr>
                  </pic:pic>
                </a:graphicData>
              </a:graphic>
            </wp:inline>
          </w:drawing>
        </w:r>
      </w:hyperlink>
    </w:p>
    <w:p w14:paraId="0215E845" w14:textId="77777777" w:rsidR="00CE12AF" w:rsidRDefault="00CE12AF" w:rsidP="00CE12AF">
      <w:pPr>
        <w:rPr>
          <w:rFonts w:ascii="Aptos" w:hAnsi="Aptos"/>
        </w:rPr>
      </w:pPr>
    </w:p>
    <w:p w14:paraId="61021867" w14:textId="4B10BA76" w:rsidR="00CE4E4C" w:rsidRDefault="00CE4E4C" w:rsidP="00CE12AF">
      <w:pPr>
        <w:rPr>
          <w:rFonts w:ascii="Aptos" w:hAnsi="Aptos"/>
        </w:rPr>
      </w:pPr>
      <w:r w:rsidRPr="00CE4E4C">
        <w:rPr>
          <w:rFonts w:ascii="Aptos" w:hAnsi="Aptos"/>
          <w:b/>
          <w:bCs/>
        </w:rPr>
        <w:t>Introduction</w:t>
      </w:r>
    </w:p>
    <w:p w14:paraId="6FC6C663" w14:textId="65D074EB" w:rsidR="00CE4E4C" w:rsidRDefault="00CE4E4C" w:rsidP="00CE4E4C">
      <w:pPr>
        <w:pStyle w:val="ListParagraph"/>
        <w:numPr>
          <w:ilvl w:val="0"/>
          <w:numId w:val="1"/>
        </w:numPr>
        <w:rPr>
          <w:rFonts w:ascii="Aptos" w:hAnsi="Aptos"/>
        </w:rPr>
      </w:pPr>
      <w:r>
        <w:rPr>
          <w:rFonts w:ascii="Aptos" w:hAnsi="Aptos"/>
        </w:rPr>
        <w:t xml:space="preserve">Really good paper on airway epithelium, allergy and diseases </w:t>
      </w:r>
      <w:r w:rsidRPr="00CE4E4C">
        <w:rPr>
          <w:rFonts w:ascii="Aptos" w:hAnsi="Aptos"/>
        </w:rPr>
        <w:sym w:font="Wingdings" w:char="F0E0"/>
      </w:r>
      <w:r>
        <w:rPr>
          <w:rFonts w:ascii="Aptos" w:hAnsi="Aptos"/>
        </w:rPr>
        <w:t xml:space="preserve"> </w:t>
      </w:r>
      <w:hyperlink r:id="rId7" w:history="1">
        <w:r w:rsidRPr="00B2661E">
          <w:rPr>
            <w:rStyle w:val="Hyperlink"/>
            <w:rFonts w:ascii="Aptos" w:hAnsi="Aptos"/>
          </w:rPr>
          <w:t>https://pmc.ncbi.nlm.nih.gov/articles/PMC7118214/</w:t>
        </w:r>
      </w:hyperlink>
    </w:p>
    <w:p w14:paraId="4E17E20D" w14:textId="2656DE77" w:rsidR="00D17631" w:rsidRDefault="00D17631" w:rsidP="00D17631">
      <w:pPr>
        <w:pStyle w:val="ListParagraph"/>
        <w:numPr>
          <w:ilvl w:val="1"/>
          <w:numId w:val="1"/>
        </w:numPr>
        <w:rPr>
          <w:rFonts w:ascii="Aptos" w:hAnsi="Aptos"/>
        </w:rPr>
      </w:pPr>
      <w:r>
        <w:rPr>
          <w:rFonts w:ascii="Aptos" w:hAnsi="Aptos"/>
        </w:rPr>
        <w:t>“</w:t>
      </w:r>
      <w:r w:rsidRPr="00D17631">
        <w:rPr>
          <w:rFonts w:ascii="Aptos" w:hAnsi="Aptos"/>
        </w:rPr>
        <w:t>AR and asthma affect over 300 million people worldwide, thus being major public health problems</w:t>
      </w:r>
      <w:r>
        <w:rPr>
          <w:rFonts w:ascii="Aptos" w:hAnsi="Aptos"/>
        </w:rPr>
        <w:t>”</w:t>
      </w:r>
    </w:p>
    <w:p w14:paraId="0EEBAC05" w14:textId="728B9457" w:rsidR="00CE4E4C" w:rsidRDefault="00CE4E4C" w:rsidP="00CE4E4C">
      <w:pPr>
        <w:pStyle w:val="ListParagraph"/>
        <w:numPr>
          <w:ilvl w:val="0"/>
          <w:numId w:val="1"/>
        </w:numPr>
        <w:rPr>
          <w:rFonts w:ascii="Aptos" w:hAnsi="Aptos"/>
        </w:rPr>
      </w:pPr>
      <w:r>
        <w:rPr>
          <w:rFonts w:ascii="Aptos" w:hAnsi="Aptos"/>
        </w:rPr>
        <w:t xml:space="preserve">Allergic reaction in airway and inflammation </w:t>
      </w:r>
      <w:r w:rsidRPr="00CE4E4C">
        <w:rPr>
          <w:rFonts w:ascii="Aptos" w:hAnsi="Aptos"/>
        </w:rPr>
        <w:sym w:font="Wingdings" w:char="F0E0"/>
      </w:r>
      <w:r>
        <w:rPr>
          <w:rFonts w:ascii="Aptos" w:hAnsi="Aptos"/>
        </w:rPr>
        <w:t xml:space="preserve"> </w:t>
      </w:r>
      <w:hyperlink r:id="rId8" w:history="1">
        <w:r w:rsidRPr="00B2661E">
          <w:rPr>
            <w:rStyle w:val="Hyperlink"/>
            <w:rFonts w:ascii="Aptos" w:hAnsi="Aptos"/>
          </w:rPr>
          <w:t>https://www.nature.com/articles/s41392-023-01344-4</w:t>
        </w:r>
      </w:hyperlink>
    </w:p>
    <w:p w14:paraId="4F3DA362" w14:textId="2EF4665D" w:rsidR="00CE4E4C" w:rsidRDefault="00CE4E4C" w:rsidP="00CE4E4C">
      <w:pPr>
        <w:pStyle w:val="ListParagraph"/>
        <w:numPr>
          <w:ilvl w:val="1"/>
          <w:numId w:val="1"/>
        </w:numPr>
        <w:rPr>
          <w:rFonts w:ascii="Aptos" w:hAnsi="Aptos"/>
        </w:rPr>
      </w:pPr>
      <w:r>
        <w:rPr>
          <w:rFonts w:ascii="Aptos" w:hAnsi="Aptos"/>
        </w:rPr>
        <w:t>Search for ‘</w:t>
      </w:r>
      <w:r w:rsidRPr="00CE4E4C">
        <w:rPr>
          <w:rFonts w:ascii="Aptos" w:hAnsi="Aptos"/>
        </w:rPr>
        <w:t>Epithelial cells play a key role in airway diseases and constitute a critical interface between the body and the environment.</w:t>
      </w:r>
      <w:r>
        <w:rPr>
          <w:rFonts w:ascii="Aptos" w:hAnsi="Aptos"/>
        </w:rPr>
        <w:t>’ To get to the relevant section.</w:t>
      </w:r>
    </w:p>
    <w:p w14:paraId="327CBF0E" w14:textId="77777777" w:rsidR="00D17631" w:rsidRDefault="00D17631" w:rsidP="00D17631">
      <w:pPr>
        <w:pStyle w:val="ListParagraph"/>
        <w:numPr>
          <w:ilvl w:val="0"/>
          <w:numId w:val="1"/>
        </w:numPr>
      </w:pPr>
      <w:r>
        <w:rPr>
          <w:rFonts w:ascii="Aptos" w:hAnsi="Aptos"/>
        </w:rPr>
        <w:t xml:space="preserve">Proteases in epithelial inflammation </w:t>
      </w:r>
      <w:r w:rsidRPr="00D17631">
        <w:rPr>
          <w:rFonts w:ascii="Aptos" w:hAnsi="Aptos"/>
        </w:rPr>
        <w:sym w:font="Wingdings" w:char="F0E0"/>
      </w:r>
      <w:r>
        <w:rPr>
          <w:rFonts w:ascii="Aptos" w:hAnsi="Aptos"/>
        </w:rPr>
        <w:t xml:space="preserve"> </w:t>
      </w:r>
      <w:hyperlink r:id="rId9" w:history="1">
        <w:r w:rsidRPr="00B2661E">
          <w:rPr>
            <w:rStyle w:val="Hyperlink"/>
          </w:rPr>
          <w:t>https://pmc.ncbi.nlm.nih.gov/articles/PMC5770401/</w:t>
        </w:r>
      </w:hyperlink>
    </w:p>
    <w:p w14:paraId="3975FD28" w14:textId="77777777" w:rsidR="001C3039" w:rsidRDefault="00D17631" w:rsidP="001C3039">
      <w:pPr>
        <w:pStyle w:val="ListParagraph"/>
        <w:numPr>
          <w:ilvl w:val="1"/>
          <w:numId w:val="1"/>
        </w:numPr>
      </w:pPr>
      <w:r>
        <w:t>“…</w:t>
      </w:r>
      <w:r w:rsidRPr="006213E2">
        <w:t>imbalance of proteases and protease inhibitors in the epithelial barrier leads to both the initiation and maintenance of chronic eosinophilic airway inflammation.</w:t>
      </w:r>
      <w:r>
        <w:t>”</w:t>
      </w:r>
    </w:p>
    <w:p w14:paraId="3A8791A5" w14:textId="7A37604A" w:rsidR="001C3039" w:rsidRDefault="001C3039" w:rsidP="001C3039">
      <w:pPr>
        <w:pStyle w:val="ListParagraph"/>
        <w:numPr>
          <w:ilvl w:val="0"/>
          <w:numId w:val="1"/>
        </w:numPr>
      </w:pPr>
      <w:r>
        <w:t xml:space="preserve">Exosome background biology </w:t>
      </w:r>
      <w:r>
        <w:sym w:font="Wingdings" w:char="F0E0"/>
      </w:r>
      <w:r>
        <w:t xml:space="preserve"> </w:t>
      </w:r>
      <w:hyperlink r:id="rId10" w:history="1">
        <w:r w:rsidRPr="00B2661E">
          <w:rPr>
            <w:rStyle w:val="Hyperlink"/>
          </w:rPr>
          <w:t>https://pmc.ncbi.nlm.nih.gov/articles/PMC11238361/</w:t>
        </w:r>
      </w:hyperlink>
    </w:p>
    <w:p w14:paraId="77E170C4" w14:textId="7DEB28BA" w:rsidR="001C3039" w:rsidRDefault="001C3039" w:rsidP="001C3039">
      <w:pPr>
        <w:pStyle w:val="ListParagraph"/>
      </w:pPr>
    </w:p>
    <w:p w14:paraId="4125FE41" w14:textId="618E4429" w:rsidR="00D17631" w:rsidRPr="00CE4E4C" w:rsidRDefault="00D17631" w:rsidP="00D17631">
      <w:pPr>
        <w:pStyle w:val="ListParagraph"/>
        <w:rPr>
          <w:rFonts w:ascii="Aptos" w:hAnsi="Aptos"/>
        </w:rPr>
      </w:pPr>
    </w:p>
    <w:p w14:paraId="4AB41420" w14:textId="77777777" w:rsidR="00880139" w:rsidRPr="00907C68" w:rsidRDefault="00880139" w:rsidP="00880139">
      <w:pPr>
        <w:rPr>
          <w:rFonts w:ascii="Aptos" w:hAnsi="Aptos"/>
        </w:rPr>
      </w:pPr>
    </w:p>
    <w:p w14:paraId="622D5716" w14:textId="6FFCAB1E" w:rsidR="00880139" w:rsidRPr="00907C68" w:rsidRDefault="00880139" w:rsidP="00880139">
      <w:pPr>
        <w:rPr>
          <w:rFonts w:ascii="Aptos" w:hAnsi="Aptos"/>
          <w:b/>
          <w:bCs/>
        </w:rPr>
      </w:pPr>
      <w:r w:rsidRPr="00907C68">
        <w:rPr>
          <w:rFonts w:ascii="Aptos" w:hAnsi="Aptos"/>
          <w:b/>
          <w:bCs/>
        </w:rPr>
        <w:t>Part 2 - Functional enrichment</w:t>
      </w:r>
    </w:p>
    <w:p w14:paraId="7BFEB59C"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Computational Methods and Software Tools for Functional Analysis of miRNA Data</w:t>
      </w:r>
      <w:r w:rsidRPr="00907C68">
        <w:rPr>
          <w:rFonts w:ascii="Aptos" w:hAnsi="Aptos"/>
        </w:rPr>
        <w:t xml:space="preserve"> (2020)</w:t>
      </w:r>
      <w:r w:rsidRPr="00907C68">
        <w:rPr>
          <w:rFonts w:ascii="Aptos" w:hAnsi="Aptos"/>
        </w:rPr>
        <w:br/>
      </w:r>
      <w:hyperlink r:id="rId11" w:history="1">
        <w:r w:rsidRPr="00907C68">
          <w:rPr>
            <w:rStyle w:val="Hyperlink"/>
            <w:rFonts w:ascii="Aptos" w:hAnsi="Aptos"/>
          </w:rPr>
          <w:t>https://pmc.ncbi.nlm.nih.gov/articles/PMC7563698/</w:t>
        </w:r>
      </w:hyperlink>
    </w:p>
    <w:p w14:paraId="758A1835"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Bias in microRNA Functional Enrichment Analysis</w:t>
      </w:r>
      <w:r w:rsidRPr="00907C68">
        <w:rPr>
          <w:rFonts w:ascii="Aptos" w:hAnsi="Aptos"/>
        </w:rPr>
        <w:t xml:space="preserve"> (2015)</w:t>
      </w:r>
      <w:r w:rsidRPr="00907C68">
        <w:rPr>
          <w:rFonts w:ascii="Aptos" w:hAnsi="Aptos"/>
        </w:rPr>
        <w:br/>
      </w:r>
      <w:hyperlink r:id="rId12" w:history="1">
        <w:r w:rsidRPr="00907C68">
          <w:rPr>
            <w:rStyle w:val="Hyperlink"/>
            <w:rFonts w:ascii="Aptos" w:hAnsi="Aptos"/>
          </w:rPr>
          <w:t>https://pmc.ncbi.nlm.nih.gov/articles/PMC4426843/</w:t>
        </w:r>
      </w:hyperlink>
    </w:p>
    <w:p w14:paraId="4DCF90BB" w14:textId="77777777" w:rsidR="00880139" w:rsidRPr="00907C68" w:rsidRDefault="00880139" w:rsidP="00880139">
      <w:pPr>
        <w:pStyle w:val="NormalWeb"/>
        <w:numPr>
          <w:ilvl w:val="0"/>
          <w:numId w:val="1"/>
        </w:numPr>
        <w:rPr>
          <w:rFonts w:ascii="Aptos" w:hAnsi="Aptos"/>
        </w:rPr>
      </w:pPr>
      <w:proofErr w:type="spellStart"/>
      <w:r w:rsidRPr="00907C68">
        <w:rPr>
          <w:rStyle w:val="Strong"/>
          <w:rFonts w:ascii="Aptos" w:hAnsi="Aptos"/>
          <w:b w:val="0"/>
          <w:bCs w:val="0"/>
        </w:rPr>
        <w:lastRenderedPageBreak/>
        <w:t>miEAA</w:t>
      </w:r>
      <w:proofErr w:type="spellEnd"/>
      <w:r w:rsidRPr="00907C68">
        <w:rPr>
          <w:rStyle w:val="Strong"/>
          <w:rFonts w:ascii="Aptos" w:hAnsi="Aptos"/>
          <w:b w:val="0"/>
          <w:bCs w:val="0"/>
        </w:rPr>
        <w:t xml:space="preserve"> 2023: Updates, New Functional microRNA Sets and Improved Enrichment Visualizations</w:t>
      </w:r>
      <w:r w:rsidRPr="00907C68">
        <w:rPr>
          <w:rFonts w:ascii="Aptos" w:hAnsi="Aptos"/>
        </w:rPr>
        <w:t xml:space="preserve"> (2023)</w:t>
      </w:r>
      <w:r w:rsidRPr="00907C68">
        <w:rPr>
          <w:rFonts w:ascii="Aptos" w:hAnsi="Aptos"/>
        </w:rPr>
        <w:br/>
      </w:r>
      <w:hyperlink r:id="rId13" w:history="1">
        <w:r w:rsidRPr="00907C68">
          <w:rPr>
            <w:rStyle w:val="Hyperlink"/>
            <w:rFonts w:ascii="Aptos" w:hAnsi="Aptos"/>
          </w:rPr>
          <w:t>https://pmc.ncbi.nlm.nih.gov/articles/PMC10320052/</w:t>
        </w:r>
      </w:hyperlink>
    </w:p>
    <w:p w14:paraId="2EF029EE" w14:textId="77777777" w:rsidR="00880139" w:rsidRPr="00907C68" w:rsidRDefault="00880139" w:rsidP="00880139">
      <w:pPr>
        <w:pStyle w:val="NormalWeb"/>
        <w:numPr>
          <w:ilvl w:val="0"/>
          <w:numId w:val="1"/>
        </w:numPr>
        <w:rPr>
          <w:rFonts w:ascii="Aptos" w:hAnsi="Aptos"/>
        </w:rPr>
      </w:pPr>
      <w:r w:rsidRPr="00907C68">
        <w:rPr>
          <w:rStyle w:val="Strong"/>
          <w:rFonts w:ascii="Aptos" w:hAnsi="Aptos"/>
          <w:b w:val="0"/>
          <w:bCs w:val="0"/>
        </w:rPr>
        <w:t>Insights into Online microRNA Bioinformatics Tools</w:t>
      </w:r>
      <w:r w:rsidRPr="00907C68">
        <w:rPr>
          <w:rFonts w:ascii="Aptos" w:hAnsi="Aptos"/>
        </w:rPr>
        <w:t xml:space="preserve"> (2023)</w:t>
      </w:r>
      <w:r w:rsidRPr="00907C68">
        <w:rPr>
          <w:rFonts w:ascii="Aptos" w:hAnsi="Aptos"/>
        </w:rPr>
        <w:br/>
      </w:r>
      <w:hyperlink r:id="rId14" w:history="1">
        <w:r w:rsidRPr="00907C68">
          <w:rPr>
            <w:rStyle w:val="Hyperlink"/>
            <w:rFonts w:ascii="Aptos" w:hAnsi="Aptos"/>
          </w:rPr>
          <w:t>https://www.mdpi.com/2311-553X/9/2/18</w:t>
        </w:r>
      </w:hyperlink>
    </w:p>
    <w:p w14:paraId="225BB7DB" w14:textId="05B6A9F8" w:rsidR="00880139" w:rsidRPr="00907C68" w:rsidRDefault="00880139" w:rsidP="00880139">
      <w:pPr>
        <w:pStyle w:val="NormalWeb"/>
        <w:numPr>
          <w:ilvl w:val="0"/>
          <w:numId w:val="1"/>
        </w:numPr>
        <w:rPr>
          <w:rFonts w:ascii="Aptos" w:hAnsi="Aptos"/>
        </w:rPr>
      </w:pPr>
      <w:r w:rsidRPr="00907C68">
        <w:rPr>
          <w:rFonts w:ascii="Aptos" w:hAnsi="Aptos"/>
        </w:rPr>
        <w:t xml:space="preserve">Pathway analysis from lists of microRNAs: common pitfalls and alternative strategy (2025) </w:t>
      </w:r>
      <w:r w:rsidRPr="00907C68">
        <w:rPr>
          <w:rFonts w:ascii="Aptos" w:hAnsi="Aptos"/>
        </w:rPr>
        <w:sym w:font="Wingdings" w:char="F0E0"/>
      </w:r>
      <w:r w:rsidRPr="00907C68">
        <w:rPr>
          <w:rFonts w:ascii="Aptos" w:hAnsi="Aptos"/>
        </w:rPr>
        <w:t xml:space="preserve"> </w:t>
      </w:r>
      <w:hyperlink r:id="rId15" w:history="1">
        <w:r w:rsidRPr="00907C68">
          <w:rPr>
            <w:rStyle w:val="Hyperlink"/>
            <w:rFonts w:ascii="Aptos" w:hAnsi="Aptos"/>
          </w:rPr>
          <w:t>https://pmc.ncbi.nlm.nih.gov/articles/PMC4402548/</w:t>
        </w:r>
      </w:hyperlink>
    </w:p>
    <w:p w14:paraId="037A10FC" w14:textId="4CDE26BE" w:rsidR="00907C68" w:rsidRPr="00326E6E" w:rsidRDefault="00907C68" w:rsidP="00880139">
      <w:pPr>
        <w:pStyle w:val="NormalWeb"/>
        <w:numPr>
          <w:ilvl w:val="0"/>
          <w:numId w:val="1"/>
        </w:numPr>
        <w:rPr>
          <w:rFonts w:ascii="Aptos" w:hAnsi="Aptos"/>
        </w:rPr>
      </w:pPr>
      <w:r w:rsidRPr="00907C68">
        <w:rPr>
          <w:rFonts w:ascii="Aptos" w:hAnsi="Aptos"/>
        </w:rPr>
        <w:t>Use</w:t>
      </w:r>
      <w:r>
        <w:rPr>
          <w:rFonts w:ascii="Aptos" w:hAnsi="Aptos"/>
        </w:rPr>
        <w:t xml:space="preserve"> anticorrelation of miRNA and mRNA to focus enrichment analysis </w:t>
      </w:r>
      <w:r w:rsidRPr="00907C68">
        <w:rPr>
          <w:rFonts w:ascii="Aptos" w:hAnsi="Aptos"/>
        </w:rPr>
        <w:sym w:font="Wingdings" w:char="F0E0"/>
      </w:r>
      <w:r w:rsidRPr="00907C68">
        <w:rPr>
          <w:rFonts w:ascii="Aptos" w:hAnsi="Aptos"/>
        </w:rPr>
        <w:t xml:space="preserve"> </w:t>
      </w:r>
      <w:hyperlink r:id="rId16" w:history="1">
        <w:r w:rsidRPr="00AD0699">
          <w:rPr>
            <w:rStyle w:val="Hyperlink"/>
            <w:rFonts w:ascii="Aptos" w:hAnsi="Aptos"/>
          </w:rPr>
          <w:t>https://isevjournals.onlinelibrary.wiley.com/doi/full/10.1002/jex2.134</w:t>
        </w:r>
      </w:hyperlink>
    </w:p>
    <w:p w14:paraId="79FD4C45" w14:textId="163F011D" w:rsidR="00326E6E" w:rsidRDefault="00326E6E" w:rsidP="00880139">
      <w:pPr>
        <w:pStyle w:val="NormalWeb"/>
        <w:numPr>
          <w:ilvl w:val="0"/>
          <w:numId w:val="1"/>
        </w:numPr>
        <w:rPr>
          <w:rFonts w:ascii="Aptos" w:hAnsi="Aptos"/>
        </w:rPr>
      </w:pPr>
      <w:r w:rsidRPr="00326E6E">
        <w:rPr>
          <w:rFonts w:ascii="Aptos" w:hAnsi="Aptos"/>
        </w:rPr>
        <w:t xml:space="preserve">To reduce the number of false-positive results generated by a target prediction method, the user may choose several target prediction approaches for analysis that are based on different algorithms and consider various target prediction features. Further, the user may choose only the miRNA targets that are predicted by all (intersection) or X out of Y methods used (consensus). Currently, there are two miRNA target prediction meta-servers which were mentioned earlier in the chapter, Tools4miRs and </w:t>
      </w:r>
      <w:proofErr w:type="spellStart"/>
      <w:r w:rsidRPr="00326E6E">
        <w:rPr>
          <w:rFonts w:ascii="Aptos" w:hAnsi="Aptos"/>
        </w:rPr>
        <w:t>sRNAtoolbox</w:t>
      </w:r>
      <w:proofErr w:type="spellEnd"/>
      <w:r w:rsidRPr="00326E6E">
        <w:rPr>
          <w:rFonts w:ascii="Aptos" w:hAnsi="Aptos"/>
        </w:rPr>
        <w:t xml:space="preserve">. Both these services incorporate user-designated target prediction methods in the analysis of user-provided data and </w:t>
      </w:r>
      <w:proofErr w:type="gramStart"/>
      <w:r w:rsidRPr="00326E6E">
        <w:rPr>
          <w:rFonts w:ascii="Aptos" w:hAnsi="Aptos"/>
        </w:rPr>
        <w:t>are able to</w:t>
      </w:r>
      <w:proofErr w:type="gramEnd"/>
      <w:r w:rsidRPr="00326E6E">
        <w:rPr>
          <w:rFonts w:ascii="Aptos" w:hAnsi="Aptos"/>
        </w:rPr>
        <w:t xml:space="preserve"> present the intersection or consensus of the generated results.</w:t>
      </w:r>
      <w:r>
        <w:rPr>
          <w:rFonts w:ascii="Aptos" w:hAnsi="Aptos"/>
        </w:rPr>
        <w:t xml:space="preserve"> </w:t>
      </w:r>
      <w:r w:rsidRPr="00326E6E">
        <w:rPr>
          <w:rFonts w:ascii="Aptos" w:hAnsi="Aptos"/>
        </w:rPr>
        <w:sym w:font="Wingdings" w:char="F0E0"/>
      </w:r>
      <w:r>
        <w:rPr>
          <w:rFonts w:ascii="Aptos" w:hAnsi="Aptos"/>
        </w:rPr>
        <w:t xml:space="preserve"> </w:t>
      </w:r>
      <w:hyperlink r:id="rId17" w:anchor="Sec39" w:history="1">
        <w:r w:rsidRPr="00FF096D">
          <w:rPr>
            <w:rStyle w:val="Hyperlink"/>
            <w:rFonts w:ascii="Aptos" w:hAnsi="Aptos"/>
          </w:rPr>
          <w:t>https://link.springer.com/protocol/10.1007/978-1-0716-4398-3_2#Sec39</w:t>
        </w:r>
      </w:hyperlink>
    </w:p>
    <w:p w14:paraId="710ECDF7" w14:textId="1B9F8C14" w:rsidR="00326E6E" w:rsidRDefault="005E2558" w:rsidP="00880139">
      <w:pPr>
        <w:pStyle w:val="NormalWeb"/>
        <w:numPr>
          <w:ilvl w:val="0"/>
          <w:numId w:val="1"/>
        </w:numPr>
        <w:rPr>
          <w:rFonts w:ascii="Aptos" w:hAnsi="Aptos"/>
        </w:rPr>
      </w:pPr>
      <w:r>
        <w:rPr>
          <w:rFonts w:ascii="Aptos" w:hAnsi="Aptos"/>
        </w:rPr>
        <w:t>My-brain-</w:t>
      </w:r>
      <w:proofErr w:type="spellStart"/>
      <w:r>
        <w:rPr>
          <w:rFonts w:ascii="Aptos" w:hAnsi="Aptos"/>
        </w:rPr>
        <w:t>seq</w:t>
      </w:r>
      <w:proofErr w:type="spellEnd"/>
      <w:r>
        <w:rPr>
          <w:rFonts w:ascii="Aptos" w:hAnsi="Aptos"/>
        </w:rPr>
        <w:t xml:space="preserve"> (reproducible pipeline) </w:t>
      </w:r>
      <w:r w:rsidRPr="005E2558">
        <w:rPr>
          <w:rFonts w:ascii="Aptos" w:hAnsi="Aptos"/>
        </w:rPr>
        <w:sym w:font="Wingdings" w:char="F0E0"/>
      </w:r>
      <w:r>
        <w:rPr>
          <w:rFonts w:ascii="Aptos" w:hAnsi="Aptos"/>
        </w:rPr>
        <w:t xml:space="preserve"> </w:t>
      </w:r>
      <w:hyperlink r:id="rId18" w:history="1">
        <w:r w:rsidRPr="00FF096D">
          <w:rPr>
            <w:rStyle w:val="Hyperlink"/>
            <w:rFonts w:ascii="Aptos" w:hAnsi="Aptos"/>
          </w:rPr>
          <w:t>https://pmc.ncbi.nlm.nih.gov/articles/PMC10135678/</w:t>
        </w:r>
      </w:hyperlink>
    </w:p>
    <w:p w14:paraId="16A24A8B" w14:textId="4908EF00" w:rsidR="005E2558" w:rsidRDefault="005E2558" w:rsidP="00880139">
      <w:pPr>
        <w:pStyle w:val="NormalWeb"/>
        <w:numPr>
          <w:ilvl w:val="0"/>
          <w:numId w:val="1"/>
        </w:numPr>
        <w:rPr>
          <w:rFonts w:ascii="Aptos" w:hAnsi="Aptos"/>
        </w:rPr>
      </w:pPr>
      <w:r w:rsidRPr="005E2558">
        <w:rPr>
          <w:rFonts w:ascii="Aptos" w:hAnsi="Aptos"/>
        </w:rPr>
        <w:t xml:space="preserve">Pathway analysis from lists of microRNAs: common pitfalls and alternative strategy </w:t>
      </w:r>
      <w:r w:rsidR="00830B2C">
        <w:rPr>
          <w:rFonts w:ascii="Aptos" w:hAnsi="Aptos"/>
        </w:rPr>
        <w:t xml:space="preserve">(2015) </w:t>
      </w:r>
      <w:r>
        <w:rPr>
          <w:rFonts w:ascii="Aptos" w:hAnsi="Aptos"/>
        </w:rPr>
        <w:t xml:space="preserve"> </w:t>
      </w:r>
      <w:r w:rsidRPr="005E2558">
        <w:rPr>
          <w:rFonts w:ascii="Aptos" w:hAnsi="Aptos"/>
        </w:rPr>
        <w:sym w:font="Wingdings" w:char="F0E0"/>
      </w:r>
      <w:r>
        <w:rPr>
          <w:rFonts w:ascii="Aptos" w:hAnsi="Aptos"/>
        </w:rPr>
        <w:t xml:space="preserve"> </w:t>
      </w:r>
      <w:hyperlink r:id="rId19" w:history="1">
        <w:r w:rsidRPr="00FF096D">
          <w:rPr>
            <w:rStyle w:val="Hyperlink"/>
            <w:rFonts w:ascii="Aptos" w:hAnsi="Aptos"/>
          </w:rPr>
          <w:t>https://pmc.ncbi.nlm.nih.gov/articles/PMC4402548/</w:t>
        </w:r>
      </w:hyperlink>
    </w:p>
    <w:p w14:paraId="5C5A11F0" w14:textId="1132EAC1" w:rsidR="005E2558" w:rsidRDefault="00226339" w:rsidP="00226339">
      <w:pPr>
        <w:pStyle w:val="NormalWeb"/>
        <w:numPr>
          <w:ilvl w:val="1"/>
          <w:numId w:val="1"/>
        </w:numPr>
        <w:rPr>
          <w:rFonts w:ascii="Aptos" w:hAnsi="Aptos"/>
        </w:rPr>
      </w:pPr>
      <w:r>
        <w:rPr>
          <w:rFonts w:ascii="Aptos" w:hAnsi="Aptos"/>
        </w:rPr>
        <w:t>This is good for discussion – bias towards cancer pathways</w:t>
      </w:r>
    </w:p>
    <w:p w14:paraId="643E5347" w14:textId="71E3DB36" w:rsidR="0060568C" w:rsidRDefault="0060568C" w:rsidP="0060568C">
      <w:pPr>
        <w:pStyle w:val="NormalWeb"/>
        <w:numPr>
          <w:ilvl w:val="0"/>
          <w:numId w:val="1"/>
        </w:numPr>
        <w:rPr>
          <w:rFonts w:ascii="Aptos" w:hAnsi="Aptos"/>
        </w:rPr>
      </w:pPr>
      <w:r>
        <w:rPr>
          <w:rFonts w:ascii="Aptos" w:hAnsi="Aptos"/>
        </w:rPr>
        <w:t xml:space="preserve">Uses overlap of multiple databases (from </w:t>
      </w:r>
      <w:proofErr w:type="spellStart"/>
      <w:r>
        <w:rPr>
          <w:rFonts w:ascii="Aptos" w:hAnsi="Aptos"/>
        </w:rPr>
        <w:t>targetscan</w:t>
      </w:r>
      <w:proofErr w:type="spellEnd"/>
      <w:r>
        <w:rPr>
          <w:rFonts w:ascii="Aptos" w:hAnsi="Aptos"/>
        </w:rPr>
        <w:t xml:space="preserve"> and </w:t>
      </w:r>
      <w:proofErr w:type="spellStart"/>
      <w:r>
        <w:rPr>
          <w:rFonts w:ascii="Aptos" w:hAnsi="Aptos"/>
        </w:rPr>
        <w:t>miranda</w:t>
      </w:r>
      <w:proofErr w:type="spellEnd"/>
      <w:r>
        <w:rPr>
          <w:rFonts w:ascii="Aptos" w:hAnsi="Aptos"/>
        </w:rPr>
        <w:t xml:space="preserve">) </w:t>
      </w:r>
      <w:r w:rsidRPr="0060568C">
        <w:rPr>
          <w:rFonts w:ascii="Aptos" w:hAnsi="Aptos"/>
        </w:rPr>
        <w:sym w:font="Wingdings" w:char="F0E0"/>
      </w:r>
      <w:r>
        <w:rPr>
          <w:rFonts w:ascii="Aptos" w:hAnsi="Aptos"/>
        </w:rPr>
        <w:t xml:space="preserve"> </w:t>
      </w:r>
      <w:hyperlink r:id="rId20" w:anchor="S16" w:history="1">
        <w:r w:rsidRPr="00ED4663">
          <w:rPr>
            <w:rStyle w:val="Hyperlink"/>
            <w:rFonts w:ascii="Aptos" w:hAnsi="Aptos"/>
          </w:rPr>
          <w:t>https://pmc.ncbi.nlm.nih.gov/articles/PMC3951436/#S16</w:t>
        </w:r>
      </w:hyperlink>
    </w:p>
    <w:p w14:paraId="1DF3681C" w14:textId="21829998" w:rsidR="0060568C" w:rsidRDefault="0060568C" w:rsidP="0060568C">
      <w:pPr>
        <w:pStyle w:val="NormalWeb"/>
        <w:numPr>
          <w:ilvl w:val="0"/>
          <w:numId w:val="1"/>
        </w:numPr>
        <w:rPr>
          <w:rFonts w:ascii="Aptos" w:hAnsi="Aptos"/>
        </w:rPr>
      </w:pPr>
      <w:r>
        <w:rPr>
          <w:rFonts w:ascii="Aptos" w:hAnsi="Aptos"/>
        </w:rPr>
        <w:t xml:space="preserve">Uses GO terms that are over a p value, have support from at least 2 overrepresented genes and targeted by at least 2 miRNAs </w:t>
      </w:r>
      <w:r w:rsidRPr="0060568C">
        <w:rPr>
          <w:rFonts w:ascii="Aptos" w:hAnsi="Aptos"/>
        </w:rPr>
        <w:sym w:font="Wingdings" w:char="F0E0"/>
      </w:r>
      <w:r>
        <w:rPr>
          <w:rFonts w:ascii="Aptos" w:hAnsi="Aptos"/>
        </w:rPr>
        <w:t xml:space="preserve"> </w:t>
      </w:r>
      <w:hyperlink r:id="rId21" w:anchor="s4" w:history="1">
        <w:r w:rsidRPr="00ED4663">
          <w:rPr>
            <w:rStyle w:val="Hyperlink"/>
            <w:rFonts w:ascii="Aptos" w:hAnsi="Aptos"/>
          </w:rPr>
          <w:t>https://journals.plos.org/plosone/article?id=10.1371/journal.pone.0039357#s4</w:t>
        </w:r>
      </w:hyperlink>
    </w:p>
    <w:p w14:paraId="13989B07" w14:textId="2ED4D62B" w:rsidR="0060568C" w:rsidRPr="00CB0800" w:rsidRDefault="009066A0" w:rsidP="0060568C">
      <w:pPr>
        <w:pStyle w:val="NormalWeb"/>
        <w:numPr>
          <w:ilvl w:val="0"/>
          <w:numId w:val="1"/>
        </w:numPr>
        <w:rPr>
          <w:rFonts w:ascii="Aptos" w:hAnsi="Aptos"/>
        </w:rPr>
      </w:pPr>
      <w:r>
        <w:rPr>
          <w:rFonts w:ascii="Aptos" w:hAnsi="Aptos"/>
        </w:rPr>
        <w:t xml:space="preserve">Multiple miRNAs target the same gene to regulate gene expression (2019) </w:t>
      </w:r>
      <w:r w:rsidRPr="009066A0">
        <w:rPr>
          <w:rFonts w:ascii="Aptos" w:hAnsi="Aptos"/>
        </w:rPr>
        <w:sym w:font="Wingdings" w:char="F0E0"/>
      </w:r>
      <w:r>
        <w:rPr>
          <w:rFonts w:ascii="Aptos" w:hAnsi="Aptos"/>
        </w:rPr>
        <w:t xml:space="preserve"> </w:t>
      </w:r>
      <w:hyperlink r:id="rId22" w:history="1">
        <w:r w:rsidR="00CB0800" w:rsidRPr="00B2661E">
          <w:rPr>
            <w:rStyle w:val="Hyperlink"/>
          </w:rPr>
          <w:t>https://link.springer.com/article/10.1186/s12859-019-3215-5</w:t>
        </w:r>
      </w:hyperlink>
    </w:p>
    <w:p w14:paraId="670E49A5" w14:textId="0EB6C80E" w:rsidR="009066A0" w:rsidRDefault="00C96A9C" w:rsidP="0060568C">
      <w:pPr>
        <w:pStyle w:val="NormalWeb"/>
        <w:numPr>
          <w:ilvl w:val="0"/>
          <w:numId w:val="1"/>
        </w:numPr>
        <w:rPr>
          <w:rFonts w:ascii="Aptos" w:hAnsi="Aptos"/>
        </w:rPr>
      </w:pPr>
      <w:r w:rsidRPr="00C96A9C">
        <w:rPr>
          <w:rFonts w:ascii="Aptos" w:hAnsi="Aptos"/>
        </w:rPr>
        <w:t>Wherever possible, researchers should consider validating and comparing data and annotations from multiple sources to attain more comprehensive and accurate results.</w:t>
      </w:r>
      <w:r>
        <w:rPr>
          <w:rFonts w:ascii="Aptos" w:hAnsi="Aptos"/>
        </w:rPr>
        <w:t xml:space="preserve"> </w:t>
      </w:r>
      <w:r w:rsidRPr="00C96A9C">
        <w:rPr>
          <w:rFonts w:ascii="Aptos" w:hAnsi="Aptos"/>
        </w:rPr>
        <w:sym w:font="Wingdings" w:char="F0E0"/>
      </w:r>
      <w:r>
        <w:rPr>
          <w:rFonts w:ascii="Aptos" w:hAnsi="Aptos"/>
        </w:rPr>
        <w:t xml:space="preserve"> </w:t>
      </w:r>
      <w:hyperlink r:id="rId23" w:history="1">
        <w:r w:rsidRPr="00337D01">
          <w:rPr>
            <w:rStyle w:val="Hyperlink"/>
            <w:rFonts w:ascii="Aptos" w:hAnsi="Aptos"/>
          </w:rPr>
          <w:t>https://www.nature.com/articles/s41596-024-01020-z</w:t>
        </w:r>
      </w:hyperlink>
    </w:p>
    <w:p w14:paraId="79C60ED8" w14:textId="6ECE3F0D" w:rsidR="00C96A9C" w:rsidRPr="00895FB7" w:rsidRDefault="000C3850" w:rsidP="000C3850">
      <w:pPr>
        <w:pStyle w:val="NormalWeb"/>
        <w:numPr>
          <w:ilvl w:val="0"/>
          <w:numId w:val="1"/>
        </w:numPr>
        <w:rPr>
          <w:rFonts w:ascii="Aptos" w:hAnsi="Aptos"/>
        </w:rPr>
      </w:pPr>
      <w:r w:rsidRPr="000C3850">
        <w:rPr>
          <w:rFonts w:ascii="Aptos" w:hAnsi="Aptos"/>
        </w:rPr>
        <w:t>As such, integrating</w:t>
      </w:r>
      <w:r>
        <w:rPr>
          <w:rFonts w:ascii="Aptos" w:hAnsi="Aptos"/>
        </w:rPr>
        <w:t xml:space="preserve"> </w:t>
      </w:r>
      <w:r w:rsidRPr="000C3850">
        <w:rPr>
          <w:rFonts w:ascii="Aptos" w:hAnsi="Aptos"/>
        </w:rPr>
        <w:t>multiple databases and filtering based on validation status</w:t>
      </w:r>
      <w:r>
        <w:rPr>
          <w:rFonts w:ascii="Aptos" w:hAnsi="Aptos"/>
        </w:rPr>
        <w:t xml:space="preserve"> </w:t>
      </w:r>
      <w:r w:rsidRPr="000C3850">
        <w:rPr>
          <w:rFonts w:ascii="Aptos" w:hAnsi="Aptos"/>
        </w:rPr>
        <w:t>are recommended</w:t>
      </w:r>
      <w:r>
        <w:rPr>
          <w:rFonts w:ascii="Aptos" w:hAnsi="Aptos"/>
        </w:rPr>
        <w:t xml:space="preserve">. </w:t>
      </w:r>
      <w:r w:rsidRPr="000C3850">
        <w:rPr>
          <w:rFonts w:ascii="Aptos" w:hAnsi="Aptos"/>
        </w:rPr>
        <w:sym w:font="Wingdings" w:char="F0E0"/>
      </w:r>
      <w:r>
        <w:rPr>
          <w:rFonts w:ascii="Aptos" w:hAnsi="Aptos"/>
        </w:rPr>
        <w:t xml:space="preserve"> </w:t>
      </w:r>
      <w:hyperlink r:id="rId24" w:history="1">
        <w:r w:rsidR="00AE6527" w:rsidRPr="00337D01">
          <w:rPr>
            <w:rStyle w:val="Hyperlink"/>
            <w:rFonts w:ascii="Aptos" w:hAnsi="Aptos"/>
          </w:rPr>
          <w:t>https://www.jove.com/pdf/68760/a-verified-workflow-for-mirnaseq-data-processing-and-bioinformatics-analysis-using-r</w:t>
        </w:r>
      </w:hyperlink>
    </w:p>
    <w:p w14:paraId="374804B2" w14:textId="65201A56" w:rsidR="00895FB7" w:rsidRDefault="00895FB7" w:rsidP="000C3850">
      <w:pPr>
        <w:pStyle w:val="NormalWeb"/>
        <w:numPr>
          <w:ilvl w:val="0"/>
          <w:numId w:val="1"/>
        </w:numPr>
        <w:rPr>
          <w:rFonts w:ascii="Aptos" w:hAnsi="Aptos"/>
        </w:rPr>
      </w:pPr>
      <w:r w:rsidRPr="00895FB7">
        <w:rPr>
          <w:rFonts w:ascii="Aptos" w:hAnsi="Aptos"/>
        </w:rPr>
        <w:t xml:space="preserve">The universe should be all genes that were tested for differential expression, i.e. all genes remaining after </w:t>
      </w:r>
      <w:proofErr w:type="spellStart"/>
      <w:r w:rsidRPr="00895FB7">
        <w:rPr>
          <w:rFonts w:ascii="Aptos" w:hAnsi="Aptos"/>
        </w:rPr>
        <w:t>filterByExpr</w:t>
      </w:r>
      <w:proofErr w:type="spellEnd"/>
      <w:r w:rsidRPr="00895FB7">
        <w:rPr>
          <w:rFonts w:ascii="Aptos" w:hAnsi="Aptos"/>
        </w:rPr>
        <w:t>, not just the significant ones.</w:t>
      </w:r>
      <w:r>
        <w:rPr>
          <w:rFonts w:ascii="Aptos" w:hAnsi="Aptos"/>
        </w:rPr>
        <w:t xml:space="preserve"> </w:t>
      </w:r>
      <w:hyperlink r:id="rId25" w:history="1">
        <w:r w:rsidRPr="004642C4">
          <w:rPr>
            <w:rStyle w:val="Hyperlink"/>
            <w:rFonts w:ascii="Aptos" w:hAnsi="Aptos"/>
          </w:rPr>
          <w:t>https://ufhcc-bcbsr.github.io/res-bioinfo-rnaseq-workshop/04_differential-expression/pathway-analysis/</w:t>
        </w:r>
      </w:hyperlink>
    </w:p>
    <w:p w14:paraId="5DEF6D72" w14:textId="1B9F4A82" w:rsidR="00895FB7" w:rsidRDefault="00895FB7" w:rsidP="000C3850">
      <w:pPr>
        <w:pStyle w:val="NormalWeb"/>
        <w:numPr>
          <w:ilvl w:val="0"/>
          <w:numId w:val="1"/>
        </w:numPr>
        <w:rPr>
          <w:rFonts w:ascii="Aptos" w:hAnsi="Aptos"/>
        </w:rPr>
      </w:pPr>
    </w:p>
    <w:p w14:paraId="781BE87E" w14:textId="77777777" w:rsidR="00AE6527" w:rsidRDefault="00AE6527" w:rsidP="00CA41BF">
      <w:pPr>
        <w:pStyle w:val="NormalWeb"/>
        <w:rPr>
          <w:rFonts w:ascii="Aptos" w:hAnsi="Aptos"/>
        </w:rPr>
      </w:pPr>
    </w:p>
    <w:p w14:paraId="3E392814" w14:textId="0A6CDC07" w:rsidR="00CA41BF" w:rsidRPr="00CA41BF" w:rsidRDefault="00CA41BF" w:rsidP="00CA41BF">
      <w:pPr>
        <w:pStyle w:val="NormalWeb"/>
        <w:rPr>
          <w:rFonts w:ascii="Aptos" w:hAnsi="Aptos"/>
          <w:b/>
          <w:bCs/>
        </w:rPr>
      </w:pPr>
      <w:r w:rsidRPr="00CA41BF">
        <w:rPr>
          <w:rFonts w:ascii="Aptos" w:hAnsi="Aptos"/>
          <w:b/>
          <w:bCs/>
        </w:rPr>
        <w:t>miRNA targets</w:t>
      </w:r>
    </w:p>
    <w:p w14:paraId="3E6CE02A" w14:textId="77777777" w:rsidR="00CA41BF" w:rsidRDefault="00CA41BF" w:rsidP="00CA41BF">
      <w:pPr>
        <w:pStyle w:val="ListParagraph"/>
        <w:numPr>
          <w:ilvl w:val="0"/>
          <w:numId w:val="3"/>
        </w:numPr>
      </w:pPr>
      <w:r>
        <w:lastRenderedPageBreak/>
        <w:t xml:space="preserve">The paper in project brief </w:t>
      </w:r>
      <w:hyperlink r:id="rId26" w:history="1">
        <w:r w:rsidRPr="00D00486">
          <w:rPr>
            <w:rStyle w:val="Hyperlink"/>
          </w:rPr>
          <w:t>https://onlinelibrary.wiley.com/doi/10.1111/all.14008</w:t>
        </w:r>
      </w:hyperlink>
    </w:p>
    <w:p w14:paraId="71E08578" w14:textId="77777777" w:rsidR="00CA41BF" w:rsidRDefault="00CA41BF" w:rsidP="00CA41BF">
      <w:pPr>
        <w:pStyle w:val="ListParagraph"/>
        <w:numPr>
          <w:ilvl w:val="1"/>
          <w:numId w:val="3"/>
        </w:numPr>
      </w:pPr>
      <w:r>
        <w:t>IL-13 pathway corelated with asthma</w:t>
      </w:r>
    </w:p>
    <w:p w14:paraId="4D6D411B" w14:textId="77777777" w:rsidR="00CA41BF" w:rsidRDefault="00CA41BF" w:rsidP="00CA41BF">
      <w:pPr>
        <w:pStyle w:val="ListParagraph"/>
        <w:numPr>
          <w:ilvl w:val="1"/>
          <w:numId w:val="3"/>
        </w:numPr>
      </w:pPr>
      <w:r>
        <w:t>“</w:t>
      </w:r>
      <w:r w:rsidRPr="003C0C0B">
        <w:t xml:space="preserve">miR-92b, miR-210, and miR-34a significantly correlated with lung function parameters in children (FEV1FVC%pred and FEF25-75%pred), thus lower </w:t>
      </w:r>
      <w:proofErr w:type="spellStart"/>
      <w:r w:rsidRPr="003C0C0B">
        <w:t>sEV</w:t>
      </w:r>
      <w:proofErr w:type="spellEnd"/>
      <w:r w:rsidRPr="003C0C0B">
        <w:t>-miRNA</w:t>
      </w:r>
      <w:r>
        <w:t>”</w:t>
      </w:r>
    </w:p>
    <w:p w14:paraId="73679407" w14:textId="77777777" w:rsidR="00CA41BF" w:rsidRDefault="00CA41BF" w:rsidP="00CA41BF">
      <w:pPr>
        <w:pStyle w:val="ListParagraph"/>
        <w:numPr>
          <w:ilvl w:val="0"/>
          <w:numId w:val="3"/>
        </w:numPr>
      </w:pPr>
      <w:r>
        <w:t xml:space="preserve">This paper in project brief </w:t>
      </w:r>
      <w:hyperlink r:id="rId27" w:history="1">
        <w:r w:rsidRPr="00D00486">
          <w:rPr>
            <w:rStyle w:val="Hyperlink"/>
          </w:rPr>
          <w:t>https://isevjournals.onlinelibrary.wiley.com/doi/10.1002/jev2.12124</w:t>
        </w:r>
      </w:hyperlink>
    </w:p>
    <w:p w14:paraId="60FBFEDA" w14:textId="36DB69DD" w:rsidR="00CA41BF" w:rsidRPr="00CA41BF" w:rsidRDefault="00CA41BF" w:rsidP="00CA41BF">
      <w:pPr>
        <w:pStyle w:val="ListParagraph"/>
        <w:numPr>
          <w:ilvl w:val="1"/>
          <w:numId w:val="3"/>
        </w:numPr>
      </w:pPr>
      <w:r w:rsidRPr="003C0C0B">
        <w:t>Among enriched miRNA species present in HBEC EVs, miR-16, miR-26a, miR-26b, miR-141, miR-148a, and miR-200a are mechanistically involved in reducing WNT5A and WNT10B expression in LFs, and in reducing WNT3A, WNT5A, and WNT10B expression in HBECs.</w:t>
      </w:r>
    </w:p>
    <w:p w14:paraId="2D81F5B2" w14:textId="735A0EF0" w:rsidR="00CA41BF" w:rsidRDefault="00CA41BF" w:rsidP="00CA41BF">
      <w:pPr>
        <w:pStyle w:val="NormalWeb"/>
        <w:numPr>
          <w:ilvl w:val="0"/>
          <w:numId w:val="3"/>
        </w:numPr>
        <w:rPr>
          <w:rFonts w:ascii="Aptos" w:hAnsi="Aptos"/>
        </w:rPr>
      </w:pPr>
      <w:r w:rsidRPr="00CA41BF">
        <w:rPr>
          <w:rFonts w:ascii="Aptos" w:hAnsi="Aptos"/>
        </w:rPr>
        <w:t>MiR-155 and miR-221 are closely associated with the regulation of Th2 responses and airway smooth muscle hyperproliferation in asthmatic patients.</w:t>
      </w:r>
      <w:r>
        <w:rPr>
          <w:rFonts w:ascii="Aptos" w:hAnsi="Aptos"/>
        </w:rPr>
        <w:t xml:space="preserve"> </w:t>
      </w:r>
      <w:r w:rsidRPr="00CA41BF">
        <w:rPr>
          <w:rFonts w:ascii="Aptos" w:hAnsi="Aptos"/>
        </w:rPr>
        <w:sym w:font="Wingdings" w:char="F0E0"/>
      </w:r>
      <w:r>
        <w:rPr>
          <w:rFonts w:ascii="Aptos" w:hAnsi="Aptos"/>
        </w:rPr>
        <w:t xml:space="preserve"> </w:t>
      </w:r>
      <w:hyperlink r:id="rId28" w:history="1">
        <w:r w:rsidRPr="00B2661E">
          <w:rPr>
            <w:rStyle w:val="Hyperlink"/>
            <w:rFonts w:ascii="Aptos" w:hAnsi="Aptos"/>
          </w:rPr>
          <w:t>https://www.nature.com/articles/s41392-023-01344-4</w:t>
        </w:r>
      </w:hyperlink>
    </w:p>
    <w:p w14:paraId="51A92C2C" w14:textId="7F309D05" w:rsidR="00CE4E4C" w:rsidRDefault="00CE4E4C" w:rsidP="00CA41BF">
      <w:pPr>
        <w:pStyle w:val="NormalWeb"/>
        <w:numPr>
          <w:ilvl w:val="0"/>
          <w:numId w:val="3"/>
        </w:numPr>
        <w:rPr>
          <w:rFonts w:ascii="Aptos" w:hAnsi="Aptos"/>
        </w:rPr>
      </w:pPr>
      <w:proofErr w:type="gramStart"/>
      <w:r w:rsidRPr="00CE4E4C">
        <w:rPr>
          <w:rFonts w:ascii="Aptos" w:hAnsi="Aptos"/>
        </w:rPr>
        <w:t>In particular miR-34a</w:t>
      </w:r>
      <w:proofErr w:type="gramEnd"/>
      <w:r w:rsidRPr="00CE4E4C">
        <w:rPr>
          <w:rFonts w:ascii="Aptos" w:hAnsi="Aptos"/>
        </w:rPr>
        <w:t>, miR-92b, and miR-210 may have a role in the development of the Th 2 response in asthma (Bartel et al., 2019).</w:t>
      </w:r>
      <w:r>
        <w:rPr>
          <w:rFonts w:ascii="Aptos" w:hAnsi="Aptos"/>
        </w:rPr>
        <w:t xml:space="preserve"> </w:t>
      </w:r>
      <w:r w:rsidRPr="00CE4E4C">
        <w:rPr>
          <w:rFonts w:ascii="Aptos" w:hAnsi="Aptos"/>
        </w:rPr>
        <w:sym w:font="Wingdings" w:char="F0E0"/>
      </w:r>
      <w:r>
        <w:rPr>
          <w:rFonts w:ascii="Aptos" w:hAnsi="Aptos"/>
        </w:rPr>
        <w:t xml:space="preserve"> </w:t>
      </w:r>
      <w:hyperlink r:id="rId29" w:history="1">
        <w:r w:rsidRPr="00B2661E">
          <w:rPr>
            <w:rStyle w:val="Hyperlink"/>
            <w:rFonts w:ascii="Aptos" w:hAnsi="Aptos"/>
          </w:rPr>
          <w:t>https://pmc.ncbi.nlm.nih.gov/articles/PMC7118214/</w:t>
        </w:r>
      </w:hyperlink>
    </w:p>
    <w:p w14:paraId="2AF8E14A" w14:textId="77777777" w:rsidR="00CE4E4C" w:rsidRDefault="00CE4E4C" w:rsidP="00CA41BF">
      <w:pPr>
        <w:pStyle w:val="NormalWeb"/>
        <w:numPr>
          <w:ilvl w:val="0"/>
          <w:numId w:val="3"/>
        </w:numPr>
        <w:rPr>
          <w:rFonts w:ascii="Aptos" w:hAnsi="Aptos"/>
        </w:rPr>
      </w:pPr>
    </w:p>
    <w:p w14:paraId="5822F6E3" w14:textId="77777777" w:rsidR="00CA41BF" w:rsidRPr="000C3850" w:rsidRDefault="00CA41BF" w:rsidP="00CA41BF">
      <w:pPr>
        <w:pStyle w:val="NormalWeb"/>
        <w:rPr>
          <w:rFonts w:ascii="Aptos" w:hAnsi="Aptos"/>
        </w:rPr>
      </w:pPr>
    </w:p>
    <w:p w14:paraId="4E44E021" w14:textId="77777777" w:rsidR="00880139" w:rsidRPr="00907C68" w:rsidRDefault="00880139" w:rsidP="00880139">
      <w:pPr>
        <w:pStyle w:val="NormalWeb"/>
        <w:ind w:left="720"/>
        <w:rPr>
          <w:rFonts w:ascii="Aptos" w:hAnsi="Aptos"/>
        </w:rPr>
      </w:pPr>
    </w:p>
    <w:p w14:paraId="11A644CB" w14:textId="77777777" w:rsidR="00880139" w:rsidRPr="00907C68" w:rsidRDefault="00880139" w:rsidP="00880139">
      <w:pPr>
        <w:pStyle w:val="ListParagraph"/>
        <w:rPr>
          <w:rFonts w:ascii="Aptos" w:hAnsi="Aptos"/>
        </w:rPr>
      </w:pPr>
    </w:p>
    <w:p w14:paraId="04455D20" w14:textId="77777777" w:rsidR="00690CC6" w:rsidRPr="00907C68" w:rsidRDefault="00690CC6" w:rsidP="00690CC6">
      <w:pPr>
        <w:pStyle w:val="ListParagraph"/>
        <w:rPr>
          <w:rFonts w:ascii="Aptos" w:hAnsi="Aptos"/>
        </w:rPr>
      </w:pPr>
    </w:p>
    <w:sectPr w:rsidR="00690CC6" w:rsidRPr="00907C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7E133E"/>
    <w:multiLevelType w:val="hybridMultilevel"/>
    <w:tmpl w:val="5040FF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AE46B04"/>
    <w:multiLevelType w:val="hybridMultilevel"/>
    <w:tmpl w:val="B77804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D60210"/>
    <w:multiLevelType w:val="multilevel"/>
    <w:tmpl w:val="788E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A66D8C"/>
    <w:multiLevelType w:val="hybridMultilevel"/>
    <w:tmpl w:val="C84450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4985334">
    <w:abstractNumId w:val="1"/>
  </w:num>
  <w:num w:numId="2" w16cid:durableId="1230263787">
    <w:abstractNumId w:val="3"/>
  </w:num>
  <w:num w:numId="3" w16cid:durableId="82530347">
    <w:abstractNumId w:val="4"/>
  </w:num>
  <w:num w:numId="4" w16cid:durableId="2016414341">
    <w:abstractNumId w:val="2"/>
  </w:num>
  <w:num w:numId="5" w16cid:durableId="3098702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809"/>
    <w:rsid w:val="00001138"/>
    <w:rsid w:val="000075EF"/>
    <w:rsid w:val="00030347"/>
    <w:rsid w:val="00047129"/>
    <w:rsid w:val="00063712"/>
    <w:rsid w:val="000A412F"/>
    <w:rsid w:val="000B4FFF"/>
    <w:rsid w:val="000C3850"/>
    <w:rsid w:val="000C3A29"/>
    <w:rsid w:val="00100920"/>
    <w:rsid w:val="00121CBD"/>
    <w:rsid w:val="001233F3"/>
    <w:rsid w:val="0013173A"/>
    <w:rsid w:val="00164445"/>
    <w:rsid w:val="00186C80"/>
    <w:rsid w:val="00190DFA"/>
    <w:rsid w:val="00194B2E"/>
    <w:rsid w:val="001C1675"/>
    <w:rsid w:val="001C3039"/>
    <w:rsid w:val="00226339"/>
    <w:rsid w:val="0023299A"/>
    <w:rsid w:val="00263D1F"/>
    <w:rsid w:val="002A28C6"/>
    <w:rsid w:val="002A6713"/>
    <w:rsid w:val="002C17AE"/>
    <w:rsid w:val="002D4C98"/>
    <w:rsid w:val="00314F62"/>
    <w:rsid w:val="00326E6E"/>
    <w:rsid w:val="00353EBB"/>
    <w:rsid w:val="00361B9E"/>
    <w:rsid w:val="00384E01"/>
    <w:rsid w:val="00397E4D"/>
    <w:rsid w:val="003B1082"/>
    <w:rsid w:val="003B459C"/>
    <w:rsid w:val="003C7AAA"/>
    <w:rsid w:val="003D2EEB"/>
    <w:rsid w:val="003D4F05"/>
    <w:rsid w:val="004011A9"/>
    <w:rsid w:val="00405032"/>
    <w:rsid w:val="00412B7F"/>
    <w:rsid w:val="00414B37"/>
    <w:rsid w:val="00416A16"/>
    <w:rsid w:val="0041709D"/>
    <w:rsid w:val="0042769D"/>
    <w:rsid w:val="00427A72"/>
    <w:rsid w:val="0045640B"/>
    <w:rsid w:val="00460240"/>
    <w:rsid w:val="004614FA"/>
    <w:rsid w:val="0046190D"/>
    <w:rsid w:val="0047035E"/>
    <w:rsid w:val="00472EE5"/>
    <w:rsid w:val="0048054B"/>
    <w:rsid w:val="0049100A"/>
    <w:rsid w:val="004B2AB1"/>
    <w:rsid w:val="004C046D"/>
    <w:rsid w:val="004C0F98"/>
    <w:rsid w:val="004C52FE"/>
    <w:rsid w:val="004E0FFA"/>
    <w:rsid w:val="00517147"/>
    <w:rsid w:val="005227DE"/>
    <w:rsid w:val="00522809"/>
    <w:rsid w:val="005524A2"/>
    <w:rsid w:val="0055642F"/>
    <w:rsid w:val="0056269E"/>
    <w:rsid w:val="005B1175"/>
    <w:rsid w:val="005B192A"/>
    <w:rsid w:val="005B467C"/>
    <w:rsid w:val="005C453C"/>
    <w:rsid w:val="005C6D20"/>
    <w:rsid w:val="005E2558"/>
    <w:rsid w:val="005E3D8D"/>
    <w:rsid w:val="0060568C"/>
    <w:rsid w:val="00606721"/>
    <w:rsid w:val="00621C88"/>
    <w:rsid w:val="00626607"/>
    <w:rsid w:val="00650AAB"/>
    <w:rsid w:val="006549B7"/>
    <w:rsid w:val="0068495B"/>
    <w:rsid w:val="00690CC6"/>
    <w:rsid w:val="00692892"/>
    <w:rsid w:val="006E1EA2"/>
    <w:rsid w:val="00703510"/>
    <w:rsid w:val="00727835"/>
    <w:rsid w:val="00731925"/>
    <w:rsid w:val="00756FD1"/>
    <w:rsid w:val="00757A2B"/>
    <w:rsid w:val="00760F8C"/>
    <w:rsid w:val="00770812"/>
    <w:rsid w:val="0079323E"/>
    <w:rsid w:val="00793829"/>
    <w:rsid w:val="00793E26"/>
    <w:rsid w:val="007A17DB"/>
    <w:rsid w:val="007A69D7"/>
    <w:rsid w:val="007B23E1"/>
    <w:rsid w:val="007B4EC7"/>
    <w:rsid w:val="007D626D"/>
    <w:rsid w:val="007E59F2"/>
    <w:rsid w:val="00821654"/>
    <w:rsid w:val="00830B2C"/>
    <w:rsid w:val="00842A5E"/>
    <w:rsid w:val="00866F12"/>
    <w:rsid w:val="00875567"/>
    <w:rsid w:val="00880139"/>
    <w:rsid w:val="00895FB7"/>
    <w:rsid w:val="008962CC"/>
    <w:rsid w:val="008A73BE"/>
    <w:rsid w:val="008F4B97"/>
    <w:rsid w:val="0090021F"/>
    <w:rsid w:val="009035F0"/>
    <w:rsid w:val="009066A0"/>
    <w:rsid w:val="00907C68"/>
    <w:rsid w:val="009179DE"/>
    <w:rsid w:val="0093401D"/>
    <w:rsid w:val="009365DB"/>
    <w:rsid w:val="00943C84"/>
    <w:rsid w:val="00944A6D"/>
    <w:rsid w:val="0095447A"/>
    <w:rsid w:val="009576F0"/>
    <w:rsid w:val="00987476"/>
    <w:rsid w:val="009924B2"/>
    <w:rsid w:val="00992996"/>
    <w:rsid w:val="009A4607"/>
    <w:rsid w:val="009A588D"/>
    <w:rsid w:val="009A6BB6"/>
    <w:rsid w:val="009B335C"/>
    <w:rsid w:val="009F5A6B"/>
    <w:rsid w:val="00A219BC"/>
    <w:rsid w:val="00A2298C"/>
    <w:rsid w:val="00A2565B"/>
    <w:rsid w:val="00A26B58"/>
    <w:rsid w:val="00A3711B"/>
    <w:rsid w:val="00A843BE"/>
    <w:rsid w:val="00A84744"/>
    <w:rsid w:val="00AA4E5D"/>
    <w:rsid w:val="00AD6723"/>
    <w:rsid w:val="00AD7784"/>
    <w:rsid w:val="00AE6527"/>
    <w:rsid w:val="00AF395F"/>
    <w:rsid w:val="00AF6562"/>
    <w:rsid w:val="00B0128A"/>
    <w:rsid w:val="00B0132D"/>
    <w:rsid w:val="00B22364"/>
    <w:rsid w:val="00B46D3C"/>
    <w:rsid w:val="00B54B2E"/>
    <w:rsid w:val="00B6490D"/>
    <w:rsid w:val="00B863A7"/>
    <w:rsid w:val="00BB714E"/>
    <w:rsid w:val="00BC35ED"/>
    <w:rsid w:val="00BC3A44"/>
    <w:rsid w:val="00BC5B8A"/>
    <w:rsid w:val="00BD2F2A"/>
    <w:rsid w:val="00BE3280"/>
    <w:rsid w:val="00BF176D"/>
    <w:rsid w:val="00BF3CC5"/>
    <w:rsid w:val="00BF598A"/>
    <w:rsid w:val="00C343FA"/>
    <w:rsid w:val="00C44C6D"/>
    <w:rsid w:val="00C80E01"/>
    <w:rsid w:val="00C8684D"/>
    <w:rsid w:val="00C96A9C"/>
    <w:rsid w:val="00CA41BF"/>
    <w:rsid w:val="00CB0800"/>
    <w:rsid w:val="00CB5EC7"/>
    <w:rsid w:val="00CB7B3A"/>
    <w:rsid w:val="00CD1EBB"/>
    <w:rsid w:val="00CD34DA"/>
    <w:rsid w:val="00CD34F9"/>
    <w:rsid w:val="00CE12AF"/>
    <w:rsid w:val="00CE4E4C"/>
    <w:rsid w:val="00CF70B9"/>
    <w:rsid w:val="00D051AB"/>
    <w:rsid w:val="00D05438"/>
    <w:rsid w:val="00D17631"/>
    <w:rsid w:val="00D42336"/>
    <w:rsid w:val="00D512B2"/>
    <w:rsid w:val="00D61F79"/>
    <w:rsid w:val="00DD7806"/>
    <w:rsid w:val="00DE27C7"/>
    <w:rsid w:val="00DE327B"/>
    <w:rsid w:val="00DE5884"/>
    <w:rsid w:val="00DF2C75"/>
    <w:rsid w:val="00DF73F3"/>
    <w:rsid w:val="00E01F9A"/>
    <w:rsid w:val="00E20685"/>
    <w:rsid w:val="00E20B1B"/>
    <w:rsid w:val="00E35CD6"/>
    <w:rsid w:val="00E42A10"/>
    <w:rsid w:val="00E6521C"/>
    <w:rsid w:val="00E71E2C"/>
    <w:rsid w:val="00E827FE"/>
    <w:rsid w:val="00E85DB3"/>
    <w:rsid w:val="00E87F8F"/>
    <w:rsid w:val="00EA7097"/>
    <w:rsid w:val="00EB675A"/>
    <w:rsid w:val="00EC6A1A"/>
    <w:rsid w:val="00F244E3"/>
    <w:rsid w:val="00F27297"/>
    <w:rsid w:val="00F31DE2"/>
    <w:rsid w:val="00F321FA"/>
    <w:rsid w:val="00F73176"/>
    <w:rsid w:val="00F80702"/>
    <w:rsid w:val="00F8548F"/>
    <w:rsid w:val="00F87735"/>
    <w:rsid w:val="00F959B4"/>
    <w:rsid w:val="00FA10E7"/>
    <w:rsid w:val="00FB5454"/>
    <w:rsid w:val="00FB653F"/>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81E1C1E"/>
  <w15:chartTrackingRefBased/>
  <w15:docId w15:val="{22D108E9-87EC-F44C-9392-522D46B2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28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28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28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8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28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28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28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28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28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8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28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28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8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28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28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28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28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2809"/>
    <w:rPr>
      <w:rFonts w:eastAsiaTheme="majorEastAsia" w:cstheme="majorBidi"/>
      <w:color w:val="272727" w:themeColor="text1" w:themeTint="D8"/>
    </w:rPr>
  </w:style>
  <w:style w:type="paragraph" w:styleId="Title">
    <w:name w:val="Title"/>
    <w:basedOn w:val="Normal"/>
    <w:next w:val="Normal"/>
    <w:link w:val="TitleChar"/>
    <w:uiPriority w:val="10"/>
    <w:qFormat/>
    <w:rsid w:val="005228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28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28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28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2809"/>
    <w:pPr>
      <w:spacing w:before="160"/>
      <w:jc w:val="center"/>
    </w:pPr>
    <w:rPr>
      <w:i/>
      <w:iCs/>
      <w:color w:val="404040" w:themeColor="text1" w:themeTint="BF"/>
    </w:rPr>
  </w:style>
  <w:style w:type="character" w:customStyle="1" w:styleId="QuoteChar">
    <w:name w:val="Quote Char"/>
    <w:basedOn w:val="DefaultParagraphFont"/>
    <w:link w:val="Quote"/>
    <w:uiPriority w:val="29"/>
    <w:rsid w:val="00522809"/>
    <w:rPr>
      <w:i/>
      <w:iCs/>
      <w:color w:val="404040" w:themeColor="text1" w:themeTint="BF"/>
    </w:rPr>
  </w:style>
  <w:style w:type="paragraph" w:styleId="ListParagraph">
    <w:name w:val="List Paragraph"/>
    <w:basedOn w:val="Normal"/>
    <w:uiPriority w:val="34"/>
    <w:qFormat/>
    <w:rsid w:val="00522809"/>
    <w:pPr>
      <w:ind w:left="720"/>
      <w:contextualSpacing/>
    </w:pPr>
  </w:style>
  <w:style w:type="character" w:styleId="IntenseEmphasis">
    <w:name w:val="Intense Emphasis"/>
    <w:basedOn w:val="DefaultParagraphFont"/>
    <w:uiPriority w:val="21"/>
    <w:qFormat/>
    <w:rsid w:val="00522809"/>
    <w:rPr>
      <w:i/>
      <w:iCs/>
      <w:color w:val="0F4761" w:themeColor="accent1" w:themeShade="BF"/>
    </w:rPr>
  </w:style>
  <w:style w:type="paragraph" w:styleId="IntenseQuote">
    <w:name w:val="Intense Quote"/>
    <w:basedOn w:val="Normal"/>
    <w:next w:val="Normal"/>
    <w:link w:val="IntenseQuoteChar"/>
    <w:uiPriority w:val="30"/>
    <w:qFormat/>
    <w:rsid w:val="005228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2809"/>
    <w:rPr>
      <w:i/>
      <w:iCs/>
      <w:color w:val="0F4761" w:themeColor="accent1" w:themeShade="BF"/>
    </w:rPr>
  </w:style>
  <w:style w:type="character" w:styleId="IntenseReference">
    <w:name w:val="Intense Reference"/>
    <w:basedOn w:val="DefaultParagraphFont"/>
    <w:uiPriority w:val="32"/>
    <w:qFormat/>
    <w:rsid w:val="00522809"/>
    <w:rPr>
      <w:b/>
      <w:bCs/>
      <w:smallCaps/>
      <w:color w:val="0F4761" w:themeColor="accent1" w:themeShade="BF"/>
      <w:spacing w:val="5"/>
    </w:rPr>
  </w:style>
  <w:style w:type="character" w:styleId="Hyperlink">
    <w:name w:val="Hyperlink"/>
    <w:basedOn w:val="DefaultParagraphFont"/>
    <w:uiPriority w:val="99"/>
    <w:unhideWhenUsed/>
    <w:rsid w:val="00690CC6"/>
    <w:rPr>
      <w:color w:val="467886" w:themeColor="hyperlink"/>
      <w:u w:val="single"/>
    </w:rPr>
  </w:style>
  <w:style w:type="character" w:styleId="UnresolvedMention">
    <w:name w:val="Unresolved Mention"/>
    <w:basedOn w:val="DefaultParagraphFont"/>
    <w:uiPriority w:val="99"/>
    <w:semiHidden/>
    <w:unhideWhenUsed/>
    <w:rsid w:val="00690CC6"/>
    <w:rPr>
      <w:color w:val="605E5C"/>
      <w:shd w:val="clear" w:color="auto" w:fill="E1DFDD"/>
    </w:rPr>
  </w:style>
  <w:style w:type="character" w:styleId="FollowedHyperlink">
    <w:name w:val="FollowedHyperlink"/>
    <w:basedOn w:val="DefaultParagraphFont"/>
    <w:uiPriority w:val="99"/>
    <w:semiHidden/>
    <w:unhideWhenUsed/>
    <w:rsid w:val="00690CC6"/>
    <w:rPr>
      <w:color w:val="96607D" w:themeColor="followedHyperlink"/>
      <w:u w:val="single"/>
    </w:rPr>
  </w:style>
  <w:style w:type="paragraph" w:styleId="NormalWeb">
    <w:name w:val="Normal (Web)"/>
    <w:basedOn w:val="Normal"/>
    <w:uiPriority w:val="99"/>
    <w:semiHidden/>
    <w:unhideWhenUsed/>
    <w:rsid w:val="0088013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8013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e.com/articles/s41392-023-01344-4" TargetMode="External"/><Relationship Id="rId13" Type="http://schemas.openxmlformats.org/officeDocument/2006/relationships/hyperlink" Target="https://pmc.ncbi.nlm.nih.gov/articles/PMC10320052/" TargetMode="External"/><Relationship Id="rId18" Type="http://schemas.openxmlformats.org/officeDocument/2006/relationships/hyperlink" Target="https://pmc.ncbi.nlm.nih.gov/articles/PMC10135678/" TargetMode="External"/><Relationship Id="rId26" Type="http://schemas.openxmlformats.org/officeDocument/2006/relationships/hyperlink" Target="https://onlinelibrary.wiley.com/doi/10.1111/all.14008" TargetMode="External"/><Relationship Id="rId3" Type="http://schemas.openxmlformats.org/officeDocument/2006/relationships/settings" Target="settings.xml"/><Relationship Id="rId21" Type="http://schemas.openxmlformats.org/officeDocument/2006/relationships/hyperlink" Target="https://journals.plos.org/plosone/article?id=10.1371/journal.pone.0039357" TargetMode="External"/><Relationship Id="rId7" Type="http://schemas.openxmlformats.org/officeDocument/2006/relationships/hyperlink" Target="https://pmc.ncbi.nlm.nih.gov/articles/PMC7118214/" TargetMode="External"/><Relationship Id="rId12" Type="http://schemas.openxmlformats.org/officeDocument/2006/relationships/hyperlink" Target="https://pmc.ncbi.nlm.nih.gov/articles/PMC4426843/" TargetMode="External"/><Relationship Id="rId17" Type="http://schemas.openxmlformats.org/officeDocument/2006/relationships/hyperlink" Target="https://link.springer.com/protocol/10.1007/978-1-0716-4398-3_2" TargetMode="External"/><Relationship Id="rId25" Type="http://schemas.openxmlformats.org/officeDocument/2006/relationships/hyperlink" Target="https://ufhcc-bcbsr.github.io/res-bioinfo-rnaseq-workshop/04_differential-expression/pathway-analysis/?utm_source=chatgpt.com" TargetMode="External"/><Relationship Id="rId2" Type="http://schemas.openxmlformats.org/officeDocument/2006/relationships/styles" Target="styles.xml"/><Relationship Id="rId16" Type="http://schemas.openxmlformats.org/officeDocument/2006/relationships/hyperlink" Target="https://isevjournals.onlinelibrary.wiley.com/doi/full/10.1002/jex2.134" TargetMode="External"/><Relationship Id="rId20" Type="http://schemas.openxmlformats.org/officeDocument/2006/relationships/hyperlink" Target="https://pmc.ncbi.nlm.nih.gov/articles/PMC3951436/" TargetMode="External"/><Relationship Id="rId29" Type="http://schemas.openxmlformats.org/officeDocument/2006/relationships/hyperlink" Target="https://pmc.ncbi.nlm.nih.gov/articles/PMC7118214/"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pmc.ncbi.nlm.nih.gov/articles/PMC7563698/" TargetMode="External"/><Relationship Id="rId24" Type="http://schemas.openxmlformats.org/officeDocument/2006/relationships/hyperlink" Target="https://www.jove.com/pdf/68760/a-verified-workflow-for-mirnaseq-data-processing-and-bioinformatics-analysis-using-r" TargetMode="External"/><Relationship Id="rId5" Type="http://schemas.openxmlformats.org/officeDocument/2006/relationships/hyperlink" Target="https://www.jove.com/t/68760/a-verified-workflow-for-mirna-seq-data-processing-bioinformatics" TargetMode="External"/><Relationship Id="rId15" Type="http://schemas.openxmlformats.org/officeDocument/2006/relationships/hyperlink" Target="https://pmc.ncbi.nlm.nih.gov/articles/PMC4402548/" TargetMode="External"/><Relationship Id="rId23" Type="http://schemas.openxmlformats.org/officeDocument/2006/relationships/hyperlink" Target="https://www.nature.com/articles/s41596-024-01020-z" TargetMode="External"/><Relationship Id="rId28" Type="http://schemas.openxmlformats.org/officeDocument/2006/relationships/hyperlink" Target="https://www.nature.com/articles/s41392-023-01344-4" TargetMode="External"/><Relationship Id="rId10" Type="http://schemas.openxmlformats.org/officeDocument/2006/relationships/hyperlink" Target="https://pmc.ncbi.nlm.nih.gov/articles/PMC11238361/" TargetMode="External"/><Relationship Id="rId19" Type="http://schemas.openxmlformats.org/officeDocument/2006/relationships/hyperlink" Target="https://pmc.ncbi.nlm.nih.gov/articles/PMC4402548/"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pmc.ncbi.nlm.nih.gov/articles/PMC5770401/" TargetMode="External"/><Relationship Id="rId14" Type="http://schemas.openxmlformats.org/officeDocument/2006/relationships/hyperlink" Target="https://www.mdpi.com/2311-553X/9/2/18" TargetMode="External"/><Relationship Id="rId22" Type="http://schemas.openxmlformats.org/officeDocument/2006/relationships/hyperlink" Target="https://link.springer.com/article/10.1186/s12859-019-3215-5" TargetMode="External"/><Relationship Id="rId27" Type="http://schemas.openxmlformats.org/officeDocument/2006/relationships/hyperlink" Target="https://isevjournals.onlinelibrary.wiley.com/doi/10.1002/jev2.12124"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3</Pages>
  <Words>1021</Words>
  <Characters>5821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18</cp:revision>
  <dcterms:created xsi:type="dcterms:W3CDTF">2026-02-15T20:00:00Z</dcterms:created>
  <dcterms:modified xsi:type="dcterms:W3CDTF">2026-06-29T09:43:00Z</dcterms:modified>
</cp:coreProperties>
</file>