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One common last question is ‘if you have more money and time what would you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is wrong for all the protease samples – it just shows the der p 1 inactive results for each of the protease conditions. </w:t>
      </w:r>
      <w:r>
        <w:rPr>
          <w:b/>
          <w:bCs/>
        </w:rPr>
        <w:t xml:space="preserve">I have amended this </w:t>
      </w:r>
      <w:r w:rsidR="00BF05AC">
        <w:rPr>
          <w:b/>
          <w:bCs/>
        </w:rPr>
        <w:t>in the local github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enrichment but you performed ORA and miRNA-SEA at miRNA-level? </w:t>
      </w:r>
    </w:p>
    <w:p w14:paraId="178F320A" w14:textId="77777777" w:rsidR="008D36F3" w:rsidRDefault="008D36F3" w:rsidP="008D36F3">
      <w:pPr>
        <w:pStyle w:val="ListParagraph"/>
        <w:numPr>
          <w:ilvl w:val="1"/>
          <w:numId w:val="5"/>
        </w:numPr>
      </w:pPr>
      <w:r>
        <w:rPr>
          <w:b/>
          <w:bCs/>
        </w:rPr>
        <w:t>Could have used gsePathway()…</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 xml:space="preserve">Why did you use a higher significance threshold for miRNA-level enrichment (Padj &lt; 0.05) over target gene (Padj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r w:rsidR="003F6415">
        <w:rPr>
          <w:b/>
          <w:bCs/>
        </w:rPr>
        <w:t>Reactome</w:t>
      </w:r>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66590D0E" w14:textId="6E5A49F2" w:rsidR="00B90067" w:rsidRPr="00B90067" w:rsidRDefault="00B90067" w:rsidP="008D36F3">
      <w:pPr>
        <w:pStyle w:val="ListParagraph"/>
        <w:numPr>
          <w:ilvl w:val="1"/>
          <w:numId w:val="5"/>
        </w:numPr>
      </w:pPr>
      <w:r>
        <w:rPr>
          <w:b/>
          <w:bCs/>
        </w:rPr>
        <w:t>Use the commercial platform used in the original primary HBEC study to benchmark my results against.</w:t>
      </w:r>
    </w:p>
    <w:p w14:paraId="0FA216B1" w14:textId="2A6B02D9" w:rsidR="008D36F3" w:rsidRPr="00B90067" w:rsidRDefault="008D36F3" w:rsidP="008D36F3">
      <w:pPr>
        <w:pStyle w:val="ListParagraph"/>
        <w:numPr>
          <w:ilvl w:val="1"/>
          <w:numId w:val="5"/>
        </w:numPr>
      </w:pPr>
      <w:r>
        <w:rPr>
          <w:b/>
          <w:bCs/>
        </w:rPr>
        <w:lastRenderedPageBreak/>
        <w:t>Could look at detecting different types of small rna species e.g., what tamirna does in their reads classification table</w:t>
      </w:r>
    </w:p>
    <w:p w14:paraId="0EB1947E" w14:textId="5DBCADF9" w:rsidR="00B90067" w:rsidRDefault="00B90067" w:rsidP="008D36F3">
      <w:pPr>
        <w:pStyle w:val="ListParagraph"/>
        <w:numPr>
          <w:ilvl w:val="1"/>
          <w:numId w:val="5"/>
        </w:numPr>
      </w:pPr>
      <w:r>
        <w:rPr>
          <w:b/>
          <w:bCs/>
        </w:rPr>
        <w:t>Repeat the analysis with matched miRNA-mRNA data.</w:t>
      </w:r>
    </w:p>
    <w:p w14:paraId="73E522D0" w14:textId="5048AA02" w:rsidR="008D36F3" w:rsidRDefault="008D36F3" w:rsidP="008D36F3">
      <w:pPr>
        <w:pStyle w:val="ListParagraph"/>
        <w:numPr>
          <w:ilvl w:val="0"/>
          <w:numId w:val="5"/>
        </w:numPr>
      </w:pPr>
      <w:r>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It is also possible that they are working agonistically because the target genes being targeted by upregulated are stimulatory and the downregulated ones are inhibitory therefore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Default="00874D6E" w:rsidP="00943914">
      <w:pPr>
        <w:pStyle w:val="ListParagraph"/>
        <w:numPr>
          <w:ilvl w:val="0"/>
          <w:numId w:val="5"/>
        </w:numPr>
      </w:pPr>
      <w:r>
        <w:t xml:space="preserve">Why is RT-qPCR necessary if you already have small RNA-seq data? </w:t>
      </w:r>
      <w:r>
        <w:rPr>
          <w:b/>
          <w:bCs/>
        </w:rPr>
        <w:t>Small RNA-seq is genome-wide whereas PCR is very specific. Using both methods reduces the risk that results were found due to technical artefacts.</w:t>
      </w:r>
    </w:p>
    <w:p w14:paraId="145A9AE7" w14:textId="76446BF4" w:rsidR="004E1CFA" w:rsidRPr="00B94731" w:rsidRDefault="004E1CFA" w:rsidP="00943914">
      <w:pPr>
        <w:pStyle w:val="ListParagraph"/>
        <w:numPr>
          <w:ilvl w:val="0"/>
          <w:numId w:val="5"/>
        </w:numPr>
      </w:pPr>
      <w:r>
        <w:t xml:space="preserve">You say more work is required to confirm that higher levels of rRNA and tRNA are observed in the three dose 24 primary HBEC samples. What further work would you do to confirm this? </w:t>
      </w:r>
      <w:r>
        <w:rPr>
          <w:b/>
          <w:bCs/>
        </w:rPr>
        <w:t>More samples, more donors, look at more RNA species other than just rRNA and tRNA – can use databases containing these sequences to perform this.</w:t>
      </w:r>
    </w:p>
    <w:p w14:paraId="1050BBB7" w14:textId="77777777" w:rsidR="00B94731" w:rsidRDefault="00B94731" w:rsidP="00943914">
      <w:pPr>
        <w:pStyle w:val="ListParagraph"/>
        <w:numPr>
          <w:ilvl w:val="0"/>
          <w:numId w:val="5"/>
        </w:numPr>
      </w:pPr>
      <w:r>
        <w:t xml:space="preserve">What was the greatest challenge of the project? </w:t>
      </w:r>
    </w:p>
    <w:p w14:paraId="2FFCCFCD" w14:textId="6ABDD993" w:rsidR="00B94731" w:rsidRPr="00B94731" w:rsidRDefault="00B94731" w:rsidP="00B94731">
      <w:pPr>
        <w:pStyle w:val="ListParagraph"/>
        <w:numPr>
          <w:ilvl w:val="1"/>
          <w:numId w:val="5"/>
        </w:numPr>
      </w:pPr>
      <w:r>
        <w:rPr>
          <w:b/>
          <w:bCs/>
        </w:rPr>
        <w:t>The greatest technical challenge was developing the method for the pathway enrichment analysis because there were so many target genes that it was almost the whole proteome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 xml:space="preserve">The greatest overall challenge was deciding what the project was actually about. Because I received the data in a staggered way, the aim of the project kept changing based on the results of the data as I could no longer do what I set out to do. This is a good example of how projects can change over time and when you are doing stuff in a short </w:t>
      </w:r>
      <w:r>
        <w:rPr>
          <w:b/>
          <w:bCs/>
        </w:rPr>
        <w:lastRenderedPageBreak/>
        <w:t>time period, you may not be able to reach the depth of analysis you might like to.</w:t>
      </w:r>
    </w:p>
    <w:p w14:paraId="1C4522C3" w14:textId="77777777" w:rsidR="00A013F1" w:rsidRDefault="00A013F1" w:rsidP="00A013F1">
      <w:pPr>
        <w:pStyle w:val="ListParagraph"/>
        <w:numPr>
          <w:ilvl w:val="0"/>
          <w:numId w:val="5"/>
        </w:numPr>
      </w:pPr>
      <w: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t xml:space="preserve">[check references for how much miRNA other studies used]. More samples could help compensate for lower levels of miRNA. </w:t>
      </w:r>
    </w:p>
    <w:p w14:paraId="6D87BE55" w14:textId="7363446F" w:rsidR="00A013F1"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7B8F1725" w14:textId="5429F9DB" w:rsidR="00F91D6A" w:rsidRDefault="00F91D6A" w:rsidP="00F91D6A">
      <w:pPr>
        <w:pStyle w:val="ListParagraph"/>
        <w:numPr>
          <w:ilvl w:val="0"/>
          <w:numId w:val="5"/>
        </w:numPr>
      </w:pPr>
      <w:r>
        <w:t xml:space="preserve">You say that pathway enrichment analysis was not suitable for the Calu-3 dataset as there was insufficient levels of differential expression. How much differential expression would be enough? </w:t>
      </w:r>
      <w:r>
        <w:rPr>
          <w:b/>
          <w:bCs/>
        </w:rPr>
        <w:t xml:space="preserve">I haven’t been able to find anything that is a clear threshold for this as it can depend on how well researched the miRNAs are and other factors but &gt;10 would probably be a rough minimum. </w:t>
      </w:r>
    </w:p>
    <w:p w14:paraId="51B50710" w14:textId="1392E4B6" w:rsidR="00CA38C2" w:rsidRPr="00515D48" w:rsidRDefault="00CA38C2" w:rsidP="00F91D6A">
      <w:pPr>
        <w:pStyle w:val="ListParagraph"/>
        <w:numPr>
          <w:ilvl w:val="0"/>
          <w:numId w:val="5"/>
        </w:numPr>
      </w:pPr>
      <w:r>
        <w:t xml:space="preserve">You say more research is required to validate the finding that miR-125b-5p may be a common allergen response miRNA – what would that extra research be? </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56FAE"/>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A33CC"/>
    <w:rsid w:val="004B2AB1"/>
    <w:rsid w:val="004B74B1"/>
    <w:rsid w:val="004C046D"/>
    <w:rsid w:val="004C0F98"/>
    <w:rsid w:val="004C381F"/>
    <w:rsid w:val="004C52FE"/>
    <w:rsid w:val="004D477C"/>
    <w:rsid w:val="004D5A8D"/>
    <w:rsid w:val="004E0FFA"/>
    <w:rsid w:val="004E1C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060D"/>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0067"/>
    <w:rsid w:val="00B94731"/>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1D6A"/>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1118</Words>
  <Characters>6377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43</cp:revision>
  <dcterms:created xsi:type="dcterms:W3CDTF">2026-05-22T16:09:00Z</dcterms:created>
  <dcterms:modified xsi:type="dcterms:W3CDTF">2026-08-20T10:58:00Z</dcterms:modified>
</cp:coreProperties>
</file>