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3EE38" w14:textId="278EC80D" w:rsidR="00C96117" w:rsidRPr="00277FB4" w:rsidRDefault="000C6D8E" w:rsidP="00277FB4">
      <w:pPr>
        <w:pStyle w:val="Standard"/>
        <w:spacing w:line="360" w:lineRule="auto"/>
        <w:rPr>
          <w:sz w:val="22"/>
          <w:szCs w:val="22"/>
        </w:rPr>
      </w:pPr>
      <w:r w:rsidRPr="00277FB4">
        <w:rPr>
          <w:rFonts w:ascii="Times New Roman" w:hAnsi="Times New Roman" w:cs="Times New Roman"/>
          <w:b/>
          <w:bCs/>
          <w:sz w:val="28"/>
          <w:szCs w:val="28"/>
        </w:rPr>
        <w:t>A</w:t>
      </w:r>
      <w:r w:rsidR="003A59B5" w:rsidRPr="00277FB4">
        <w:rPr>
          <w:rFonts w:ascii="Times New Roman" w:hAnsi="Times New Roman" w:cs="Times New Roman"/>
          <w:b/>
          <w:bCs/>
          <w:sz w:val="28"/>
          <w:szCs w:val="28"/>
        </w:rPr>
        <w:t xml:space="preserve"> critical examination of stability predictions from machine-learned formation energies</w:t>
      </w:r>
    </w:p>
    <w:p w14:paraId="51F250F8" w14:textId="77777777" w:rsidR="00277FB4" w:rsidRDefault="00277FB4">
      <w:pPr>
        <w:pStyle w:val="Standard"/>
        <w:spacing w:line="360" w:lineRule="auto"/>
        <w:jc w:val="both"/>
        <w:rPr>
          <w:rFonts w:ascii="Times New Roman" w:hAnsi="Times New Roman" w:cs="Times New Roman"/>
          <w:sz w:val="22"/>
          <w:szCs w:val="22"/>
        </w:rPr>
      </w:pPr>
    </w:p>
    <w:p w14:paraId="34C6D228" w14:textId="2B9D7084" w:rsidR="00C96117" w:rsidRPr="00277FB4" w:rsidRDefault="003A59B5">
      <w:pPr>
        <w:pStyle w:val="Standard"/>
        <w:spacing w:line="360" w:lineRule="auto"/>
        <w:jc w:val="both"/>
        <w:rPr>
          <w:sz w:val="22"/>
          <w:szCs w:val="22"/>
        </w:rPr>
      </w:pPr>
      <w:r w:rsidRPr="00277FB4">
        <w:rPr>
          <w:rFonts w:ascii="Times New Roman" w:hAnsi="Times New Roman" w:cs="Times New Roman"/>
          <w:sz w:val="22"/>
          <w:szCs w:val="22"/>
        </w:rPr>
        <w:t>Christopher J. Bartel</w:t>
      </w:r>
      <w:r w:rsidRPr="00277FB4">
        <w:rPr>
          <w:rFonts w:ascii="Times New Roman" w:hAnsi="Times New Roman" w:cs="Times New Roman"/>
          <w:sz w:val="22"/>
          <w:szCs w:val="22"/>
          <w:vertAlign w:val="superscript"/>
        </w:rPr>
        <w:t>1*</w:t>
      </w:r>
      <w:r w:rsidRPr="00277FB4">
        <w:rPr>
          <w:rFonts w:ascii="Times New Roman" w:hAnsi="Times New Roman" w:cs="Times New Roman"/>
          <w:sz w:val="22"/>
          <w:szCs w:val="22"/>
        </w:rPr>
        <w:t>, Amalie Trewartha</w:t>
      </w:r>
      <w:r w:rsidRPr="00277FB4">
        <w:rPr>
          <w:rFonts w:ascii="Times New Roman" w:hAnsi="Times New Roman" w:cs="Times New Roman"/>
          <w:sz w:val="22"/>
          <w:szCs w:val="22"/>
          <w:vertAlign w:val="superscript"/>
        </w:rPr>
        <w:t>1</w:t>
      </w:r>
      <w:r w:rsidRPr="00277FB4">
        <w:rPr>
          <w:rFonts w:ascii="Times New Roman" w:hAnsi="Times New Roman" w:cs="Times New Roman"/>
          <w:sz w:val="22"/>
          <w:szCs w:val="22"/>
        </w:rPr>
        <w:t>, Qi Wang</w:t>
      </w:r>
      <w:r w:rsidRPr="00277FB4">
        <w:rPr>
          <w:rFonts w:ascii="Times New Roman" w:hAnsi="Times New Roman" w:cs="Times New Roman"/>
          <w:sz w:val="22"/>
          <w:szCs w:val="22"/>
          <w:vertAlign w:val="superscript"/>
        </w:rPr>
        <w:t>2</w:t>
      </w:r>
      <w:r w:rsidRPr="00277FB4">
        <w:rPr>
          <w:rFonts w:ascii="Times New Roman" w:hAnsi="Times New Roman" w:cs="Times New Roman"/>
          <w:sz w:val="22"/>
          <w:szCs w:val="22"/>
        </w:rPr>
        <w:t>, Alex Dunn</w:t>
      </w:r>
      <w:r w:rsidRPr="00277FB4">
        <w:rPr>
          <w:rFonts w:ascii="Times New Roman" w:hAnsi="Times New Roman" w:cs="Times New Roman"/>
          <w:sz w:val="22"/>
          <w:szCs w:val="22"/>
          <w:vertAlign w:val="superscript"/>
        </w:rPr>
        <w:t>1,2</w:t>
      </w:r>
      <w:r w:rsidRPr="00277FB4">
        <w:rPr>
          <w:rFonts w:ascii="Times New Roman" w:hAnsi="Times New Roman" w:cs="Times New Roman"/>
          <w:sz w:val="22"/>
          <w:szCs w:val="22"/>
        </w:rPr>
        <w:t>, Anubhav Jain</w:t>
      </w:r>
      <w:r w:rsidRPr="00277FB4">
        <w:rPr>
          <w:rFonts w:ascii="Times New Roman" w:hAnsi="Times New Roman" w:cs="Times New Roman"/>
          <w:sz w:val="22"/>
          <w:szCs w:val="22"/>
          <w:vertAlign w:val="superscript"/>
        </w:rPr>
        <w:t>2</w:t>
      </w:r>
      <w:r w:rsidRPr="00277FB4">
        <w:rPr>
          <w:rFonts w:ascii="Times New Roman" w:hAnsi="Times New Roman" w:cs="Times New Roman"/>
          <w:sz w:val="22"/>
          <w:szCs w:val="22"/>
        </w:rPr>
        <w:t>, Gerbrand Ceder</w:t>
      </w:r>
      <w:r w:rsidRPr="00277FB4">
        <w:rPr>
          <w:rFonts w:ascii="Times New Roman" w:hAnsi="Times New Roman" w:cs="Times New Roman"/>
          <w:sz w:val="22"/>
          <w:szCs w:val="22"/>
          <w:vertAlign w:val="superscript"/>
        </w:rPr>
        <w:t>1,3*</w:t>
      </w:r>
    </w:p>
    <w:p w14:paraId="53E81776" w14:textId="77777777" w:rsidR="00277FB4" w:rsidRDefault="00277FB4">
      <w:pPr>
        <w:pStyle w:val="Standard"/>
        <w:spacing w:line="360" w:lineRule="auto"/>
        <w:jc w:val="both"/>
        <w:rPr>
          <w:rFonts w:ascii="Times New Roman" w:hAnsi="Times New Roman" w:cs="Times New Roman"/>
          <w:sz w:val="20"/>
          <w:szCs w:val="20"/>
          <w:vertAlign w:val="superscript"/>
        </w:rPr>
      </w:pPr>
    </w:p>
    <w:p w14:paraId="4A790D17" w14:textId="1A2A30D7" w:rsidR="00C96117" w:rsidRDefault="003A59B5">
      <w:pPr>
        <w:pStyle w:val="Standard"/>
        <w:spacing w:line="360" w:lineRule="auto"/>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Department of Materials Science &amp; Engineering, University of California, Berkeley, Berkeley, CA</w:t>
      </w:r>
      <w:r w:rsidR="00277FB4">
        <w:rPr>
          <w:rFonts w:ascii="Times New Roman" w:hAnsi="Times New Roman" w:cs="Times New Roman"/>
          <w:sz w:val="20"/>
          <w:szCs w:val="20"/>
        </w:rPr>
        <w:t xml:space="preserve"> 94720, USA </w:t>
      </w:r>
    </w:p>
    <w:p w14:paraId="20F80CEA" w14:textId="4F7CD08E" w:rsidR="00C96117" w:rsidRDefault="003A59B5">
      <w:pPr>
        <w:pStyle w:val="Standard"/>
        <w:spacing w:line="360" w:lineRule="auto"/>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Energy Technologies Area, Lawrence Berkeley National Laboratory, Berkeley, CA</w:t>
      </w:r>
      <w:r w:rsidR="00277FB4">
        <w:rPr>
          <w:rFonts w:ascii="Times New Roman" w:hAnsi="Times New Roman" w:cs="Times New Roman"/>
          <w:sz w:val="20"/>
          <w:szCs w:val="20"/>
        </w:rPr>
        <w:t xml:space="preserve"> 94720, USA</w:t>
      </w:r>
    </w:p>
    <w:p w14:paraId="67143383" w14:textId="096E0BEF" w:rsidR="00C96117" w:rsidRDefault="003A59B5">
      <w:pPr>
        <w:pStyle w:val="Standard"/>
        <w:spacing w:line="360" w:lineRule="auto"/>
        <w:jc w:val="both"/>
      </w:pPr>
      <w:r>
        <w:rPr>
          <w:rFonts w:ascii="Times New Roman" w:hAnsi="Times New Roman" w:cs="Times New Roman"/>
          <w:sz w:val="20"/>
          <w:szCs w:val="20"/>
          <w:vertAlign w:val="superscript"/>
        </w:rPr>
        <w:t>3</w:t>
      </w:r>
      <w:r>
        <w:rPr>
          <w:rFonts w:ascii="Times New Roman" w:hAnsi="Times New Roman" w:cs="Times New Roman"/>
          <w:sz w:val="20"/>
          <w:szCs w:val="20"/>
        </w:rPr>
        <w:t>Materials Sciences Division, Lawrence Berkeley National Laboratory, Berkeley, CA</w:t>
      </w:r>
      <w:r w:rsidR="00277FB4">
        <w:rPr>
          <w:rFonts w:ascii="Times New Roman" w:hAnsi="Times New Roman" w:cs="Times New Roman"/>
          <w:sz w:val="20"/>
          <w:szCs w:val="20"/>
        </w:rPr>
        <w:t xml:space="preserve"> 94720, USA</w:t>
      </w:r>
    </w:p>
    <w:p w14:paraId="0D0925E0" w14:textId="77777777" w:rsidR="00C96117" w:rsidRDefault="003A59B5">
      <w:pPr>
        <w:pStyle w:val="Standard"/>
        <w:jc w:val="both"/>
      </w:pPr>
      <w:r>
        <w:rPr>
          <w:rFonts w:ascii="Times New Roman" w:hAnsi="Times New Roman" w:cs="Times New Roman"/>
          <w:sz w:val="20"/>
          <w:szCs w:val="20"/>
          <w:vertAlign w:val="superscript"/>
        </w:rPr>
        <w:t>*</w:t>
      </w:r>
      <w:r>
        <w:rPr>
          <w:rFonts w:ascii="Times New Roman" w:hAnsi="Times New Roman" w:cs="Times New Roman"/>
          <w:sz w:val="20"/>
          <w:szCs w:val="20"/>
        </w:rPr>
        <w:t>correspondence to cbartel@berkeley.edu, gceder@berkeley.edu</w:t>
      </w:r>
    </w:p>
    <w:p w14:paraId="32FEAA76" w14:textId="77777777" w:rsidR="00C96117" w:rsidRDefault="00C96117">
      <w:pPr>
        <w:pStyle w:val="Standard"/>
        <w:spacing w:line="360" w:lineRule="auto"/>
        <w:jc w:val="both"/>
        <w:rPr>
          <w:rFonts w:ascii="Times New Roman" w:hAnsi="Times New Roman" w:cs="Times New Roman"/>
        </w:rPr>
      </w:pPr>
    </w:p>
    <w:p w14:paraId="6EDE5186" w14:textId="734FC774" w:rsidR="00C96117" w:rsidRDefault="003A59B5">
      <w:pPr>
        <w:pStyle w:val="Standard"/>
        <w:spacing w:line="360" w:lineRule="auto"/>
      </w:pPr>
      <w:r>
        <w:rPr>
          <w:rFonts w:ascii="Times New Roman" w:hAnsi="Times New Roman" w:cs="Times New Roman"/>
          <w:i/>
          <w:iCs/>
        </w:rPr>
        <w:t>Version</w:t>
      </w:r>
      <w:r>
        <w:rPr>
          <w:rFonts w:ascii="Times New Roman" w:hAnsi="Times New Roman" w:cs="Times New Roman"/>
        </w:rPr>
        <w:t>:</w:t>
      </w:r>
      <w:r>
        <w:rPr>
          <w:rFonts w:ascii="Times New Roman" w:hAnsi="Times New Roman" w:cs="Times New Roman"/>
          <w:i/>
          <w:iCs/>
        </w:rPr>
        <w:t xml:space="preserve"> </w:t>
      </w:r>
      <w:r w:rsidR="00A62A66">
        <w:rPr>
          <w:rFonts w:ascii="Times New Roman" w:hAnsi="Times New Roman" w:cs="Times New Roman"/>
        </w:rPr>
        <w:t>3.0</w:t>
      </w:r>
    </w:p>
    <w:p w14:paraId="61EA67A8" w14:textId="2AD277EC" w:rsidR="00C96117" w:rsidRDefault="003A59B5">
      <w:pPr>
        <w:pStyle w:val="Standard"/>
        <w:spacing w:line="360" w:lineRule="auto"/>
      </w:pPr>
      <w:r>
        <w:rPr>
          <w:rFonts w:ascii="Times New Roman" w:hAnsi="Times New Roman" w:cs="Times New Roman"/>
          <w:i/>
          <w:iCs/>
        </w:rPr>
        <w:t>Last edit</w:t>
      </w:r>
      <w:r>
        <w:rPr>
          <w:rFonts w:ascii="Times New Roman" w:hAnsi="Times New Roman" w:cs="Times New Roman"/>
        </w:rPr>
        <w:t>:</w:t>
      </w:r>
      <w:r>
        <w:rPr>
          <w:rFonts w:ascii="Times New Roman" w:hAnsi="Times New Roman" w:cs="Times New Roman"/>
          <w:i/>
          <w:iCs/>
        </w:rPr>
        <w:t xml:space="preserve"> </w:t>
      </w:r>
      <w:r>
        <w:rPr>
          <w:rFonts w:ascii="Times New Roman" w:hAnsi="Times New Roman" w:cs="Times New Roman"/>
        </w:rPr>
        <w:t>11</w:t>
      </w:r>
      <w:r w:rsidR="0044086E">
        <w:rPr>
          <w:rFonts w:ascii="Times New Roman" w:hAnsi="Times New Roman" w:cs="Times New Roman"/>
        </w:rPr>
        <w:t>/</w:t>
      </w:r>
      <w:r w:rsidR="00A62A66">
        <w:rPr>
          <w:rFonts w:ascii="Times New Roman" w:hAnsi="Times New Roman" w:cs="Times New Roman"/>
        </w:rPr>
        <w:t>13</w:t>
      </w:r>
      <w:r>
        <w:rPr>
          <w:rFonts w:ascii="Times New Roman" w:hAnsi="Times New Roman" w:cs="Times New Roman"/>
        </w:rPr>
        <w:t xml:space="preserve">/19; </w:t>
      </w:r>
      <w:r w:rsidR="0044086E">
        <w:rPr>
          <w:rFonts w:ascii="Times New Roman" w:hAnsi="Times New Roman" w:cs="Times New Roman"/>
        </w:rPr>
        <w:t>CJB</w:t>
      </w:r>
    </w:p>
    <w:p w14:paraId="067117F1" w14:textId="4370963F" w:rsidR="00C96117" w:rsidRPr="003A7316" w:rsidRDefault="003A59B5" w:rsidP="00A62A66">
      <w:pPr>
        <w:pStyle w:val="Standard"/>
        <w:spacing w:line="360" w:lineRule="auto"/>
        <w:rPr>
          <w:rFonts w:ascii="Times New Roman" w:hAnsi="Times New Roman" w:cs="Times New Roman"/>
          <w:i/>
          <w:iCs/>
        </w:rPr>
      </w:pPr>
      <w:r>
        <w:rPr>
          <w:rFonts w:ascii="Times New Roman" w:hAnsi="Times New Roman" w:cs="Times New Roman"/>
          <w:i/>
          <w:iCs/>
        </w:rPr>
        <w:t>Target</w:t>
      </w:r>
      <w:r>
        <w:rPr>
          <w:rFonts w:ascii="Times New Roman" w:hAnsi="Times New Roman" w:cs="Times New Roman"/>
        </w:rPr>
        <w:t>:</w:t>
      </w:r>
      <w:r>
        <w:rPr>
          <w:rFonts w:ascii="Times New Roman" w:hAnsi="Times New Roman" w:cs="Times New Roman"/>
          <w:i/>
          <w:iCs/>
        </w:rPr>
        <w:t xml:space="preserve"> Matter</w:t>
      </w:r>
      <w:r w:rsidR="003A7316">
        <w:rPr>
          <w:rFonts w:ascii="Times New Roman" w:hAnsi="Times New Roman" w:cs="Times New Roman"/>
          <w:i/>
          <w:iCs/>
        </w:rPr>
        <w:t xml:space="preserve"> </w:t>
      </w:r>
      <w:r w:rsidR="003A7316">
        <w:rPr>
          <w:rFonts w:ascii="Times New Roman" w:hAnsi="Times New Roman" w:cs="Times New Roman"/>
        </w:rPr>
        <w:t xml:space="preserve">or </w:t>
      </w:r>
      <w:r w:rsidR="003A7316">
        <w:rPr>
          <w:rFonts w:ascii="Times New Roman" w:hAnsi="Times New Roman" w:cs="Times New Roman"/>
          <w:i/>
          <w:iCs/>
        </w:rPr>
        <w:t>npj Computational Materials</w:t>
      </w:r>
      <w:bookmarkStart w:id="0" w:name="_GoBack"/>
      <w:bookmarkEnd w:id="0"/>
    </w:p>
    <w:p w14:paraId="3BB02343" w14:textId="726D7B97" w:rsidR="00C96117" w:rsidRDefault="00C96117">
      <w:pPr>
        <w:rPr>
          <w:rFonts w:ascii="Times New Roman" w:hAnsi="Times New Roman" w:cs="Times New Roman"/>
          <w:b/>
          <w:bCs/>
          <w:color w:val="00000A"/>
          <w:sz w:val="28"/>
          <w:szCs w:val="28"/>
        </w:rPr>
      </w:pPr>
    </w:p>
    <w:p w14:paraId="6F458958" w14:textId="77777777" w:rsidR="00C96117" w:rsidRDefault="003A59B5">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Abstract</w:t>
      </w:r>
    </w:p>
    <w:p w14:paraId="59B2E429" w14:textId="41205554" w:rsidR="00C96117" w:rsidRDefault="003A59B5">
      <w:pPr>
        <w:pStyle w:val="Standard"/>
        <w:spacing w:line="360" w:lineRule="auto"/>
        <w:jc w:val="both"/>
      </w:pPr>
      <w:r>
        <w:rPr>
          <w:rFonts w:ascii="Times New Roman" w:hAnsi="Times New Roman" w:cs="Times New Roman"/>
        </w:rPr>
        <w:tab/>
        <w:t>The formation energy does not directly determine the stability of an inorganic crystalline solid. Instead, the formation energies must be compared for all compounds within a chemical space</w:t>
      </w:r>
      <w:r w:rsidR="0044086E">
        <w:rPr>
          <w:rFonts w:ascii="Times New Roman" w:hAnsi="Times New Roman" w:cs="Times New Roman"/>
        </w:rPr>
        <w:t xml:space="preserve"> to obtain </w:t>
      </w:r>
      <w:r>
        <w:rPr>
          <w:rFonts w:ascii="Times New Roman" w:hAnsi="Times New Roman" w:cs="Times New Roman"/>
        </w:rPr>
        <w:t xml:space="preserve">the energy of decomposition with respect to these competing compounds. A number of machine learning models for predicting the formation energy of solid-state materials have emerged in recent years, </w:t>
      </w:r>
      <w:r w:rsidR="00277FB4">
        <w:rPr>
          <w:rFonts w:ascii="Times New Roman" w:hAnsi="Times New Roman" w:cs="Times New Roman"/>
        </w:rPr>
        <w:t>but</w:t>
      </w:r>
      <w:r>
        <w:rPr>
          <w:rFonts w:ascii="Times New Roman" w:hAnsi="Times New Roman" w:cs="Times New Roman"/>
        </w:rPr>
        <w:t xml:space="preserve"> </w:t>
      </w:r>
      <w:r w:rsidR="00277FB4">
        <w:rPr>
          <w:rFonts w:ascii="Times New Roman" w:hAnsi="Times New Roman" w:cs="Times New Roman"/>
        </w:rPr>
        <w:t>none</w:t>
      </w:r>
      <w:r>
        <w:rPr>
          <w:rFonts w:ascii="Times New Roman" w:hAnsi="Times New Roman" w:cs="Times New Roman"/>
        </w:rPr>
        <w:t xml:space="preserve"> have </w:t>
      </w:r>
      <w:r w:rsidR="00277FB4">
        <w:rPr>
          <w:rFonts w:ascii="Times New Roman" w:hAnsi="Times New Roman" w:cs="Times New Roman"/>
        </w:rPr>
        <w:t xml:space="preserve">rigorously </w:t>
      </w:r>
      <w:r>
        <w:rPr>
          <w:rFonts w:ascii="Times New Roman" w:hAnsi="Times New Roman" w:cs="Times New Roman"/>
        </w:rPr>
        <w:t xml:space="preserve">addressed the application of these models to stability predictions. In this work, seven machine learning </w:t>
      </w:r>
      <w:r w:rsidR="00277FB4">
        <w:rPr>
          <w:rFonts w:ascii="Times New Roman" w:hAnsi="Times New Roman" w:cs="Times New Roman"/>
        </w:rPr>
        <w:t xml:space="preserve">(ML) </w:t>
      </w:r>
      <w:r>
        <w:rPr>
          <w:rFonts w:ascii="Times New Roman" w:hAnsi="Times New Roman" w:cs="Times New Roman"/>
        </w:rPr>
        <w:t xml:space="preserve">models for formation energy are tested on stability predictions using the Materials Project database of </w:t>
      </w:r>
      <w:r w:rsidR="0044086E">
        <w:rPr>
          <w:rFonts w:ascii="Times New Roman" w:hAnsi="Times New Roman" w:cs="Times New Roman"/>
        </w:rPr>
        <w:t>density functional theory (</w:t>
      </w:r>
      <w:r>
        <w:rPr>
          <w:rFonts w:ascii="Times New Roman" w:hAnsi="Times New Roman" w:cs="Times New Roman"/>
        </w:rPr>
        <w:t>DFT</w:t>
      </w:r>
      <w:r w:rsidR="0044086E">
        <w:rPr>
          <w:rFonts w:ascii="Times New Roman" w:hAnsi="Times New Roman" w:cs="Times New Roman"/>
        </w:rPr>
        <w:t>)</w:t>
      </w:r>
      <w:r>
        <w:rPr>
          <w:rFonts w:ascii="Times New Roman" w:hAnsi="Times New Roman" w:cs="Times New Roman"/>
        </w:rPr>
        <w:t xml:space="preserve"> calculations for 85,014 unique chemical compositions. These models include five recently published compositional representations, a baseline model using stoichiometry alone, and a structural representation. </w:t>
      </w:r>
      <w:r w:rsidR="0044086E">
        <w:rPr>
          <w:rFonts w:ascii="Times New Roman" w:hAnsi="Times New Roman" w:cs="Times New Roman"/>
        </w:rPr>
        <w:t>While the mean absolute error (MAE) on decomposition energies is comparable to the MAE on formation ener</w:t>
      </w:r>
      <w:r w:rsidR="00277FB4">
        <w:rPr>
          <w:rFonts w:ascii="Times New Roman" w:hAnsi="Times New Roman" w:cs="Times New Roman"/>
        </w:rPr>
        <w:t>gies</w:t>
      </w:r>
      <w:r w:rsidR="0044086E">
        <w:rPr>
          <w:rFonts w:ascii="Times New Roman" w:hAnsi="Times New Roman" w:cs="Times New Roman"/>
        </w:rPr>
        <w:t xml:space="preserve"> and also the MAE of DFT with respect to experiment</w:t>
      </w:r>
      <w:r w:rsidR="00277FB4">
        <w:rPr>
          <w:rFonts w:ascii="Times New Roman" w:hAnsi="Times New Roman" w:cs="Times New Roman"/>
        </w:rPr>
        <w:t xml:space="preserve"> for formation energies</w:t>
      </w:r>
      <w:r w:rsidR="0044086E">
        <w:rPr>
          <w:rFonts w:ascii="Times New Roman" w:hAnsi="Times New Roman" w:cs="Times New Roman"/>
        </w:rPr>
        <w:t xml:space="preserve">, this accuracy is shown to be insufficient to make accurate stability predictions. </w:t>
      </w:r>
      <w:r>
        <w:rPr>
          <w:rFonts w:ascii="Times New Roman" w:hAnsi="Times New Roman" w:cs="Times New Roman"/>
        </w:rPr>
        <w:t xml:space="preserve">Most critically, in sparse chemical spaces where there are many more unstable than stable compounds, only the structural model is capable of efficiently detecting which materials are actually stable. </w:t>
      </w:r>
      <w:r w:rsidR="0044086E">
        <w:rPr>
          <w:rFonts w:ascii="Times New Roman" w:hAnsi="Times New Roman" w:cs="Times New Roman"/>
        </w:rPr>
        <w:t>This</w:t>
      </w:r>
      <w:r>
        <w:rPr>
          <w:rFonts w:ascii="Times New Roman" w:hAnsi="Times New Roman" w:cs="Times New Roman"/>
        </w:rPr>
        <w:t xml:space="preserve"> work demonstrates that accurate predictions of formation energy do not imply accurate predictions of stability, especially for problems that resemble real-world application of these models for materials discovery. </w:t>
      </w:r>
    </w:p>
    <w:p w14:paraId="61BCA33D" w14:textId="77777777" w:rsidR="00C96117" w:rsidRDefault="003A59B5">
      <w:pP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1CCF476F" w14:textId="77777777" w:rsidR="00C96117" w:rsidRDefault="00C96117">
      <w:pPr>
        <w:rPr>
          <w:rFonts w:ascii="Times New Roman" w:hAnsi="Times New Roman" w:cs="Times New Roman"/>
          <w:color w:val="00000A"/>
        </w:rPr>
      </w:pPr>
    </w:p>
    <w:p w14:paraId="5ADDA1BE" w14:textId="5DCC7FB4" w:rsidR="00627D81" w:rsidRDefault="003A59B5">
      <w:pPr>
        <w:pStyle w:val="Standard"/>
        <w:spacing w:line="360" w:lineRule="auto"/>
        <w:jc w:val="both"/>
      </w:pPr>
      <w:r>
        <w:rPr>
          <w:rFonts w:ascii="Times New Roman" w:hAnsi="Times New Roman" w:cs="Times New Roman"/>
        </w:rPr>
        <w:tab/>
        <w:t>Machine learning (ML) is emerging as a standard tool for rapid prediction of material properties.</w:t>
      </w:r>
      <w:r>
        <w:fldChar w:fldCharType="begin"/>
      </w:r>
      <w:r>
        <w:instrText>ADDIN ZOTERO_ITEM CSL_CITATION {"citationID":"JyZRtINl","properties":{"formattedCitation":"\\super 1,1\\uc0\\u8211{}6\\nosupersub{}","plainCitation":"1,1–6","dontUpdate":true,"noteIndex":0},"citationItems":[{"id":95,"uris":["http://zotero.org/users/local/UnIW1pB0/items/4UR2AGN5"],"uri":["http://zotero.org/users/local/UnIW1pB0/items/4UR2AGN5"],"itemData":{"id":95,"type":"article-journal","title":"Data-Driven Materials Science: Status, Challenges, and Perspectives","container-title":"Advanced Science","page":"1900808","volume":"0","issue":"0","abstract":"Abstract Data-driven science is heralded as a new paradigm in materials science. In this field, data is the new resource, and knowledge is extracted from materials datasets that are too big or complex for traditional human reasoning?typically with the intent to discover new or improved materials or materials phenomena. Multiple factors, including the open science movement, national funding, and progress in information technology, have fueled its development. Such related tools as materials databases, machine learning, and high-throughput methods are now established as parts of the materials research toolset. However, there are a variety of challenges that impede progress in data-driven materials science: data veracity, integration of experimental and computational data, data longevity, standardization, and the gap between industrial interests and academic efforts. In this perspective article, the historical development and current state of data-driven materials science, building from the early evolution of open science to the rapid expansion of materials data infrastructures are discussed. Key successes and challenges so far are also reviewed, providing a perspective on the future development of the field.","DOI":"10.1002/advs.201900808","ISSN":"2198-3844","journalAbbreviation":"Advanced Science","author":[{"family":"Himanen","given":"Lauri"},{"family":"Geurts","given":"Amber"},{"family":"Foster","given":"Adam Stuart"},{"family":"Rinke","given":"Patrick"}],"issued":{"date-parts":[["2019",9,1]]}},"label":"page"},{"id":95,"uris":["http://zotero.org/users/local/UnIW1pB0/items/4UR2AGN5"],"uri":["http://zotero.org/users/local/UnIW1pB0/items/4UR2AGN5"],"itemData":{"id":95,"type":"article-journal","title":"Data-Driven Materials Science: Status, Challenges, and Perspectives","container-title":"Advanced Science","page":"1900808","volume":"0","issue":"0","abstract":"Abstract Data-driven science is heralded as a new paradigm in materials science. In this field, data is the new resource, and knowledge is extracted from materials datasets that are too big or complex for traditional human reasoning?typically with the intent to discover new or improved materials or materials phenomena. Multiple factors, including the open science movement, national funding, and progress in information technology, have fueled its development. Such related tools as materials databases, machine learning, and high-throughput methods are now established as parts of the materials research toolset. However, there are a variety of challenges that impede progress in data-driven materials science: data veracity, integration of experimental and computational data, data longevity, standardization, and the gap between industrial interests and academic efforts. In this perspective article, the historical development and current state of data-driven materials science, building from the early evolution of open science to the rapid expansion of materials data infrastructures are discussed. Key successes and challenges so far are also reviewed, providing a perspective on the future development of the field.","DOI":"10.1002/advs.201900808","ISSN":"2198-3844","journalAbbreviation":"Advanced Science","author":[{"family":"Himanen","given":"Lauri"},{"family":"Geurts","given":"Amber"},{"family":"Foster","given":"Adam Stuart"},{"family":"Rinke","given":"Patrick"}],"issued":{"date-parts":[["2019",9,1]]}},"label":"page"},{"id":97,"uris":["http://zotero.org/users/local/UnIW1pB0/items/Y732CZ5A"],"uri":["http://zotero.org/users/local/UnIW1pB0/items/Y732CZ5A"],"itemData":{"id":97,"type":"article-journal","title":"From DFT to machine learning: recent approaches to materials science–a review","container-title":"Journal of Physics: Materials","page":"032001","volume":"2","issue":"3","abstract":"Recent advances in experimental and computational methods are increasing the quantity and complexity of generated data. This massive amount of raw data needs to be stored and interpreted in order to advance the materials science field. Identifying correlations and patterns from large amounts of complex data is being performed by machine learning algorithms for decades. Recently, the materials science community started to invest in these methodologies to extract knowledge and insights from the accumulated data. This review follows a logical sequence starting from density functional theory as the representative instance of electronic structure methods, to the subsequent high-throughput approach, used to generate large amounts of data. Ultimately, data-driven strategies which include data mining, screening, and machine learning techniques, employ the data generated. We show how these approaches to modern computational materials science are being used to uncover complexities and design novel materials with enhanced properties. Finally, we point to the present research problems, challenges, and potential future perspectives of this new exciting field.","DOI":"10.1088/2515-7639/ab084b","ISSN":"2515-7639","author":[{"family":"Schleder","given":"Gabriel R"},{"family":"Padilha","given":"Antonio C M"},{"family":"Acosta","given":"Carlos Mera"},{"family":"Costa","given":"Marcio"},{"family":"Fazzio","given":"Adalberto"}],"issued":{"date-parts":[["2019",5,16]]}},"label":"page"},{"id":2,"uris":["http://zotero.org/users/local/UnIW1pB0/items/U7AG8Z3J"],"uri":["http://zotero.org/users/local/UnIW1pB0/items/U7AG8Z3J"],"itemData":{"id":2,"type":"article-journal","title":"Machine learning for heterogeneous catalyst design and discovery","container-title":"AIChE-Journal","page":"2311–2323","volume":"64","issue":"7","source":"Google Scholar","author":[{"family":"Goldsmith","given":"Bryan R."},{"family":"Esterhuizen","given":"Jacques"},{"family":"Liu","given":"Jin-Xun"},{"family":"Bartel","given":"Christopher J."},{"family":"Sutton","given":"Christopher A."}],"issued":{"date-parts":[["2018"]]}},"label":"page"},{"id":92,"uris":["http://zotero.org/users/local/UnIW1pB0/items/WV2XJS93"],"uri":["http://zotero.org/users/local/UnIW1pB0/items/WV2XJS93"],"itemData":{"id":92,"type":"article-journal","title":"Machine learning for molecular and materials science","container-title":"Nature","page":"547-555","volume":"559","issue":"7715","abstract":"Here we summarize recent progress in machine learning for the chemical sciences. We outline machine-learning techniques that are suitable for addressing research questions in this domain, as well as future directions for the field. We envisage a future in which the design, synthesis, characterization and application of molecules and materials is accelerated by artificial intelligence.","DOI":"10.1038/s41586-018-0337-2","ISSN":"1476-4687","journalAbbreviation":"Nature","author":[{"family":"Butler","given":"Keith T."},{"family":"Davies","given":"Daniel W."},{"family":"Cartwright","given":"Hugh"},{"family":"Isayev","given":"Olexandr"},{"family":"Walsh","given":"Aron"}],"issued":{"date-parts":[["2018",7,1]]}},"label":"page"},{"id":94,"uris":["http://zotero.org/users/local/UnIW1pB0/items/PHG5HFBQ"],"uri":["http://zotero.org/users/local/UnIW1pB0/items/PHG5HFBQ"],"itemData":{"id":94,"type":"article-journal","title":"Machine learning in materials informatics: recent applications and prospects","container-title":"npj Computational Materials","page":"54","volume":"3","issue":"1","abstract":"Propelled partly by the Materials Genome Initiative, and partly by the algorithmic developments and the resounding successes of data-driven efforts in other domains, informatics strategies are beginning to take shape within materials science. These approaches lead to surrogate machine learning models that enable rapid predictions based purely on past data rather than by direct experimentation or by computations/simulations in which fundamental equations are explicitly solved. Data-centric informatics methods are becoming useful to determine material properties that are hard to measure or compute using traditional methods—due to the cost, time or effort involved—but for which reliable data either already exists or can be generated for at least a subset of the critical cases. Predictions are typically interpolative, involving fingerprinting a material numerically first, and then following a mapping (established via a learning algorithm) between the fingerprint and the property of interest. Fingerprints, also referred to as “descriptors”, may be of many types and scales, as dictated by the application domain and needs. Predictions may also be extrapolative—extending into new materials spaces—provided prediction uncertainties are properly taken into account. This article attempts to provide an overview of some of the recent successful data-driven “materials informatics” strategies undertaken in the last decade, with particular emphasis on the fingerprint or descriptor choices. The review also identifies some challenges the community is facing and those that should be overcome in the near future.","DOI":"10.1038/s41524-017-0056-5","ISSN":"2057-3960","journalAbbreviation":"npj Computational Materials","author":[{"family":"Ramprasad","given":"Rampi"},{"family":"Batra","given":"Rohit"},{"family":"Pilania","given":"Ghanshyam"},{"family":"Mannodi-Kanakkithodi","given":"Arun"},{"family":"Kim","given":"Chiho"}],"issued":{"date-parts":[["2017",12,13]]}},"label":"page"},{"id":93,"uris":["http://zotero.org/users/local/UnIW1pB0/items/Y8ZRM5FY"],"uri":["http://zotero.org/users/local/UnIW1pB0/items/Y8ZRM5FY"],"itemData":{"id":93,"type":"article-journal","title":"Recent advances and applications of machine learning in solid-state materials science","container-title":"npj Computational Materials","page":"83","volume":"5","issue":"1","abstract":"One of the most exciting tools that have entered the material science toolbox in recent years is machine learning. This collection of statistical methods has already proved to be capable of considerably speeding up both fundamental and applied research. At present, we are witnessing an explosion of works that develop and apply machine learning to solid-state systems. We provide a comprehensive overview and analysis of the most recent research in this topic. As a starting point, we introduce machine learning principles, algorithms, descriptors, and databases in materials science. We continue with the description of different machine learning approaches for the discovery of stable materials and the prediction of their crystal structure. Then we discuss research in numerous quantitative structure–property relationships and various approaches for the replacement of first-principle methods by machine learning. We review how active learning and surrogate-based optimization can be applied to improve the rational design process and related examples of applications. Two major questions are always the interpretability of and the physical understanding gained from machine learning models. We consider therefore the different facets of interpretability and their importance in materials science. Finally, we propose solutions and future research paths for various challenges in computational materials science.","DOI":"10.1038/s41524-019-0221-0","ISSN":"2057-3960","journalAbbreviation":"npj Computational Materials","author":[{"family":"Schmidt","given":"Jonathan"},{"family":"Marques","given":"Mário R. G."},{"family":"Botti","given":"Silvana"},{"family":"Marques","given":"Miguel A. L."}],"issued":{"date-parts":[["2019",8,8]]}},"label":"page"}],"schema":"https://github.com/citation-style-language/schema/raw/master/csl-citation.json"}</w:instrText>
      </w:r>
      <w:r>
        <w:fldChar w:fldCharType="separate"/>
      </w:r>
      <w:bookmarkStart w:id="1" w:name="__Fieldmark__94_468041894"/>
      <w:r>
        <w:rPr>
          <w:rFonts w:ascii="Times New Roman" w:hAnsi="Times New Roman" w:cs="Times New Roman"/>
          <w:vertAlign w:val="superscript"/>
        </w:rPr>
        <w:t>1–6</w:t>
      </w:r>
      <w:r>
        <w:fldChar w:fldCharType="end"/>
      </w:r>
      <w:bookmarkEnd w:id="1"/>
      <w:r>
        <w:rPr>
          <w:rFonts w:ascii="Times New Roman" w:hAnsi="Times New Roman" w:cs="Times New Roman"/>
        </w:rPr>
        <w:t xml:space="preserve"> In general, these predictions are made by fitting statistical models on thousands of density functional theory (DFT) calculations housed in one of the many open materials databases.</w:t>
      </w:r>
      <w:r>
        <w:fldChar w:fldCharType="begin"/>
      </w:r>
      <w:r>
        <w:instrText>ADDIN ZOTERO_ITEM CSL_CITATION {"citationID":"dpbiZkKa","properties":{"unsorted":true,"formattedCitation":"\\super 7\\uc0\\u8211{}11\\nosupersub{}","plainCitation":"7–11","noteIndex":0},"citationItems":[{"id":112,"uris":["http://zotero.org/users/local/UnIW1pB0/items/EZRK33JX"],"uri":["http://zotero.org/users/local/UnIW1pB0/items/EZRK33JX"],"itemData":{"id":112,"type":"article-journal","title":"AiiDA: automated interactive infrastructure and database for computational science","container-title":"Computational Materials Science","page":"218-230","volume":"111","abstract":"Computational science has seen in the last decades a spectacular rise in the scope, breadth, and depth of its efforts. Notwithstanding this prevalence and impact, it is often still performed using the renaissance model of individual artisans gathered in a workshop, under the guidance of an established practitioner. Great benefits could follow instead from adopting concepts and tools coming from computer science to manage, preserve, and share these computational efforts. We illustrate here our paradigm sustaining such vision, based around the four pillars of Automation, Data, Environment, and Sharing. We then discuss its implementation in the open-source AiiDA platform (http://www.aiida.net), that has been tuned first to the demands of computational materials science. AiiDA’s design is based on directed acyclic graphs to track the provenance of data and calculations, and ensure preservation and searchability. Remote computational resources are managed transparently, and automation is coupled with data storage to ensure reproducibility. Last, complex sequences of calculations can be encoded into scientific workflows. We believe that AiiDA’s design and its sharing capabilities will encourage the creation of social ecosystems to disseminate codes, data, and scientific workflows.","DOI":"10.1016/j.commatsci.2015.09.013","ISSN":"0927-0256","journalAbbreviation":"Computational Materials Science","author":[{"family":"Pizzi","given":"Giovanni"},{"family":"Cepellotti","given":"Andrea"},{"family":"Sabatini","given":"Riccardo"},{"family":"Marzari","given":"Nicola"},{"family":"Kozinsky","given":"Boris"}],"issued":{"date-parts":[["2016",1,1]]}},"label":"page"},{"id":114,"uris":["http://zotero.org/users/local/UnIW1pB0/items/SRGHBFIT"],"uri":["http://zotero.org/users/local/UnIW1pB0/items/SRGHBFIT"],"itemData":{"id":114,"type":"article-journal","title":"The Open Quantum Materials Database (OQMD): assessing the accuracy of DFT formation energies","container-title":"npj Computational Materials","page":"15010","volume":"1","issue":"1","abstract":"The Open Quantum Materials Database (OQMD) is a high-throughput database currently consisting of nearly 300,000 density functional theory (DFT) total energy calculations of compounds from the Inorganic Crystal Structure Database (ICSD) and decorations of commonly occurring crystal structures. To maximise the impact of these data, the entire database is being made available, without restrictions, at www.oqmd.org/download. In this paper, we outline the structure and contents of the database, and then use it to evaluate the accuracy of the calculations therein by comparing DFT predictions with experimental measurements for the stability of all elemental ground-state structures and 1,670 experimental formation energies of compounds. This represents the largest comparison between DFT and experimental formation energies to date. The apparent mean absolute error between experimental measurements and our calculations is 0.096 eV/atom. In order to estimate how much error to attribute to the DFT calculations, we also examine deviation between different experimental measurements themselves where multiple sources are available, and find a surprisingly large mean absolute error of 0.082 eV/atom. Hence, we suggest that a significant fraction of the error between DFT and experimental formation energies may be attributed to experimental uncertainties. Finally, we evaluate the stability of compounds in the OQMD (including compounds obtained from the ICSD as well as hypothetical structures), which allows us to predict the existence of ~3,200 new compounds that have not been experimentally characterised and uncover trends in material discovery, based on historical data available within the ICSD.","DOI":"10.1038/npjcompumats.2015.10","ISSN":"2057-3960","journalAbbreviation":"npj Computational Materials","author":[{"family":"Kirklin","given":"Scott"},{"family":"Saal","given":"James E"},{"family":"Meredig","given":"Bryce"},{"family":"Thompson","given":"Alex"},{"family":"Doak","given":"Jeff W"},{"family":"Aykol","given":"Muratahan"},{"family":"Rühl","given":"Stephan"},{"family":"Wolverton","given":"Chris"}],"issued":{"date-parts":[["2015",12,11]]}},"label":"page"},{"id":86,"uris":["http://zotero.org/users/local/UnIW1pB0/items/DFQX9R92"],"uri":["http://zotero.org/users/local/UnIW1pB0/items/DFQX9R92"],"itemData":{"id":86,"type":"article-journal","title":"Commentary: The Materials Project: A materials genome approach to accelerating materials innovation","container-title":"APL Materials","page":"011002","volume":"1","issue":"1","DOI":"10.1063/1.4812323","journalAbbreviation":"APL Materials","author":[{"family":"Jain","given":"Anubhav"},{"family":"Ong","given":"Shyue Ping"},{"family":"Hautier","given":"Geoffroy"},{"family":"Chen","given":"Wei"},{"family":"Richards","given":"William Davidson"},{"family":"Dacek","given":"Stephen"},{"family":"Cholia","given":"Shreyas"},{"family":"Gunter","given":"Dan"},{"family":"Skinner","given":"David"},{"family":"Ceder","given":"Gerbrand"},{"family":"Persson","given":"Kristin A."}],"issued":{"date-parts":[["2013",7,1]]}},"label":"page"},{"id":111,"uris":["http://zotero.org/users/local/UnIW1pB0/items/VVDXEBUU"],"uri":["http://zotero.org/users/local/UnIW1pB0/items/VVDXEBUU"],"itemData":{"id":111,"type":"article-journal","title":"NOMAD: The FAIR concept for big data-driven materials science","container-title":"MRS Bulletin","page":"676-682","volume":"43","issue":"9","source":"Cambridge University Press","archive":"Cambridge Core","abstract":"Data are a crucial raw material of this century. The amount of data that have been created in materials science thus far and that continues to be created every day is immense. Without a proper infrastructure that allows for collecting and sharing data, the envisioned success of big data-driven materials science will be hampered. For the field of computational materials science, the NOMAD (Novel Materials Discovery) Center of Excellence (CoE) has changed the scientific culture toward comprehensive and findable, accessible, interoperable, and reusable (FAIR) data, opening new avenues for mining materials science big data. Novel data-analytics concepts and tools turn data into knowledge and help in the prediction of new materials and in the identification of new properties of already known materials.","DOI":"10.1557/mrs.2018.208","ISSN":"0883-7694","author":[{"family":"Draxl","given":"Claudia"},{"family":"Scheffler","given":"Matthias"}],"issued":{"date-parts":[["2018"]]}},"label":"page"},{"id":113,"uris":["http://zotero.org/users/local/UnIW1pB0/items/7M8EB6EF"],"uri":["http://zotero.org/users/local/UnIW1pB0/items/7M8EB6EF"],"itemData":{"id":113,"type":"article-journal","title":"AFLOW: An automatic framework for high-throughput materials discovery","container-title":"Computational Materials Science","page":"218-226","volume":"58","abstract":"Recent advances in computational materials science present novel opportunities for structure discovery and optimization, including uncovering of unsuspected compounds and metastable structures, electronic structure, surface, and nano-particle properties. The practical realization of these opportunities requires systematic generation and classification of the relevant computational data by high-throughput methods. In this paper we present Aflow (Automatic Flow), a software framework for high-throughput calculation of crystal structure properties of alloys, intermetallics and inorganic compounds. The Aflow software is available for the scientific community on the website of the materials research consortium, aflowlib.org. Its geometric and electronic structure analysis and manipulation tools are additionally available for online operation at the same website. The combination of automatic methods and user online interfaces provide a powerful tool for efficient quantum computational materials discovery and characterization.","DOI":"10.1016/j.commatsci.2012.02.005","ISSN":"0927-0256","journalAbbreviation":"Computational Materials Science","author":[{"family":"Curtarolo","given":"Stefano"},{"family":"Setyawan","given":"Wahyu"},{"family":"Hart","given":"Gus L.W."},{"family":"Jahnatek","given":"Michal"},{"family":"Chepulskii","given":"Roman V."},{"family":"Taylor","given":"Richard H."},{"family":"Wang","given":"Shidong"},{"family":"Xue","given":"Junkai"},{"family":"Yang","given":"Kesong"},{"family":"Levy","given":"Ohad"},{"family":"Mehl","given":"Michael J."},{"family":"Stokes","given":"Harold T."},{"family":"Demchenko","given":"Denis O."},{"family":"Morgan","given":"Dane"}],"issued":{"date-parts":[["2012",6,1]]}},"label":"page"}],"schema":"https://github.com/citation-style-language/schema/raw/master/csl-citation.json"}</w:instrText>
      </w:r>
      <w:r>
        <w:fldChar w:fldCharType="separate"/>
      </w:r>
      <w:bookmarkStart w:id="2" w:name="__Fieldmark__103_468041894"/>
      <w:r>
        <w:rPr>
          <w:rFonts w:ascii="Times New Roman" w:hAnsi="Times New Roman" w:cs="Times New Roman"/>
          <w:vertAlign w:val="superscript"/>
        </w:rPr>
        <w:t>7–11</w:t>
      </w:r>
      <w:r>
        <w:fldChar w:fldCharType="end"/>
      </w:r>
      <w:bookmarkEnd w:id="2"/>
      <w:r>
        <w:rPr>
          <w:rFonts w:ascii="Times New Roman" w:hAnsi="Times New Roman" w:cs="Times New Roman"/>
        </w:rPr>
        <w:t xml:space="preserve"> In principle, once these models are trained on this immense set of quantum chemical data, the determination of properties for new materials can be made in orders-of-magnitude less time using the trained models, rather than computationally expensive DFT calculations.</w:t>
      </w:r>
      <w:r>
        <w:t xml:space="preserve"> </w:t>
      </w:r>
    </w:p>
    <w:p w14:paraId="21F6567C" w14:textId="1D3E8C20" w:rsidR="00C96117" w:rsidRPr="00277FB4" w:rsidRDefault="003A59B5" w:rsidP="00277FB4">
      <w:pPr>
        <w:pStyle w:val="Standard"/>
        <w:spacing w:line="360" w:lineRule="auto"/>
        <w:ind w:firstLine="720"/>
        <w:jc w:val="both"/>
      </w:pPr>
      <w:r>
        <w:rPr>
          <w:rFonts w:ascii="Times New Roman" w:hAnsi="Times New Roman" w:cs="Times New Roman"/>
        </w:rPr>
        <w:t>Of particular interest is the use of machine learning to discover new materials.</w:t>
      </w:r>
      <w:r w:rsidR="00277FB4">
        <w:rPr>
          <w:rFonts w:ascii="Times New Roman" w:hAnsi="Times New Roman" w:cs="Times New Roman"/>
        </w:rPr>
        <w:t xml:space="preserve"> </w:t>
      </w:r>
      <w:r>
        <w:rPr>
          <w:rFonts w:ascii="Times New Roman" w:hAnsi="Times New Roman" w:cs="Times New Roman"/>
        </w:rPr>
        <w:t>The combinatorics of materials discovery make for an immensely challenging problem – if we consider the possible combinations of just four elements (</w:t>
      </w:r>
      <w:r>
        <w:rPr>
          <w:rFonts w:ascii="Times New Roman" w:hAnsi="Times New Roman" w:cs="Times New Roman"/>
          <w:i/>
          <w:iCs/>
        </w:rPr>
        <w:t>A</w:t>
      </w:r>
      <w:r>
        <w:rPr>
          <w:rFonts w:ascii="Times New Roman" w:hAnsi="Times New Roman" w:cs="Times New Roman"/>
        </w:rPr>
        <w:t xml:space="preserve">, </w:t>
      </w:r>
      <w:r>
        <w:rPr>
          <w:rFonts w:ascii="Times New Roman" w:hAnsi="Times New Roman" w:cs="Times New Roman"/>
          <w:i/>
          <w:iCs/>
        </w:rPr>
        <w:t>B</w:t>
      </w:r>
      <w:r>
        <w:rPr>
          <w:rFonts w:ascii="Times New Roman" w:hAnsi="Times New Roman" w:cs="Times New Roman"/>
        </w:rPr>
        <w:t xml:space="preserve">, </w:t>
      </w:r>
      <w:r>
        <w:rPr>
          <w:rFonts w:ascii="Times New Roman" w:hAnsi="Times New Roman" w:cs="Times New Roman"/>
          <w:i/>
          <w:iCs/>
        </w:rPr>
        <w:t>C</w:t>
      </w:r>
      <w:r>
        <w:rPr>
          <w:rFonts w:ascii="Times New Roman" w:hAnsi="Times New Roman" w:cs="Times New Roman"/>
        </w:rPr>
        <w:t xml:space="preserve">, </w:t>
      </w:r>
      <w:r>
        <w:rPr>
          <w:rFonts w:ascii="Times New Roman" w:hAnsi="Times New Roman" w:cs="Times New Roman"/>
          <w:i/>
          <w:iCs/>
        </w:rPr>
        <w:t>D</w:t>
      </w:r>
      <w:r>
        <w:rPr>
          <w:rFonts w:ascii="Times New Roman" w:hAnsi="Times New Roman" w:cs="Times New Roman"/>
        </w:rPr>
        <w:t>), from any of the ~80 elements that are technologically relevant, there are already ~1.6 million quaternary chemical spaces to consider. This is before we consider such factors as stoichiometry (</w:t>
      </w:r>
      <w:r>
        <w:rPr>
          <w:rFonts w:ascii="Times New Roman" w:hAnsi="Times New Roman" w:cs="Times New Roman"/>
          <w:i/>
          <w:iCs/>
        </w:rPr>
        <w:t>ABCD</w:t>
      </w:r>
      <w:r>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i/>
          <w:iCs/>
        </w:rPr>
        <w:t>AB</w:t>
      </w:r>
      <w:r>
        <w:rPr>
          <w:rFonts w:ascii="Times New Roman" w:hAnsi="Times New Roman" w:cs="Times New Roman"/>
          <w:vertAlign w:val="subscript"/>
        </w:rPr>
        <w:t>2</w:t>
      </w:r>
      <w:r>
        <w:rPr>
          <w:rFonts w:ascii="Times New Roman" w:hAnsi="Times New Roman" w:cs="Times New Roman"/>
          <w:i/>
          <w:iCs/>
        </w:rPr>
        <w:t>C</w:t>
      </w:r>
      <w:r>
        <w:rPr>
          <w:rFonts w:ascii="Times New Roman" w:hAnsi="Times New Roman" w:cs="Times New Roman"/>
          <w:vertAlign w:val="subscript"/>
        </w:rPr>
        <w:t>3</w:t>
      </w:r>
      <w:r>
        <w:rPr>
          <w:rFonts w:ascii="Times New Roman" w:hAnsi="Times New Roman" w:cs="Times New Roman"/>
          <w:i/>
          <w:iCs/>
        </w:rPr>
        <w:t>D</w:t>
      </w:r>
      <w:r>
        <w:rPr>
          <w:rFonts w:ascii="Times New Roman" w:hAnsi="Times New Roman" w:cs="Times New Roman"/>
          <w:vertAlign w:val="subscript"/>
        </w:rPr>
        <w:t>4</w:t>
      </w:r>
      <w:r>
        <w:rPr>
          <w:rFonts w:ascii="Times New Roman" w:hAnsi="Times New Roman" w:cs="Times New Roman"/>
        </w:rPr>
        <w:t>, etc.) or structure (cubic, hexagonal, layered, etc.), each of which add substantially to the combinatoric complexity.</w:t>
      </w:r>
      <w:r w:rsidR="00277FB4">
        <w:rPr>
          <w:rFonts w:ascii="Times New Roman" w:hAnsi="Times New Roman" w:cs="Times New Roman"/>
        </w:rPr>
        <w:t xml:space="preserve"> </w:t>
      </w:r>
      <w:r>
        <w:rPr>
          <w:rFonts w:ascii="Times New Roman" w:hAnsi="Times New Roman" w:cs="Times New Roman"/>
        </w:rPr>
        <w:t>The Inorganic Crystal Structure Database (ICSD) of known solid-state materials contains ~10</w:t>
      </w:r>
      <w:r>
        <w:rPr>
          <w:rFonts w:ascii="Times New Roman" w:hAnsi="Times New Roman" w:cs="Times New Roman"/>
          <w:vertAlign w:val="superscript"/>
        </w:rPr>
        <w:t>5</w:t>
      </w:r>
      <w:r>
        <w:rPr>
          <w:rFonts w:ascii="Times New Roman" w:hAnsi="Times New Roman" w:cs="Times New Roman"/>
        </w:rPr>
        <w:t xml:space="preserve"> entries,</w:t>
      </w:r>
      <w:r>
        <w:fldChar w:fldCharType="begin"/>
      </w:r>
      <w:r>
        <w:instrText>ADDIN ZOTERO_ITEM CSL_CITATION {"citationID":"tLTxt0yD","properties":{"formattedCitation":"\\super 12\\nosupersub{}","plainCitation":"12","noteIndex":0},"citationItems":[{"id":117,"uris":["http://zotero.org/users/local/UnIW1pB0/items/5VAK4FZC"],"uri":["http://zotero.org/users/local/UnIW1pB0/items/5VAK4FZC"],"itemData":{"id":117,"type":"article-journal","title":"The Inorganic Crystal Structure Database (ICSD)—Present and Future","container-title":"Crystallography Reviews","page":"17-22","volume":"10","issue":"1","DOI":"10.1080/08893110410001664882","ISSN":"0889-311X","journalAbbreviation":"Crystallography Reviews","author":[{"family":"Hellenbrandt","given":"Mariette"}],"issued":{"date-parts":[["2004",1,1]]}}}],"schema":"https://github.com/citation-style-language/schema/raw/master/csl-citation.json"}</w:instrText>
      </w:r>
      <w:r>
        <w:fldChar w:fldCharType="separate"/>
      </w:r>
      <w:bookmarkStart w:id="3" w:name="__Fieldmark__137_468041894"/>
      <w:r>
        <w:rPr>
          <w:rFonts w:ascii="Times New Roman" w:hAnsi="Times New Roman" w:cs="Times New Roman"/>
          <w:vertAlign w:val="superscript"/>
        </w:rPr>
        <w:t>12</w:t>
      </w:r>
      <w:r>
        <w:fldChar w:fldCharType="end"/>
      </w:r>
      <w:bookmarkEnd w:id="3"/>
      <w:r>
        <w:rPr>
          <w:rFonts w:ascii="Times New Roman" w:hAnsi="Times New Roman" w:cs="Times New Roman"/>
        </w:rPr>
        <w:t xml:space="preserve"> several orders of magnitude less than the 10</w:t>
      </w:r>
      <w:r>
        <w:rPr>
          <w:rFonts w:ascii="Times New Roman" w:hAnsi="Times New Roman" w:cs="Times New Roman"/>
          <w:vertAlign w:val="superscript"/>
        </w:rPr>
        <w:t xml:space="preserve">10 </w:t>
      </w:r>
      <w:r>
        <w:rPr>
          <w:rFonts w:ascii="Times New Roman" w:hAnsi="Times New Roman" w:cs="Times New Roman"/>
        </w:rPr>
        <w:t>quaternary compositions identified as plausible using electronegativity and charge-based rules</w:t>
      </w:r>
      <w:r w:rsidR="00277FB4">
        <w:rPr>
          <w:rFonts w:ascii="Times New Roman" w:hAnsi="Times New Roman" w:cs="Times New Roman"/>
        </w:rPr>
        <w:t>.</w:t>
      </w:r>
      <w:r>
        <w:fldChar w:fldCharType="begin"/>
      </w:r>
      <w:r>
        <w:instrText>ADDIN ZOTERO_ITEM CSL_CITATION {"citationID":"fWLqNJgM","properties":{"formattedCitation":"\\super 13\\nosupersub{}","plainCitation":"13","noteIndex":0},"citationItems":[{"id":235,"uris":["http://zotero.org/users/local/UnIW1pB0/items/ANWEN3AV"],"uri":["http://zotero.org/users/local/UnIW1pB0/items/ANWEN3AV"],"itemData":{"id":235,"type":"article-journal","title":"Computational Screening of All Stoichiometric Inorganic Materials","container-title":"Chem","page":"617-627","volume":"1","issue":"4","DOI":"10.1016/j.chempr.2016.09.010","ISSN":"2451-9294","author":[{"family":"Davies","given":"Daniel W."},{"family":"Butler","given":"Keith T."},{"family":"Jackson","given":"Adam J."},{"family":"Morris","given":"Andrew"},{"family":"Frost","given":"Jarvist M."},{"family":"Skelton","given":"Jonathan M."},{"family":"Walsh","given":"Aron"}],"issued":{"date-parts":[["2016",10,13]]}}}],"schema":"https://github.com/citation-style-language/schema/raw/master/csl-citation.json"}</w:instrText>
      </w:r>
      <w:r>
        <w:fldChar w:fldCharType="separate"/>
      </w:r>
      <w:bookmarkStart w:id="4" w:name="__Fieldmark__146_468041894"/>
      <w:r>
        <w:rPr>
          <w:rFonts w:ascii="Times New Roman" w:hAnsi="Times New Roman" w:cs="Times New Roman"/>
          <w:color w:val="000080"/>
          <w:vertAlign w:val="superscript"/>
        </w:rPr>
        <w:t>13</w:t>
      </w:r>
      <w:r>
        <w:fldChar w:fldCharType="end"/>
      </w:r>
      <w:bookmarkEnd w:id="4"/>
      <w:r>
        <w:rPr>
          <w:rFonts w:ascii="Times New Roman" w:hAnsi="Times New Roman" w:cs="Times New Roman"/>
        </w:rPr>
        <w:t xml:space="preserve"> This suggests that 1) there is ample opportunity for new materials discovery and 2) the problem of finding stable materials may resemble the needle-in-a-haystack problem, with many unstable compositions for each stable one. The immensity of this problem is a natural fit for high-throughput machine learning techniques.</w:t>
      </w:r>
    </w:p>
    <w:p w14:paraId="026088A0" w14:textId="0A5E0284" w:rsidR="00C96117" w:rsidRDefault="003A59B5">
      <w:pPr>
        <w:pStyle w:val="Standard"/>
        <w:spacing w:line="360" w:lineRule="auto"/>
        <w:ind w:firstLine="720"/>
        <w:jc w:val="both"/>
      </w:pPr>
      <w:r>
        <w:rPr>
          <w:rFonts w:ascii="Times New Roman" w:hAnsi="Times New Roman" w:cs="Times New Roman"/>
        </w:rPr>
        <w:t>In this work, we closely examine whether recently published machine learning models</w:t>
      </w:r>
      <w:r w:rsidR="00277FB4">
        <w:rPr>
          <w:rFonts w:ascii="Times New Roman" w:hAnsi="Times New Roman" w:cs="Times New Roman"/>
        </w:rPr>
        <w:t xml:space="preserve"> for formation energy</w:t>
      </w:r>
      <w:r>
        <w:rPr>
          <w:rFonts w:ascii="Times New Roman" w:hAnsi="Times New Roman" w:cs="Times New Roman"/>
        </w:rPr>
        <w:t xml:space="preserve"> are capable of distinguishing the relative stability of chemically similar materials and provide a roadmap for doing the same for future models. We show that while the formation energy of compounds from elements can be learned with high accuracy using a variety of machine learning approaches, these learned formation energies do not reproduce DFT-calculated stabilities. </w:t>
      </w:r>
      <w:r w:rsidR="00277FB4">
        <w:rPr>
          <w:rFonts w:ascii="Times New Roman" w:hAnsi="Times New Roman" w:cs="Times New Roman"/>
        </w:rPr>
        <w:t xml:space="preserve">While the accuracy of these models for formation energy approach the DFT error (relative to experiment), DFT predictions benefit from a systematic cancellation of error when making stability predictions while ML models do not. </w:t>
      </w:r>
      <w:r>
        <w:rPr>
          <w:rFonts w:ascii="Times New Roman" w:hAnsi="Times New Roman" w:cs="Times New Roman"/>
        </w:rPr>
        <w:t>Of particular concern is the high rate of materials predicted to be stable that are not confirmed to be stable by DFT, impeding the use of these models to efficiently discover new materials.</w:t>
      </w:r>
      <w:r w:rsidR="00277FB4">
        <w:rPr>
          <w:rFonts w:ascii="Times New Roman" w:hAnsi="Times New Roman" w:cs="Times New Roman"/>
        </w:rPr>
        <w:t xml:space="preserve"> </w:t>
      </w:r>
    </w:p>
    <w:p w14:paraId="4C6610BB" w14:textId="77777777" w:rsidR="00C96117" w:rsidRDefault="00C96117">
      <w:pPr>
        <w:pStyle w:val="Standard"/>
        <w:spacing w:line="360" w:lineRule="auto"/>
        <w:jc w:val="both"/>
        <w:rPr>
          <w:rFonts w:ascii="Times New Roman" w:hAnsi="Times New Roman" w:cs="Times New Roman"/>
        </w:rPr>
      </w:pPr>
    </w:p>
    <w:p w14:paraId="029CAF08" w14:textId="77777777" w:rsidR="00C96117" w:rsidRDefault="003A59B5">
      <w:pPr>
        <w:rPr>
          <w:rFonts w:ascii="Times New Roman" w:hAnsi="Times New Roman" w:cs="Times New Roman"/>
          <w:b/>
          <w:bCs/>
          <w:color w:val="00000A"/>
          <w:sz w:val="28"/>
          <w:szCs w:val="28"/>
        </w:rPr>
      </w:pPr>
      <w:r>
        <w:br w:type="page"/>
      </w:r>
    </w:p>
    <w:p w14:paraId="4FF368E6" w14:textId="77777777" w:rsidR="00C96117" w:rsidRDefault="003A59B5">
      <w:pPr>
        <w:pStyle w:val="Standard"/>
        <w:spacing w:line="360" w:lineRule="auto"/>
        <w:jc w:val="both"/>
      </w:pPr>
      <w:r>
        <w:rPr>
          <w:rFonts w:ascii="Times New Roman" w:hAnsi="Times New Roman" w:cs="Times New Roman"/>
          <w:b/>
          <w:bCs/>
          <w:sz w:val="28"/>
          <w:szCs w:val="28"/>
        </w:rPr>
        <w:lastRenderedPageBreak/>
        <w:t>Results and Discussion</w:t>
      </w:r>
    </w:p>
    <w:p w14:paraId="480C12BA" w14:textId="77777777" w:rsidR="00C96117" w:rsidRDefault="003A59B5">
      <w:pPr>
        <w:pStyle w:val="Standard"/>
        <w:spacing w:line="360" w:lineRule="auto"/>
        <w:jc w:val="both"/>
      </w:pPr>
      <w:r>
        <w:rPr>
          <w:rFonts w:ascii="Times New Roman" w:hAnsi="Times New Roman" w:cs="Times New Roman"/>
          <w:b/>
          <w:bCs/>
        </w:rPr>
        <w:t>The relationship between formation energy and stability</w:t>
      </w:r>
    </w:p>
    <w:p w14:paraId="12374BE1" w14:textId="094F3E38" w:rsidR="00C96117" w:rsidRDefault="003A59B5">
      <w:pPr>
        <w:pStyle w:val="Standard"/>
        <w:spacing w:line="360" w:lineRule="auto"/>
        <w:ind w:firstLine="720"/>
        <w:jc w:val="both"/>
      </w:pPr>
      <w:r>
        <w:rPr>
          <w:rFonts w:ascii="Times New Roman" w:hAnsi="Times New Roman" w:cs="Times New Roman"/>
        </w:rPr>
        <w:t xml:space="preserve">A necessary condition for a material to be </w:t>
      </w:r>
      <w:r w:rsidR="00627D81">
        <w:rPr>
          <w:rFonts w:ascii="Times New Roman" w:hAnsi="Times New Roman" w:cs="Times New Roman"/>
        </w:rPr>
        <w:t>used</w:t>
      </w:r>
      <w:r>
        <w:rPr>
          <w:rFonts w:ascii="Times New Roman" w:hAnsi="Times New Roman" w:cs="Times New Roman"/>
        </w:rPr>
        <w:t xml:space="preserve"> for any application is stability (under some conditions); otherwise, any predicted or calculated properties are purely academic, and the material will never find its way into use. The thermodynamic stability of a material is defined by its Gibbs energy of decomposition, Δ</w:t>
      </w:r>
      <w:r>
        <w:rPr>
          <w:rFonts w:ascii="Times New Roman" w:hAnsi="Times New Roman" w:cs="Times New Roman"/>
          <w:i/>
          <w:iCs/>
        </w:rPr>
        <w:t>G</w:t>
      </w:r>
      <w:r>
        <w:rPr>
          <w:rFonts w:ascii="Times New Roman" w:hAnsi="Times New Roman" w:cs="Times New Roman"/>
          <w:vertAlign w:val="subscript"/>
        </w:rPr>
        <w:t>d</w:t>
      </w:r>
      <w:r>
        <w:rPr>
          <w:rFonts w:ascii="Times New Roman" w:hAnsi="Times New Roman" w:cs="Times New Roman"/>
        </w:rPr>
        <w:t>, which is the Gibbs formation energy, Δ</w:t>
      </w:r>
      <w:r>
        <w:rPr>
          <w:rFonts w:ascii="Times New Roman" w:hAnsi="Times New Roman" w:cs="Times New Roman"/>
          <w:i/>
          <w:iCs/>
        </w:rPr>
        <w:t>G</w:t>
      </w:r>
      <w:r>
        <w:rPr>
          <w:rFonts w:ascii="Times New Roman" w:hAnsi="Times New Roman" w:cs="Times New Roman"/>
          <w:vertAlign w:val="subscript"/>
        </w:rPr>
        <w:t>f</w:t>
      </w:r>
      <w:r>
        <w:rPr>
          <w:rFonts w:ascii="Times New Roman" w:hAnsi="Times New Roman" w:cs="Times New Roman"/>
        </w:rPr>
        <w:t xml:space="preserve">, of a </w:t>
      </w:r>
      <w:r w:rsidR="00277FB4">
        <w:rPr>
          <w:rFonts w:ascii="Times New Roman" w:hAnsi="Times New Roman" w:cs="Times New Roman"/>
        </w:rPr>
        <w:t>specified</w:t>
      </w:r>
      <w:r>
        <w:rPr>
          <w:rFonts w:ascii="Times New Roman" w:hAnsi="Times New Roman" w:cs="Times New Roman"/>
        </w:rPr>
        <w:t xml:space="preserve"> material relative to all other compounds in the relevant chemical space. Temperature-dependent thermodynamics are not yet tractable with high-throughput DFT and have only sparsely been addressed with ML,</w:t>
      </w:r>
      <w:r>
        <w:fldChar w:fldCharType="begin"/>
      </w:r>
      <w:r>
        <w:instrText>ADDIN ZOTERO_ITEM CSL_CITATION {"citationID":"sUfniAk9","properties":{"formattedCitation":"\\super 14\\nosupersub{}","plainCitation":"14","noteIndex":0},"citationItems":[{"id":6,"uris":["http://zotero.org/users/local/UnIW1pB0/items/CJMT5SGR"],"uri":["http://zotero.org/users/local/UnIW1pB0/items/CJMT5SGR"],"itemData":{"id":6,"type":"article-journal","title":"Physical descriptor for the Gibbs energy of inorganic crystalline solids and temperature-dependent materials chemistry","container-title":"Nature communications","page":"4168","volume":"9","issue":"1","source":"Google Scholar","author":[{"family":"Bartel","given":"Christopher J."},{"family":"Millican","given":"Samantha L."},{"family":"Deml","given":"Ann M."},{"family":"Rumptz","given":"John R."},{"family":"Tumas","given":"William"},{"family":"Weimer","given":"Alan W."},{"family":"Lany","given":"Stephan"},{"family":"Stevanović","given":"Vladan"},{"family":"Musgrave","given":"Charles B."},{"family":"Holder","given":"Aaron M."}],"issued":{"date-parts":[["2018"]]}}}],"schema":"https://github.com/citation-style-language/schema/raw/master/csl-citation.json"}</w:instrText>
      </w:r>
      <w:r>
        <w:fldChar w:fldCharType="separate"/>
      </w:r>
      <w:bookmarkStart w:id="5" w:name="__Fieldmark__170_468041894"/>
      <w:r>
        <w:rPr>
          <w:rFonts w:ascii="Times New Roman" w:hAnsi="Times New Roman" w:cs="Times New Roman"/>
          <w:color w:val="000080"/>
          <w:vertAlign w:val="superscript"/>
        </w:rPr>
        <w:t>14</w:t>
      </w:r>
      <w:r>
        <w:fldChar w:fldCharType="end"/>
      </w:r>
      <w:bookmarkEnd w:id="5"/>
      <w:r>
        <w:rPr>
          <w:rFonts w:ascii="Times New Roman" w:hAnsi="Times New Roman" w:cs="Times New Roman"/>
        </w:rPr>
        <w:t xml:space="preserve"> so material stability is primarily assessed instead using the decomposition enthalpy,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w:t>
      </w:r>
      <w:r>
        <w:fldChar w:fldCharType="begin"/>
      </w:r>
      <w:r>
        <w:instrText>ADDIN ZOTERO_ITEM CSL_CITATION {"citationID":"IJT2azSb","properties":{"formattedCitation":"\\super 15\\uc0\\u8211{}18\\nosupersub{}","plainCitation":"15–18","noteIndex":0},"citationItems":[{"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M."}],"issued":{"date-parts":[["2019"]]}},"label":"page"},{"id":102,"uris":["http://zotero.org/users/local/UnIW1pB0/items/KRIXRMPF"],"uri":["http://zotero.org/users/local/UnIW1pB0/items/KRIXRMPF"],"itemData":{"id":102,"type":"article-journal","title":"Accuracy of density functional theory in predicting formation energies of ternary oxides from binary oxides and its implication on phase stability","container-title":"Physical Review B","page":"155208","volume":"85","issue":"15","DOI":"10.1103/PhysRevB.85.155208","journalAbbreviation":"Phys. Rev. B","author":[{"family":"Hautier","given":"Geoffroy"},{"family":"Ong","given":"Shyue Ping"},{"family":"Jain","given":"Anubhav"},{"family":"Moore","given":"Charles J."},{"family":"Ceder","given":"Gerbrand"}],"issued":{"date-parts":[["2012",4,30]]}},"label":"page"},{"id":103,"uris":["http://zotero.org/users/local/UnIW1pB0/items/FGPWVW2W"],"uri":["http://zotero.org/users/local/UnIW1pB0/items/FGPWVW2W"],"itemData":{"id":103,"type":"article-journal","title":"Li−Fe−P−O2 Phase Diagram from First Principles Calculations","container-title":"Chemistry of Materials","page":"1798-1807","volume":"20","issue":"5","DOI":"10.1021/cm702327g","ISSN":"0897-4756","journalAbbreviation":"Chem. Mater.","author":[{"family":"Ong","given":"Shyue Ping"},{"family":"Wang","given":"Lei"},{"family":"Kang","given":"Byoungwoo"},{"family":"Ceder","given":"Gerbrand"}],"issued":{"date-parts":[["2008",3,11]]}},"label":"page"},{"id":58,"uris":["http://zotero.org/users/local/UnIW1pB0/items/FZED9ITL"],"uri":["http://zotero.org/users/local/UnIW1pB0/items/FZED9ITL"],"itemData":{"id":58,"type":"article-journal","title":"Inverse design in search of materials with target functionalities","container-title":"Nature Reviews Chemistry","page":"0121","volume":"2","issue":"4","abstract":"Solid-state chemists have been consistently successful in envisioning and making new compounds, often enlisting the tools of theoretical solid-state physics to explain some of the observed properties of the new materials. Here, a new style of collaboration between theory and experiment is discussed, whereby the desired functionality of the new material is declared first and theoretical calculations are then used to predict which stable and synthesizable compounds exhibit the required functionality. Subsequent iterative feedback cycles of prediction–synthesis–characterization result in improved predictions and promise not only to accelerate the discovery of new materials but also to enable the targeted design of materials with desired functionalities via such inverse design.","DOI":"10.1038/s41570-018-0121","ISSN":"2397-3358","journalAbbreviation":"Nature Reviews Chemistry","author":[{"family":"Zunger","given":"Alex"}],"issued":{"date-parts":[["2018",3,29]]}},"label":"page"}],"schema":"https://github.com/citation-style-language/schema/raw/master/csl-citation.json"}</w:instrText>
      </w:r>
      <w:r>
        <w:fldChar w:fldCharType="separate"/>
      </w:r>
      <w:bookmarkStart w:id="6" w:name="__Fieldmark__180_468041894"/>
      <w:r>
        <w:rPr>
          <w:rFonts w:ascii="Times New Roman" w:hAnsi="Times New Roman" w:cs="Times New Roman"/>
          <w:color w:val="000080"/>
          <w:vertAlign w:val="superscript"/>
        </w:rPr>
        <w:t>15–18</w:t>
      </w:r>
      <w:bookmarkEnd w:id="6"/>
      <w:r>
        <w:fldChar w:fldCharType="end"/>
      </w:r>
    </w:p>
    <w:p w14:paraId="6E66B633" w14:textId="40129EDE" w:rsidR="00C96117" w:rsidRDefault="003A59B5">
      <w:pPr>
        <w:pStyle w:val="Standard"/>
        <w:spacing w:line="360" w:lineRule="auto"/>
        <w:ind w:firstLine="720"/>
        <w:jc w:val="both"/>
        <w:rPr>
          <w:rFonts w:ascii="Times New Roman" w:hAnsi="Times New Roman" w:cs="Times New Roman"/>
        </w:rPr>
      </w:pP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obtained by a convex hull construction in formation enthalpy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)-composition space. </w:t>
      </w:r>
      <w:r>
        <w:rPr>
          <w:rFonts w:ascii="Times New Roman" w:hAnsi="Times New Roman" w:cs="Times New Roman"/>
          <w:b/>
          <w:bCs/>
        </w:rPr>
        <w:t xml:space="preserve">Figure 1a </w:t>
      </w:r>
      <w:r>
        <w:rPr>
          <w:rFonts w:ascii="Times New Roman" w:hAnsi="Times New Roman" w:cs="Times New Roman"/>
        </w:rPr>
        <w:t xml:space="preserve">shows this construction for a chemical space, </w:t>
      </w:r>
      <w:r>
        <w:rPr>
          <w:rFonts w:ascii="Times New Roman" w:hAnsi="Times New Roman" w:cs="Times New Roman"/>
          <w:i/>
          <w:iCs/>
        </w:rPr>
        <w:t>A</w:t>
      </w:r>
      <w:r>
        <w:rPr>
          <w:rFonts w:ascii="Times New Roman" w:hAnsi="Times New Roman" w:cs="Times New Roman"/>
        </w:rPr>
        <w:t>-</w:t>
      </w:r>
      <w:r>
        <w:rPr>
          <w:rFonts w:ascii="Times New Roman" w:hAnsi="Times New Roman" w:cs="Times New Roman"/>
          <w:i/>
          <w:iCs/>
        </w:rPr>
        <w:t>B</w:t>
      </w:r>
      <w:r>
        <w:rPr>
          <w:rFonts w:ascii="Times New Roman" w:hAnsi="Times New Roman" w:cs="Times New Roman"/>
        </w:rPr>
        <w:t xml:space="preserve">, having three known compounds – </w:t>
      </w:r>
      <w:r>
        <w:rPr>
          <w:rFonts w:ascii="Times New Roman" w:hAnsi="Times New Roman" w:cs="Times New Roman"/>
          <w:i/>
          <w:iCs/>
        </w:rPr>
        <w:t>A</w:t>
      </w:r>
      <w:r>
        <w:rPr>
          <w:rFonts w:ascii="Times New Roman" w:hAnsi="Times New Roman" w:cs="Times New Roman"/>
          <w:vertAlign w:val="subscript"/>
        </w:rPr>
        <w:t>4</w:t>
      </w:r>
      <w:r>
        <w:rPr>
          <w:rFonts w:ascii="Times New Roman" w:hAnsi="Times New Roman" w:cs="Times New Roman"/>
          <w:i/>
          <w:iCs/>
        </w:rPr>
        <w:t>B</w:t>
      </w:r>
      <w:r>
        <w:rPr>
          <w:rFonts w:ascii="Times New Roman" w:hAnsi="Times New Roman" w:cs="Times New Roman"/>
        </w:rPr>
        <w:t xml:space="preserve">, </w:t>
      </w:r>
      <w:r>
        <w:rPr>
          <w:rFonts w:ascii="Times New Roman" w:hAnsi="Times New Roman" w:cs="Times New Roman"/>
          <w:i/>
          <w:iCs/>
        </w:rPr>
        <w:t>A</w:t>
      </w:r>
      <w:r>
        <w:rPr>
          <w:rFonts w:ascii="Times New Roman" w:hAnsi="Times New Roman" w:cs="Times New Roman"/>
          <w:vertAlign w:val="subscript"/>
        </w:rPr>
        <w:t>2</w:t>
      </w:r>
      <w:r>
        <w:rPr>
          <w:rFonts w:ascii="Times New Roman" w:hAnsi="Times New Roman" w:cs="Times New Roman"/>
          <w:i/>
          <w:iCs/>
        </w:rPr>
        <w:t>B</w:t>
      </w:r>
      <w:r>
        <w:rPr>
          <w:rFonts w:ascii="Times New Roman" w:hAnsi="Times New Roman" w:cs="Times New Roman"/>
        </w:rPr>
        <w:t xml:space="preserve">, and </w:t>
      </w:r>
      <w:r>
        <w:rPr>
          <w:rFonts w:ascii="Times New Roman" w:hAnsi="Times New Roman" w:cs="Times New Roman"/>
          <w:i/>
          <w:iCs/>
        </w:rPr>
        <w:t>AB</w:t>
      </w:r>
      <w:r>
        <w:rPr>
          <w:rFonts w:ascii="Times New Roman" w:hAnsi="Times New Roman" w:cs="Times New Roman"/>
          <w:vertAlign w:val="subscript"/>
        </w:rPr>
        <w:t>3</w:t>
      </w:r>
      <w:r>
        <w:rPr>
          <w:rFonts w:ascii="Times New Roman" w:hAnsi="Times New Roman" w:cs="Times New Roman"/>
        </w:rPr>
        <w:t xml:space="preserve">. The convex hull of largest area is drawn from all possible points in the composition space (blue line), where stable compositions lie on the convex hull, and unstable compositions lie above the hull. </w:t>
      </w:r>
      <w:r>
        <w:rPr>
          <w:rFonts w:ascii="Times New Roman" w:hAnsi="Times New Roman" w:cs="Times New Roman"/>
          <w:i/>
          <w:iCs/>
        </w:rPr>
        <w:t>A</w:t>
      </w:r>
      <w:r>
        <w:rPr>
          <w:rFonts w:ascii="Times New Roman" w:hAnsi="Times New Roman" w:cs="Times New Roman"/>
          <w:vertAlign w:val="subscript"/>
        </w:rPr>
        <w:t>4</w:t>
      </w:r>
      <w:r>
        <w:rPr>
          <w:rFonts w:ascii="Times New Roman" w:hAnsi="Times New Roman" w:cs="Times New Roman"/>
          <w:i/>
          <w:iCs/>
        </w:rPr>
        <w:t>B</w:t>
      </w:r>
      <w:r>
        <w:rPr>
          <w:rFonts w:ascii="Times New Roman" w:hAnsi="Times New Roman" w:cs="Times New Roman"/>
        </w:rPr>
        <w:t xml:space="preserve"> is unstable (above the hull), so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&gt; 0 and is calculated as the distance in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between </w:t>
      </w:r>
      <w:r>
        <w:rPr>
          <w:rFonts w:ascii="Times New Roman" w:hAnsi="Times New Roman" w:cs="Times New Roman"/>
          <w:i/>
          <w:iCs/>
        </w:rPr>
        <w:t>A</w:t>
      </w:r>
      <w:r>
        <w:rPr>
          <w:rFonts w:ascii="Times New Roman" w:hAnsi="Times New Roman" w:cs="Times New Roman"/>
          <w:vertAlign w:val="subscript"/>
        </w:rPr>
        <w:t>4</w:t>
      </w:r>
      <w:r>
        <w:rPr>
          <w:rFonts w:ascii="Times New Roman" w:hAnsi="Times New Roman" w:cs="Times New Roman"/>
          <w:i/>
          <w:iCs/>
        </w:rPr>
        <w:t>B</w:t>
      </w:r>
      <w:r>
        <w:rPr>
          <w:rFonts w:ascii="Times New Roman" w:hAnsi="Times New Roman" w:cs="Times New Roman"/>
        </w:rPr>
        <w:t xml:space="preserve"> and the convex hull of stable points. </w:t>
      </w:r>
      <w:r>
        <w:rPr>
          <w:rFonts w:ascii="Times New Roman" w:hAnsi="Times New Roman" w:cs="Times New Roman"/>
          <w:i/>
          <w:iCs/>
        </w:rPr>
        <w:t>AB</w:t>
      </w:r>
      <w:r>
        <w:rPr>
          <w:rFonts w:ascii="Times New Roman" w:hAnsi="Times New Roman" w:cs="Times New Roman"/>
          <w:vertAlign w:val="subscript"/>
        </w:rPr>
        <w:t>3</w:t>
      </w:r>
      <w:r>
        <w:rPr>
          <w:rFonts w:ascii="Times New Roman" w:hAnsi="Times New Roman" w:cs="Times New Roman"/>
        </w:rPr>
        <w:t xml:space="preserve"> is stable (on the hull)</w:t>
      </w:r>
      <w:r w:rsidR="00277FB4">
        <w:rPr>
          <w:rFonts w:ascii="Times New Roman" w:hAnsi="Times New Roman" w:cs="Times New Roman"/>
        </w:rPr>
        <w:t>,</w:t>
      </w:r>
      <w:r>
        <w:rPr>
          <w:rFonts w:ascii="Times New Roman" w:hAnsi="Times New Roman" w:cs="Times New Roman"/>
        </w:rPr>
        <w:t xml:space="preserve"> so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&lt; 0 and is calculated as the distance in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between </w:t>
      </w:r>
      <w:r>
        <w:rPr>
          <w:rFonts w:ascii="Times New Roman" w:hAnsi="Times New Roman" w:cs="Times New Roman"/>
          <w:i/>
          <w:iCs/>
        </w:rPr>
        <w:t>AB</w:t>
      </w:r>
      <w:r>
        <w:rPr>
          <w:rFonts w:ascii="Times New Roman" w:hAnsi="Times New Roman" w:cs="Times New Roman"/>
          <w:vertAlign w:val="subscript"/>
        </w:rPr>
        <w:t>3</w:t>
      </w:r>
      <w:r>
        <w:rPr>
          <w:rFonts w:ascii="Times New Roman" w:hAnsi="Times New Roman" w:cs="Times New Roman"/>
        </w:rPr>
        <w:t xml:space="preserve"> and a hypothetical convex hull constructed without </w:t>
      </w:r>
      <w:r>
        <w:rPr>
          <w:rFonts w:ascii="Times New Roman" w:hAnsi="Times New Roman" w:cs="Times New Roman"/>
          <w:i/>
          <w:iCs/>
        </w:rPr>
        <w:t>AB</w:t>
      </w:r>
      <w:r>
        <w:rPr>
          <w:rFonts w:ascii="Times New Roman" w:hAnsi="Times New Roman" w:cs="Times New Roman"/>
          <w:vertAlign w:val="subscript"/>
        </w:rPr>
        <w:t>3</w:t>
      </w:r>
      <w:r>
        <w:rPr>
          <w:rFonts w:ascii="Times New Roman" w:hAnsi="Times New Roman" w:cs="Times New Roman"/>
          <w:vertAlign w:val="superscript"/>
        </w:rPr>
        <w:t xml:space="preserve"> </w:t>
      </w:r>
      <w:r>
        <w:rPr>
          <w:rFonts w:ascii="Times New Roman" w:hAnsi="Times New Roman" w:cs="Times New Roman"/>
        </w:rPr>
        <w:t>(dashed line).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is therefore the minimum that 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must decrease for an unstable compound to become stable or the maximum amount that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can increase for a stable compound to remain stable. This approach generalizes for chemical spaces comprised of any number of elements.</w:t>
      </w:r>
    </w:p>
    <w:p w14:paraId="7568BCF5" w14:textId="0D68FBB4" w:rsidR="00C96117" w:rsidRDefault="003A59B5">
      <w:pPr>
        <w:pStyle w:val="Standard"/>
        <w:spacing w:line="360" w:lineRule="auto"/>
        <w:ind w:firstLine="720"/>
        <w:jc w:val="both"/>
      </w:pPr>
      <w:r>
        <w:rPr>
          <w:rFonts w:ascii="Times New Roman" w:hAnsi="Times New Roman" w:cs="Times New Roman"/>
        </w:rPr>
        <w:t>The thermodynamic driving force for (in)stability with respect to competing compounds is quantified by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which arises from the relative</w:t>
      </w:r>
      <w:r>
        <w:rPr>
          <w:rFonts w:ascii="Times New Roman" w:hAnsi="Times New Roman" w:cs="Times New Roman"/>
          <w:i/>
          <w:iCs/>
        </w:rPr>
        <w:t xml:space="preserve">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all compounds within a chemical space. Despite this, the standard thermodynamic property that is predicted by ML models is the absolute</w:t>
      </w:r>
      <w:r>
        <w:rPr>
          <w:rFonts w:ascii="Times New Roman" w:hAnsi="Times New Roman" w:cs="Times New Roman"/>
          <w:i/>
          <w:iCs/>
        </w:rPr>
        <w:t xml:space="preserve"> </w:t>
      </w:r>
      <w:bookmarkStart w:id="7" w:name="__Fieldmark__336_207174121"/>
      <w:bookmarkEnd w:id="7"/>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w:t>
      </w:r>
      <w:r>
        <w:fldChar w:fldCharType="begin"/>
      </w:r>
      <w:r>
        <w:instrText>ADDIN ZOTERO_ITEM CSL_CITATION {"citationID":"xCjOB5ub","properties":{"formattedCitation":"\\super 19\\uc0\\u8211{}27\\nosupersub{}","plainCitation":"19–27","noteIndex":0},"citationItems":[{"id":206,"uris":["http://zotero.org/users/local/UnIW1pB0/items/GYTP6UM4"],"uri":["http://zotero.org/users/local/UnIW1pB0/items/GYTP6UM4"],"itemData":{"id":206,"type":"article-journal","title":"Combinatorial screening for new materials in unconstrained composition space with machine learning","container-title":"Physical Review B","page":"094104","volume":"89","issue":"9","DOI":"10.1103/PhysRevB.89.094104","journalAbbreviation":"Phys. Rev. B","author":[{"family":"Meredig","given":"B."},{"family":"Agrawal","given":"A."},{"family":"Kirklin","given":"S."},{"family":"Saal","given":"J. E."},{"family":"Doak","given":"J. W."},{"family":"Thompson","given":"A."},{"family":"Zhang","given":"K."},{"family":"Choudhary","given":"A."},{"family":"Wolverton","given":"C."}],"issued":{"date-parts":[["2014",3,14]]}}},{"id":207,"uris":["http://zotero.org/users/local/UnIW1pB0/items/NUSWPHNZ"],"uri":["http://zotero.org/users/local/UnIW1pB0/items/NUSWPHNZ"],"itemData":{"id":207,"type":"article-journal","title":"Predicting density functional theory total energies and enthalpies of formation of metal-nonmetal compounds by linear regression","container-title":"Physical Review B","page":"085142","volume":"93","issue":"8","DOI":"10.1103/PhysRevB.93.085142","journalAbbreviation":"Phys. Rev. B","author":[{"family":"Deml","given":"Ann M."},{"family":"O’Hayre","given":"Ryan"},{"family":"Wolverton","given":"Chris"},{"family":"Stevanović","given":"Vladan"}],"issued":{"date-parts":[["2016",2,29]]}}},{"id":208,"uris":["http://zotero.org/users/local/UnIW1pB0/items/799KRFHA"],"uri":["http://zotero.org/users/local/UnIW1pB0/items/799KRFHA"],"itemData":{"id":208,"type":"article-journal","title":"A general-purpose machine learning framework for predicting properties of inorganic materials","container-title":"npj Computational Materials","page":"16028","volume":"2","issue":"1","abstract":"A very active area of materials research is to devise methods that use machine learning to automatically extract predictive models from existing materials data. While prior examples have demonstrated successful models for some applications, many more applications exist where machine learning can make a strong impact. To enable faster development of machine-learning-based models for such applications, we have created a framework capable of being applied to a broad range of materials data. Our method works by using a chemically diverse list of attributes, which we demonstrate are suitable for describing a wide variety of properties, and a novel method for partitioning the data set into groups of similar materials to boost the predictive accuracy. In this manuscript, we demonstrate how this new method can be used to predict diverse properties of crystalline and amorphous materials, such as band gap energy and glass-forming ability.","DOI":"10.1038/npjcompumats.2016.28","ISSN":"2057-3960","journalAbbreviation":"npj Computational Materials","author":[{"family":"Ward","given":"Logan"},{"family":"Agrawal","given":"Ankit"},{"family":"Choudhary","given":"Alok"},{"family":"Wolverton","given":"Christopher"}],"issued":{"date-parts":[["2016",8,26]]}}},{"id":214,"uris":["http://zotero.org/users/local/UnIW1pB0/items/8YJJFI24"],"uri":["http://zotero.org/users/local/UnIW1pB0/items/8YJJFI24"],"itemData":{"id":214,"type":"article-journal","title":"AutoMatminer","container-title":"https://github.com/hackingmaterials/automatminer"}},{"id":213,"uris":["http://zotero.org/users/local/UnIW1pB0/items/VR37YNKF"],"uri":["http://zotero.org/users/local/UnIW1pB0/items/VR37YNKF"],"itemData":{"id":213,"type":"article-journal","title":"Predicting materials properties without crystal structure: Deep representation learning from stoichiometry","container-title":"arXiv pre-print 1910.00617","author":[{"family":"Goodall, Rhys","given":""},{"family":"Lee, Alpha","given":""}]}},{"id":138,"uris":["http://zotero.org/users/local/UnIW1pB0/items/USIIHQBS"],"uri":["http://zotero.org/users/local/UnIW1pB0/items/USIIHQBS"],"itemData":{"id":138,"type":"article-journal","title":"Machine Learning Energies of 2 Million Elpasolite ABC2D6 Crystals","container-title":"Physical Review Letters","page":"135502","volume":"117","issue":"13","DOI":"10.1103/PhysRevLett.117.135502","author":[{"family":"Faber","given":"Felix A."},{"family":"Lindmaa","given":"Alexander"},{"family":"Lilienfeld","given":"O. Anatole","non-dropping-particle":"von"},{"family":"Armiento","given":"Rickard"}],"issued":{"literal":"9"}}},{"id":229,"uris":["http://zotero.org/users/local/UnIW1pB0/items/FV7SCQLC"],"uri":["http://zotero.org/users/local/UnIW1pB0/items/FV7SCQLC"],"itemData":{"id":229,"type":"article-journal","title":"Including crystal structure attributes in machine learning models of formation energies via Voronoi tessellations","container-title":"Physical Review B","page":"024104","volume":"96","issue":"2","DOI":"10.1103/PhysRevB.96.024104","journalAbbreviation":"Phys. Rev. B","author":[{"family":"Ward","given":"Logan"},{"family":"Liu","given":"Ruoqian"},{"family":"Krishna","given":"Amar"},{"family":"Hegde","given":"Vinay I."},{"family":"Agrawal","given":"Ankit"},{"family":"Choudhary","given":"Alok"},{"family":"Wolverton","given":"Chris"}],"issued":{"date-parts":[["2017",7,14]]}}},{"id":191,"uris":["http://zotero.org/users/local/UnIW1pB0/items/EFLDVXAV"],"uri":["http://zotero.org/users/local/UnIW1pB0/items/EFLDVXAV"],"itemData":{"id":191,"type":"article-journal","title":"Crystal Graph Convolutional Neural Networks for an Accurate and Interpretable Prediction of Material Properties","container-title":"Physical Review Letters","page":"145301","volume":"120","issue":"14","DOI":"10.1103/PhysRevLett.120.145301","author":[{"family":"Xie","given":"Tian"},{"family":"Grossman","given":"Jeffrey C."}],"issued":{"literal":"June 4"}}},{"id":217,"uris":["http://zotero.org/users/local/UnIW1pB0/items/GTUR95I7"],"uri":["http://zotero.org/users/local/UnIW1pB0/items/GTUR95I7"],"itemData":{"id":217,"type":"article-journal","title":"Graph Networks as a Universal Machine Learning Framework for Molecules and Crystals","container-title":"Chemistry of Materials","page":"3564-3572","volume":"31","issue":"9","DOI":"10.1021/acs.chemmater.9b01294","ISSN":"0897-4756","journalAbbreviation":"Chem. Mater.","author":[{"family":"Chen","given":"Chi"},{"family":"Ye","given":"Weike"},{"family":"Zuo","given":"Yunxing"},{"family":"Zheng","given":"Chen"},{"family":"Ong","given":"Shyue Ping"}],"issued":{"date-parts":[["2019",5,14]]}}}],"schema":"https://github.com/citation-style-language/schema/raw/master/csl-citation.json"}</w:instrText>
      </w:r>
      <w:r>
        <w:fldChar w:fldCharType="separate"/>
      </w:r>
      <w:bookmarkStart w:id="8" w:name="__Fieldmark__278_468041894"/>
      <w:r>
        <w:rPr>
          <w:rFonts w:ascii="Times New Roman" w:hAnsi="Times New Roman" w:cs="Times New Roman"/>
          <w:color w:val="000080"/>
          <w:vertAlign w:val="superscript"/>
        </w:rPr>
        <w:t>19–27</w:t>
      </w:r>
      <w:r>
        <w:fldChar w:fldCharType="end"/>
      </w:r>
      <w:bookmarkEnd w:id="8"/>
      <w:r>
        <w:rPr>
          <w:rFonts w:ascii="Times New Roman" w:hAnsi="Times New Roman" w:cs="Times New Roman"/>
        </w:rPr>
        <w:t xml:space="preserve"> Using data available in the Materials Project (MP),</w:t>
      </w:r>
      <w:r>
        <w:fldChar w:fldCharType="begin"/>
      </w:r>
      <w:r>
        <w:instrText>ADDIN ZOTERO_ITEM CSL_CITATION {"citationID":"FtWK9mmE","properties":{"formattedCitation":"\\super 15\\nosupersub{}","plainCitation":"15","noteIndex":0},"citationItems":[{"id":11,"uris":["http://zotero.org/users/local/UnIW1pB0/items/76RV3FK8"],"uri":["http://zotero.org/users/local/UnIW1pB0/items/76RV3FK8"],"itemData":{"id":11,"type":"article-journal","title":"The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M."}],"issued":{"date-parts":[["2019"]]}}}],"schema":"https://github.com/citation-style-language/schema/raw/master/csl-citation.json"}</w:instrText>
      </w:r>
      <w:r>
        <w:fldChar w:fldCharType="separate"/>
      </w:r>
      <w:bookmarkStart w:id="9" w:name="__Fieldmark__283_468041894"/>
      <w:r>
        <w:rPr>
          <w:rFonts w:ascii="Times New Roman" w:hAnsi="Times New Roman" w:cs="Times New Roman"/>
          <w:color w:val="000080"/>
          <w:vertAlign w:val="superscript"/>
        </w:rPr>
        <w:t>15</w:t>
      </w:r>
      <w:r>
        <w:fldChar w:fldCharType="end"/>
      </w:r>
      <w:bookmarkEnd w:id="9"/>
      <w:r>
        <w:rPr>
          <w:rFonts w:ascii="Times New Roman" w:hAnsi="Times New Roman" w:cs="Times New Roman"/>
        </w:rPr>
        <w:t xml:space="preserve"> we applied the convex hull construction to obtain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for 85,014 inorganic crystalline solids (the majority of which are in the ICSD) and compare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to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in </w:t>
      </w:r>
      <w:r>
        <w:rPr>
          <w:rFonts w:ascii="Times New Roman" w:hAnsi="Times New Roman" w:cs="Times New Roman"/>
          <w:b/>
          <w:bCs/>
        </w:rPr>
        <w:t>Figure 1b</w:t>
      </w:r>
      <w:r>
        <w:rPr>
          <w:rFonts w:ascii="Times New Roman" w:hAnsi="Times New Roman" w:cs="Times New Roman"/>
        </w:rPr>
        <w:t>. It is clear that effectively no linear correlation exists between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and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except for the trivial case where only a single compound exists in a chemical space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which is true for only ~3% of materials in MP and is likely indicative of incomplete phase diagrams in the database. While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somewhat uniformly spans a wide range of energies (mean ± average absolute deviation = -1.42 ± 0.95 eV/atom),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span</w:t>
      </w:r>
      <w:r w:rsidR="00122122">
        <w:rPr>
          <w:rFonts w:ascii="Times New Roman" w:hAnsi="Times New Roman" w:cs="Times New Roman"/>
        </w:rPr>
        <w:t>s</w:t>
      </w:r>
      <w:r>
        <w:rPr>
          <w:rFonts w:ascii="Times New Roman" w:hAnsi="Times New Roman" w:cs="Times New Roman"/>
        </w:rPr>
        <w:t xml:space="preserve"> a much smaller </w:t>
      </w:r>
      <w:r>
        <w:rPr>
          <w:rFonts w:ascii="Times New Roman" w:hAnsi="Times New Roman" w:cs="Times New Roman"/>
        </w:rPr>
        <w:lastRenderedPageBreak/>
        <w:t>energy window (0.06 ± 0.12 eV/atom), suggesting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a more sensitive or subtle quantity to predict (a histogram of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and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provided in </w:t>
      </w:r>
      <w:r>
        <w:rPr>
          <w:rFonts w:ascii="Times New Roman" w:hAnsi="Times New Roman" w:cs="Times New Roman"/>
          <w:b/>
          <w:bCs/>
        </w:rPr>
        <w:t>Figure S1</w:t>
      </w:r>
      <w:r>
        <w:rPr>
          <w:rFonts w:ascii="Times New Roman" w:hAnsi="Times New Roman" w:cs="Times New Roman"/>
        </w:rPr>
        <w:t>). Still, while no linear correlation exists between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and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and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occurs over a much smaller energy range, it is possible for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models to predict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as long as the relative</w:t>
      </w:r>
      <w:r>
        <w:rPr>
          <w:rFonts w:ascii="Times New Roman" w:hAnsi="Times New Roman" w:cs="Times New Roman"/>
          <w:i/>
          <w:iCs/>
        </w:rPr>
        <w:t xml:space="preserve"> </w:t>
      </w:r>
      <w:r>
        <w:rPr>
          <w:rFonts w:ascii="Times New Roman" w:hAnsi="Times New Roman" w:cs="Times New Roman"/>
        </w:rPr>
        <w:t>differences in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within a given chemical space are predicted with accuracy comparable to the range of variation in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w:t>
      </w:r>
    </w:p>
    <w:p w14:paraId="4E25FBB6" w14:textId="77777777" w:rsidR="00C96117" w:rsidRDefault="003A59B5">
      <w:pPr>
        <w:pStyle w:val="Standard"/>
        <w:spacing w:line="360" w:lineRule="auto"/>
        <w:jc w:val="center"/>
        <w:rPr>
          <w:lang w:eastAsia="zh-CN"/>
        </w:rPr>
      </w:pPr>
      <w:r>
        <w:rPr>
          <w:noProof/>
        </w:rPr>
        <w:drawing>
          <wp:inline distT="0" distB="6350" distL="0" distR="0" wp14:anchorId="06F411FB" wp14:editId="2758C23D">
            <wp:extent cx="4122831" cy="1673352"/>
            <wp:effectExtent l="0" t="0" r="5080" b="317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122831" cy="1673352"/>
                    </a:xfrm>
                    <a:prstGeom prst="rect">
                      <a:avLst/>
                    </a:prstGeom>
                  </pic:spPr>
                </pic:pic>
              </a:graphicData>
            </a:graphic>
          </wp:inline>
        </w:drawing>
      </w:r>
    </w:p>
    <w:p w14:paraId="223666EF" w14:textId="77777777" w:rsidR="00C96117" w:rsidRDefault="003A59B5">
      <w:pPr>
        <w:pStyle w:val="Standard"/>
        <w:jc w:val="both"/>
      </w:pPr>
      <w:r>
        <w:rPr>
          <w:rFonts w:ascii="Times New Roman" w:hAnsi="Times New Roman" w:cs="Times New Roman"/>
          <w:b/>
          <w:bCs/>
          <w:sz w:val="22"/>
          <w:szCs w:val="22"/>
        </w:rPr>
        <w:t xml:space="preserve">Figure 1. a) </w:t>
      </w:r>
      <w:r>
        <w:rPr>
          <w:rFonts w:ascii="Times New Roman" w:hAnsi="Times New Roman" w:cs="Times New Roman"/>
          <w:sz w:val="22"/>
          <w:szCs w:val="22"/>
        </w:rPr>
        <w:t>Illustration of the convex hull construction to obtain the decomposition enthalpy,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from the formation enthalpy,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 xml:space="preserve">. </w:t>
      </w:r>
      <w:r>
        <w:rPr>
          <w:rFonts w:ascii="Times New Roman" w:hAnsi="Times New Roman" w:cs="Times New Roman"/>
          <w:b/>
          <w:bCs/>
          <w:sz w:val="22"/>
          <w:szCs w:val="22"/>
        </w:rPr>
        <w:t xml:space="preserve">b) </w:t>
      </w:r>
      <w:r>
        <w:rPr>
          <w:rFonts w:ascii="Times New Roman" w:hAnsi="Times New Roman" w:cs="Times New Roman"/>
          <w:sz w:val="22"/>
          <w:szCs w:val="22"/>
        </w:rPr>
        <w:t>The decomposition enthalpy,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shown against the formation enthalpy,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 for 85,014 ground-state entries in Materials Project, indicating effectively no correlation between the two quantities.</w:t>
      </w:r>
    </w:p>
    <w:p w14:paraId="1C17B54B" w14:textId="77777777" w:rsidR="00C96117" w:rsidRDefault="00C96117">
      <w:pPr>
        <w:pStyle w:val="Standard"/>
        <w:spacing w:line="360" w:lineRule="auto"/>
        <w:jc w:val="both"/>
        <w:rPr>
          <w:rFonts w:ascii="Times New Roman" w:hAnsi="Times New Roman" w:cs="Times New Roman"/>
          <w:sz w:val="22"/>
          <w:szCs w:val="22"/>
        </w:rPr>
      </w:pPr>
    </w:p>
    <w:p w14:paraId="5492C940" w14:textId="77777777" w:rsidR="00C96117" w:rsidRDefault="003A59B5">
      <w:pPr>
        <w:pStyle w:val="Standard"/>
        <w:spacing w:line="360" w:lineRule="auto"/>
        <w:jc w:val="both"/>
      </w:pPr>
      <w:r>
        <w:rPr>
          <w:rFonts w:ascii="Times New Roman" w:hAnsi="Times New Roman" w:cs="Times New Roman"/>
          <w:b/>
          <w:bCs/>
        </w:rPr>
        <w:t>Learning formation energy from chemical composition</w:t>
      </w:r>
    </w:p>
    <w:p w14:paraId="1E3F6F46" w14:textId="604B7B5C" w:rsidR="00C96117" w:rsidRDefault="003A59B5">
      <w:pPr>
        <w:pStyle w:val="Standard"/>
        <w:spacing w:line="360" w:lineRule="auto"/>
        <w:jc w:val="both"/>
        <w:rPr>
          <w:rFonts w:ascii="Times New Roman" w:hAnsi="Times New Roman" w:cs="Times New Roman"/>
          <w:i/>
          <w:iCs/>
        </w:rPr>
      </w:pPr>
      <w:r>
        <w:rPr>
          <w:rFonts w:ascii="Times New Roman" w:hAnsi="Times New Roman" w:cs="Times New Roman"/>
          <w:b/>
          <w:bCs/>
        </w:rPr>
        <w:tab/>
      </w:r>
      <w:r>
        <w:rPr>
          <w:rFonts w:ascii="Times New Roman" w:hAnsi="Times New Roman" w:cs="Times New Roman"/>
        </w:rPr>
        <w:t xml:space="preserve">Machine learning material properties requires that an arbitrary material is “represented” by a set of attributes (features). This representation can be as simple as a vector corresponding with the fractional amount of each element in the compound (e.g., </w:t>
      </w:r>
      <w:r w:rsidR="00122122">
        <w:rPr>
          <w:rFonts w:ascii="Times New Roman" w:hAnsi="Times New Roman" w:cs="Times New Roman"/>
        </w:rPr>
        <w:t>Li</w:t>
      </w:r>
      <w:r>
        <w:rPr>
          <w:rFonts w:ascii="Times New Roman" w:hAnsi="Times New Roman" w:cs="Times New Roman"/>
          <w:vertAlign w:val="subscript"/>
        </w:rPr>
        <w:t>2</w:t>
      </w:r>
      <w:r>
        <w:rPr>
          <w:rFonts w:ascii="Times New Roman" w:hAnsi="Times New Roman" w:cs="Times New Roman"/>
        </w:rPr>
        <w:t>O = [</w:t>
      </w:r>
      <w:r w:rsidR="00122122">
        <w:rPr>
          <w:rFonts w:ascii="Times New Roman" w:hAnsi="Times New Roman" w:cs="Times New Roman"/>
        </w:rPr>
        <w:t>0</w:t>
      </w:r>
      <w:r>
        <w:rPr>
          <w:rFonts w:ascii="Times New Roman" w:hAnsi="Times New Roman" w:cs="Times New Roman"/>
        </w:rPr>
        <w:t xml:space="preserve">, 0, </w:t>
      </w:r>
      <w:r w:rsidR="00122122">
        <w:rPr>
          <w:rFonts w:ascii="Times New Roman" w:hAnsi="Times New Roman" w:cs="Times New Roman"/>
        </w:rPr>
        <w:t>2/3</w:t>
      </w:r>
      <w:r>
        <w:rPr>
          <w:rFonts w:ascii="Times New Roman" w:hAnsi="Times New Roman" w:cs="Times New Roman"/>
        </w:rPr>
        <w:t xml:space="preserve">, 0, 0, 0, 0, 1/3, 0, 0, …], where the length of vector is the number of elements in the periodic table) or a vector that includes substantial physical or chemical information about the material. In the search for new materials, the structure is rarely known </w:t>
      </w:r>
      <w:r>
        <w:rPr>
          <w:rFonts w:ascii="Times New Roman" w:hAnsi="Times New Roman" w:cs="Times New Roman"/>
          <w:i/>
          <w:iCs/>
        </w:rPr>
        <w:t>a priori</w:t>
      </w:r>
      <w:r>
        <w:rPr>
          <w:rFonts w:ascii="Times New Roman" w:hAnsi="Times New Roman" w:cs="Times New Roman"/>
        </w:rPr>
        <w:t xml:space="preserve">, and instead a list of compositions with unknown structure is screened for stability. In this case, the material representation is constructed only from the chemical formula without including properties such as the geometric or electronic structures. These models, which take as input the chemical formula and output thermodynamic predictions, are henceforth referred to as </w:t>
      </w:r>
      <w:r w:rsidRPr="00122122">
        <w:rPr>
          <w:rFonts w:ascii="Times New Roman" w:hAnsi="Times New Roman" w:cs="Times New Roman"/>
        </w:rPr>
        <w:t>compositional models</w:t>
      </w:r>
      <w:r>
        <w:rPr>
          <w:rFonts w:ascii="Times New Roman" w:hAnsi="Times New Roman" w:cs="Times New Roman"/>
        </w:rPr>
        <w:t xml:space="preserve"> here</w:t>
      </w:r>
      <w:r>
        <w:rPr>
          <w:rFonts w:ascii="Times New Roman" w:hAnsi="Times New Roman" w:cs="Times New Roman"/>
          <w:iCs/>
        </w:rPr>
        <w:t>.</w:t>
      </w:r>
    </w:p>
    <w:p w14:paraId="4AF89BE2" w14:textId="7534B411" w:rsidR="00C96117" w:rsidRDefault="003A59B5" w:rsidP="0029373B">
      <w:pPr>
        <w:pStyle w:val="Standard"/>
        <w:spacing w:line="360" w:lineRule="auto"/>
        <w:ind w:firstLine="720"/>
        <w:jc w:val="both"/>
      </w:pPr>
      <w:r>
        <w:rPr>
          <w:rFonts w:ascii="Times New Roman" w:hAnsi="Times New Roman" w:cs="Times New Roman"/>
        </w:rPr>
        <w:t xml:space="preserve">In this work, we assess the potential for five recently introduced compositional models – </w:t>
      </w:r>
      <w:bookmarkStart w:id="10" w:name="__Fieldmark__506_207174121"/>
      <w:bookmarkEnd w:id="10"/>
      <w:r>
        <w:rPr>
          <w:rFonts w:ascii="Times New Roman" w:hAnsi="Times New Roman" w:cs="Times New Roman"/>
        </w:rPr>
        <w:t>prb14,</w:t>
      </w:r>
      <w:r>
        <w:fldChar w:fldCharType="begin"/>
      </w:r>
      <w:r>
        <w:instrText>ADDIN ZOTERO_ITEM CSL_CITATION {"citationID":"4YPDlzhE","properties":{"formattedCitation":"\\super 19\\nosupersub{}","plainCitation":"19","noteIndex":0},"citationItems":[{"id":206,"uris":["http://zotero.org/users/local/UnIW1pB0/items/GYTP6UM4"],"uri":["http://zotero.org/users/local/UnIW1pB0/items/GYTP6UM4"],"itemData":{"id":206,"type":"article-journal","title":"Combinatorial screening for new materials in unconstrained composition space with machine learning","container-title":"Physical Review B","page":"094104","volume":"89","issue":"9","DOI":"10.1103/PhysRevB.89.094104","journalAbbreviation":"Phys. Rev. B","author":[{"family":"Meredig","given":"B."},{"family":"Agrawal","given":"A."},{"family":"Kirklin","given":"S."},{"family":"Saal","given":"J. E."},{"family":"Doak","given":"J. W."},{"family":"Thompson","given":"A."},{"family":"Zhang","given":"K."},{"family":"Choudhary","given":"A."},{"family":"Wolverton","given":"C."}],"issued":{"date-parts":[["2014",3,14]]}}}],"schema":"https://github.com/citation-style-language/schema/raw/master/csl-citation.json"}</w:instrText>
      </w:r>
      <w:r>
        <w:fldChar w:fldCharType="separate"/>
      </w:r>
      <w:bookmarkStart w:id="11" w:name="__Fieldmark__465_468041894"/>
      <w:r>
        <w:rPr>
          <w:rFonts w:ascii="Times New Roman" w:hAnsi="Times New Roman" w:cs="Times New Roman"/>
          <w:color w:val="000080"/>
          <w:vertAlign w:val="superscript"/>
        </w:rPr>
        <w:t>19</w:t>
      </w:r>
      <w:r>
        <w:fldChar w:fldCharType="end"/>
      </w:r>
      <w:bookmarkEnd w:id="11"/>
      <w:r>
        <w:rPr>
          <w:rFonts w:ascii="Times New Roman" w:hAnsi="Times New Roman" w:cs="Times New Roman"/>
        </w:rPr>
        <w:t xml:space="preserve"> prb16,</w:t>
      </w:r>
      <w:r>
        <w:fldChar w:fldCharType="begin"/>
      </w:r>
      <w:r>
        <w:instrText>ADDIN ZOTERO_ITEM CSL_CITATION {"citationID":"z0N7vUz7","properties":{"formattedCitation":"\\super 20\\nosupersub{}","plainCitation":"20","noteIndex":0},"citationItems":[{"id":207,"uris":["http://zotero.org/users/local/UnIW1pB0/items/NUSWPHNZ"],"uri":["http://zotero.org/users/local/UnIW1pB0/items/NUSWPHNZ"],"itemData":{"id":207,"type":"article-journal","title":"Predicting density functional theory total energies and enthalpies of formation of metal-nonmetal compounds by linear regression","container-title":"Physical Review B","page":"085142","volume":"93","issue":"8","DOI":"10.1103/PhysRevB.93.085142","journalAbbreviation":"Phys. Rev. B","author":[{"family":"Deml","given":"Ann M."},{"family":"O’Hayre","given":"Ryan"},{"family":"Wolverton","given":"Chris"},{"family":"Stevanović","given":"Vladan"}],"issued":{"date-parts":[["2016",2,29]]}}}],"schema":"https://github.com/citation-style-language/schema/raw/master/csl-citation.json"}</w:instrText>
      </w:r>
      <w:r>
        <w:fldChar w:fldCharType="separate"/>
      </w:r>
      <w:bookmarkStart w:id="12" w:name="__Fieldmark__470_468041894"/>
      <w:r>
        <w:rPr>
          <w:rFonts w:ascii="Times New Roman" w:hAnsi="Times New Roman" w:cs="Times New Roman"/>
          <w:color w:val="000080"/>
          <w:vertAlign w:val="superscript"/>
        </w:rPr>
        <w:t>20</w:t>
      </w:r>
      <w:r>
        <w:fldChar w:fldCharType="end"/>
      </w:r>
      <w:bookmarkEnd w:id="12"/>
      <w:r>
        <w:rPr>
          <w:rFonts w:ascii="Times New Roman" w:hAnsi="Times New Roman" w:cs="Times New Roman"/>
        </w:rPr>
        <w:t xml:space="preserve"> npj16,</w:t>
      </w:r>
      <w:r>
        <w:fldChar w:fldCharType="begin"/>
      </w:r>
      <w:r>
        <w:instrText>ADDIN ZOTERO_ITEM CSL_CITATION {"citationID":"EnR1ax1t","properties":{"formattedCitation":"\\super 21\\nosupersub{}","plainCitation":"21","noteIndex":0},"citationItems":[{"id":208,"uris":["http://zotero.org/users/local/UnIW1pB0/items/799KRFHA"],"uri":["http://zotero.org/users/local/UnIW1pB0/items/799KRFHA"],"itemData":{"id":208,"type":"article-journal","title":"A general-purpose machine learning framework for predicting properties of inorganic materials","container-title":"npj Computational Materials","page":"16028","volume":"2","issue":"1","abstract":"A very active area of materials research is to devise methods that use machine learning to automatically extract predictive models from existing materials data. While prior examples have demonstrated successful models for some applications, many more applications exist where machine learning can make a strong impact. To enable faster development of machine-learning-based models for such applications, we have created a framework capable of being applied to a broad range of materials data. Our method works by using a chemically diverse list of attributes, which we demonstrate are suitable for describing a wide variety of properties, and a novel method for partitioning the data set into groups of similar materials to boost the predictive accuracy. In this manuscript, we demonstrate how this new method can be used to predict diverse properties of crystalline and amorphous materials, such as band gap energy and glass-forming ability.","DOI":"10.1038/npjcompumats.2016.28","ISSN":"2057-3960","journalAbbreviation":"npj Computational Materials","author":[{"family":"Ward","given":"Logan"},{"family":"Agrawal","given":"Ankit"},{"family":"Choudhary","given":"Alok"},{"family":"Wolverton","given":"Christopher"}],"issued":{"date-parts":[["2016",8,26]]}}}],"schema":"https://github.com/citation-style-language/schema/raw/master/csl-citation.json"}</w:instrText>
      </w:r>
      <w:r>
        <w:fldChar w:fldCharType="separate"/>
      </w:r>
      <w:bookmarkStart w:id="13" w:name="__Fieldmark__475_468041894"/>
      <w:r>
        <w:rPr>
          <w:rFonts w:ascii="Times New Roman" w:hAnsi="Times New Roman" w:cs="Times New Roman"/>
          <w:color w:val="000080"/>
          <w:vertAlign w:val="superscript"/>
        </w:rPr>
        <w:t>21</w:t>
      </w:r>
      <w:r>
        <w:fldChar w:fldCharType="end"/>
      </w:r>
      <w:bookmarkEnd w:id="13"/>
      <w:r>
        <w:rPr>
          <w:rFonts w:ascii="Times New Roman" w:hAnsi="Times New Roman" w:cs="Times New Roman"/>
        </w:rPr>
        <w:t xml:space="preserve"> auto,</w:t>
      </w:r>
      <w:r>
        <w:fldChar w:fldCharType="begin"/>
      </w:r>
      <w:r>
        <w:instrText>ADDIN ZOTERO_ITEM CSL_CITATION {"citationID":"eIGwk5p2","properties":{"formattedCitation":"\\super 22\\nosupersub{}","plainCitation":"22","noteIndex":0},"citationItems":[{"id":214,"uris":["http://zotero.org/users/local/UnIW1pB0/items/8YJJFI24"],"uri":["http://zotero.org/users/local/UnIW1pB0/items/8YJJFI24"],"itemData":{"id":214,"type":"article-journal","title":"AutoMatminer","container-title":"https://github.com/hackingmaterials/automatminer"}}],"schema":"https://github.com/citation-style-language/schema/raw/master/csl-citation.json"}</w:instrText>
      </w:r>
      <w:r>
        <w:fldChar w:fldCharType="separate"/>
      </w:r>
      <w:bookmarkStart w:id="14" w:name="__Fieldmark__480_468041894"/>
      <w:r>
        <w:rPr>
          <w:rFonts w:ascii="Times New Roman" w:hAnsi="Times New Roman" w:cs="Times New Roman"/>
          <w:color w:val="000080"/>
          <w:vertAlign w:val="superscript"/>
        </w:rPr>
        <w:t>22</w:t>
      </w:r>
      <w:r>
        <w:fldChar w:fldCharType="end"/>
      </w:r>
      <w:bookmarkEnd w:id="14"/>
      <w:r>
        <w:rPr>
          <w:rFonts w:ascii="Times New Roman" w:hAnsi="Times New Roman" w:cs="Times New Roman"/>
        </w:rPr>
        <w:t xml:space="preserve"> and arXiv19</w:t>
      </w:r>
      <w:r>
        <w:fldChar w:fldCharType="begin"/>
      </w:r>
      <w:r>
        <w:instrText>ADDIN ZOTERO_ITEM CSL_CITATION {"citationID":"kesStBfN","properties":{"formattedCitation":"\\super 23\\nosupersub{}","plainCitation":"23","noteIndex":0},"citationItems":[{"id":213,"uris":["http://zotero.org/users/local/UnIW1pB0/items/VR37YNKF"],"uri":["http://zotero.org/users/local/UnIW1pB0/items/VR37YNKF"],"itemData":{"id":213,"type":"article-journal","title":"Predicting materials properties without crystal structure: Deep representation learning from stoichiometry","container-title":"arXiv pre-print 1910.00617","author":[{"family":"Goodall, Rhys","given":""},{"family":"Lee, Alpha","given":""}]}}],"schema":"https://github.com/citation-style-language/schema/raw/master/csl-citation.json"}</w:instrText>
      </w:r>
      <w:r>
        <w:fldChar w:fldCharType="separate"/>
      </w:r>
      <w:bookmarkStart w:id="15" w:name="__Fieldmark__485_468041894"/>
      <w:r>
        <w:rPr>
          <w:rFonts w:ascii="Times New Roman" w:hAnsi="Times New Roman" w:cs="Times New Roman"/>
          <w:color w:val="000080"/>
          <w:vertAlign w:val="superscript"/>
        </w:rPr>
        <w:t>23</w:t>
      </w:r>
      <w:r>
        <w:fldChar w:fldCharType="end"/>
      </w:r>
      <w:bookmarkEnd w:id="15"/>
      <w:r>
        <w:rPr>
          <w:rFonts w:ascii="Times New Roman" w:hAnsi="Times New Roman" w:cs="Times New Roman"/>
        </w:rPr>
        <w:t xml:space="preserve">  – to predict the stability of compounds in MP</w:t>
      </w:r>
      <w:r w:rsidR="0029373B">
        <w:rPr>
          <w:rFonts w:ascii="Times New Roman" w:hAnsi="Times New Roman" w:cs="Times New Roman"/>
        </w:rPr>
        <w:t xml:space="preserve">. </w:t>
      </w:r>
      <w:r>
        <w:rPr>
          <w:rFonts w:ascii="Times New Roman" w:hAnsi="Times New Roman" w:cs="Times New Roman"/>
        </w:rPr>
        <w:t xml:space="preserve">The models in prb14, prb16, npj16, and auto include chemical information for each element in their material representations from quantities such as atomic electronegativities, radii, and elemental group. arXiv19 differs in that no </w:t>
      </w:r>
      <w:r>
        <w:rPr>
          <w:rFonts w:ascii="Times New Roman" w:hAnsi="Times New Roman" w:cs="Times New Roman"/>
          <w:i/>
          <w:iCs/>
        </w:rPr>
        <w:t>a priori</w:t>
      </w:r>
      <w:r>
        <w:rPr>
          <w:rFonts w:ascii="Times New Roman" w:hAnsi="Times New Roman" w:cs="Times New Roman"/>
        </w:rPr>
        <w:t xml:space="preserve"> information other than the stoichiometry is </w:t>
      </w:r>
      <w:r>
        <w:rPr>
          <w:rFonts w:ascii="Times New Roman" w:hAnsi="Times New Roman" w:cs="Times New Roman"/>
        </w:rPr>
        <w:lastRenderedPageBreak/>
        <w:t>used as input; instead the representation and fit are learned simultaneously</w:t>
      </w:r>
      <w:r w:rsidR="00122122">
        <w:rPr>
          <w:rFonts w:ascii="Times New Roman" w:hAnsi="Times New Roman" w:cs="Times New Roman"/>
        </w:rPr>
        <w:t xml:space="preserve"> </w:t>
      </w:r>
      <w:r>
        <w:rPr>
          <w:rFonts w:ascii="Times New Roman" w:hAnsi="Times New Roman" w:cs="Times New Roman"/>
        </w:rPr>
        <w:t>using a graph neural network model. In addition, we include a baseline model for comparison, elfrac, where the representation is simply the stoichiometric fraction of each element in the formula. Once the representation is defined, an algorithm (e.g., a neural network) learns the relationship between that representation and the target property of interest (e.g.,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during training.</w:t>
      </w:r>
      <w:r w:rsidR="0029373B">
        <w:rPr>
          <w:rFonts w:ascii="Times New Roman" w:hAnsi="Times New Roman" w:cs="Times New Roman"/>
        </w:rPr>
        <w:t xml:space="preserve"> </w:t>
      </w:r>
      <w:r>
        <w:rPr>
          <w:rFonts w:ascii="Times New Roman" w:hAnsi="Times New Roman" w:cs="Times New Roman"/>
        </w:rPr>
        <w:t xml:space="preserve">Because compositional models necessarily make the same prediction for all structures having the same formula, all analysis in this work is performed using the </w:t>
      </w:r>
      <w:r w:rsidR="00122122">
        <w:rPr>
          <w:rFonts w:ascii="Times New Roman" w:hAnsi="Times New Roman" w:cs="Times New Roman"/>
        </w:rPr>
        <w:t>lowest energy (ground-state) structure</w:t>
      </w:r>
      <w:r>
        <w:rPr>
          <w:rFonts w:ascii="Times New Roman" w:hAnsi="Times New Roman" w:cs="Times New Roman"/>
        </w:rPr>
        <w:t xml:space="preserve"> for each MP compound. Additional details on the training of each model </w:t>
      </w:r>
      <w:r w:rsidR="00122122">
        <w:rPr>
          <w:rFonts w:ascii="Times New Roman" w:hAnsi="Times New Roman" w:cs="Times New Roman"/>
        </w:rPr>
        <w:t>is</w:t>
      </w:r>
      <w:r>
        <w:rPr>
          <w:rFonts w:ascii="Times New Roman" w:hAnsi="Times New Roman" w:cs="Times New Roman"/>
        </w:rPr>
        <w:t xml:space="preserve"> available in the </w:t>
      </w:r>
      <w:r w:rsidRPr="00D30466">
        <w:rPr>
          <w:rFonts w:ascii="Times New Roman" w:hAnsi="Times New Roman" w:cs="Times New Roman"/>
          <w:b/>
          <w:bCs/>
        </w:rPr>
        <w:t>Methods</w:t>
      </w:r>
      <w:r>
        <w:rPr>
          <w:rFonts w:ascii="Times New Roman" w:hAnsi="Times New Roman" w:cs="Times New Roman"/>
        </w:rPr>
        <w:t xml:space="preserve"> section.</w:t>
      </w:r>
    </w:p>
    <w:p w14:paraId="3E80FF9A" w14:textId="5F3C0A37" w:rsidR="00C96117" w:rsidRDefault="003A59B5">
      <w:pPr>
        <w:pStyle w:val="Standard"/>
        <w:spacing w:line="360" w:lineRule="auto"/>
        <w:ind w:firstLine="720"/>
        <w:jc w:val="both"/>
      </w:pPr>
      <w:r>
        <w:rPr>
          <w:rFonts w:ascii="Times New Roman" w:hAnsi="Times New Roman" w:cs="Times New Roman"/>
        </w:rPr>
        <w:t>Parity plots comparing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in MP (Δ</w:t>
      </w:r>
      <w:r>
        <w:rPr>
          <w:rFonts w:ascii="Times New Roman" w:hAnsi="Times New Roman" w:cs="Times New Roman"/>
          <w:i/>
          <w:iCs/>
        </w:rPr>
        <w:t>H</w:t>
      </w:r>
      <w:r>
        <w:rPr>
          <w:rFonts w:ascii="Times New Roman" w:hAnsi="Times New Roman" w:cs="Times New Roman"/>
          <w:vertAlign w:val="subscript"/>
        </w:rPr>
        <w:t>f,MP</w:t>
      </w:r>
      <w:r>
        <w:rPr>
          <w:rFonts w:ascii="Times New Roman" w:hAnsi="Times New Roman" w:cs="Times New Roman"/>
        </w:rPr>
        <w:t>) to machine-learned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(Δ</w:t>
      </w:r>
      <w:r>
        <w:rPr>
          <w:rFonts w:ascii="Times New Roman" w:hAnsi="Times New Roman" w:cs="Times New Roman"/>
          <w:i/>
          <w:iCs/>
        </w:rPr>
        <w:t>H</w:t>
      </w:r>
      <w:r>
        <w:rPr>
          <w:rFonts w:ascii="Times New Roman" w:hAnsi="Times New Roman" w:cs="Times New Roman"/>
          <w:vertAlign w:val="subscript"/>
        </w:rPr>
        <w:t>f,pred</w:t>
      </w:r>
      <w:r>
        <w:rPr>
          <w:rFonts w:ascii="Times New Roman" w:hAnsi="Times New Roman" w:cs="Times New Roman"/>
        </w:rPr>
        <w:t xml:space="preserve">) for each model are shown in </w:t>
      </w:r>
      <w:r>
        <w:rPr>
          <w:rFonts w:ascii="Times New Roman" w:hAnsi="Times New Roman" w:cs="Times New Roman"/>
          <w:b/>
          <w:bCs/>
        </w:rPr>
        <w:t>Figure 2</w:t>
      </w:r>
      <w:r>
        <w:rPr>
          <w:rFonts w:ascii="Times New Roman" w:hAnsi="Times New Roman" w:cs="Times New Roman"/>
        </w:rPr>
        <w:t>. It is clear that each published representation substantially improves upon the baseline elfrac model, decreasing the mean absolute error (MAE) by 27-74%.</w:t>
      </w:r>
      <w:r w:rsidR="0029373B">
        <w:rPr>
          <w:rFonts w:ascii="Times New Roman" w:hAnsi="Times New Roman" w:cs="Times New Roman"/>
        </w:rPr>
        <w:t xml:space="preserve"> </w:t>
      </w:r>
      <w:r>
        <w:rPr>
          <w:rFonts w:ascii="Times New Roman" w:hAnsi="Times New Roman" w:cs="Times New Roman"/>
        </w:rPr>
        <w:t>This increased accuracy is attributed to the increased complexity of the representation.</w:t>
      </w:r>
      <w:r w:rsidR="0029373B">
        <w:rPr>
          <w:rFonts w:ascii="Times New Roman" w:hAnsi="Times New Roman" w:cs="Times New Roman"/>
        </w:rPr>
        <w:t xml:space="preserve"> </w:t>
      </w:r>
      <w:r>
        <w:rPr>
          <w:rFonts w:ascii="Times New Roman" w:hAnsi="Times New Roman" w:cs="Times New Roman"/>
        </w:rPr>
        <w:t>The MAE between MP and these ML models is comparable to the expected disagreement between MP and experimentally obtained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w:t>
      </w:r>
      <w:r>
        <w:fldChar w:fldCharType="begin"/>
      </w:r>
      <w:r>
        <w:instrText>ADDIN ZOTERO_ITEM CSL_CITATION {"citationID":"xOV8nLjC","properties":{"formattedCitation":"\\super 8,15,28\\uc0\\u8211{}30\\nosupersub{}","plainCitation":"8,15,28–30","noteIndex":0},"citationItems":[{"id":114,"uris":["http://zotero.org/users/local/UnIW1pB0/items/SRGHBFIT"],"uri":["http://zotero.org/users/local/UnIW1pB0/items/SRGHBFIT"],"itemData":{"id":114,"type":"article-journal","title":"The Open Quantum Materials Database (OQMD): assessing the accuracy of DFT formation energies","container-title":"npj Computational Materials","page":"15010","volume":"1","issue":"1","abstract":"The Open Quantum Materials Database (OQMD) is a high-throughput database currently consisting of nearly 300,000 density functional theory (DFT) total energy calculations of compounds from the Inorganic Crystal Structure Database (ICSD) and decorations of commonly occurring crystal structures. To maximise the impact of these data, the entire database is being made available, without restrictions, at www.oqmd.org/download. In this paper, we outline the structure and contents of the database, and then use it to evaluate the accuracy of the calculations therein by comparing DFT predictions with experimental measurements for the stability of all elemental ground-state structures and 1,670 experimental formation energies of compounds. This represents the largest comparison between DFT and experimental formation energies to date. The apparent mean absolute error between experimental measurements and our calculations is 0.096 eV/atom. In order to estimate how much error to attribute to the DFT calculations, we also examine deviation between different experimental measurements themselves where multiple sources are available, and find a surprisingly large mean absolute error of 0.082 eV/atom. Hence, we suggest that a significant fraction of the error between DFT and experimental formation energies may be attributed to experimental uncertainties. Finally, we evaluate the stability of compounds in the OQMD (including compounds obtained from the ICSD as well as hypothetical structures), which allows us to predict the existence of ~3,200 new compounds that have not been experimentally characterised and uncover trends in material discovery, based on historical data available within the ICSD.","DOI":"10.1038/npjcompumats.2015.10","ISSN":"2057-3960","journalAbbreviation":"npj Computational Materials","author":[{"family":"Kirklin","given":"Scott"},{"family":"Saal","given":"James E"},{"family":"Meredig","given":"Bryce"},{"family":"Thompson","given":"Alex"},{"family":"Doak","given":"Jeff W"},{"family":"Aykol","given":"Muratahan"},{"family":"Rühl","given":"Stephan"},{"family":"Wolverton","given":"Chris"}],"issued":{"date-parts":[["2015",12,11]]}},"label":"page"},{"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M."}],"issued":{"date-parts":[["2019"]]}},"label":"page"},{"id":123,"uris":["http://zotero.org/users/local/UnIW1pB0/items/WUWEY4IK"],"uri":["http://zotero.org/users/local/UnIW1pB0/items/WUWEY4IK"],"itemData":{"id":123,"type":"article-journal","title":"Correcting density functional theory for accurate predictions of compound enthalpies of formation: Fitted elemental-phase reference energies","container-title":"Physical Review B","page":"115104","volume":"85","issue":"11","DOI":"10.1103/PhysRevB.85.115104","journalAbbreviation":"Phys. Rev. B","author":[{"family":"Stevanović","given":"Vladan"},{"family":"Lany","given":"Stephan"},{"family":"Zhang","given":"Xiuwen"},{"family":"Zunger","given":"Alex"}],"issued":{"date-parts":[["2012",3,7]]}},"label":"page"},{"id":124,"uris":["http://zotero.org/users/local/UnIW1pB0/items/875PPL82"],"uri":["http://zotero.org/users/local/UnIW1pB0/items/875PPL82"],"itemData":{"id":124,"type":"article-journal","title":"Heats of formation of solids with error estimation: The mBEEF functional with and without fitted reference energies","container-title":"Physical Review B","page":"235201","volume":"91","issue":"23","DOI":"10.1103/PhysRevB.91.235201","journalAbbreviation":"Phys. Rev. B","author":[{"family":"Pandey","given":"Mohnish"},{"family":"Jacobsen","given":"Karsten W."}],"issued":{"date-parts":[["2015",6,3]]}},"label":"page"},{"id":125,"uris":["http://zotero.org/users/local/UnIW1pB0/items/G32GM5Y8"],"uri":["http://zotero.org/users/local/UnIW1pB0/items/G32GM5Y8"],"itemData":{"id":125,"type":"article-journal","title":"Efficient first-principles prediction of solid stability: Towards chemical accuracy","container-title":"npj Computational Materials","page":"9","volume":"4","issue":"1","abstract":"The question of material stability is of fundamental importance to any analysis of system properties in condensed matter physics and materials science. The ability to evaluate chemical stability, i.e., whether a stoichiometry will persist in some chemical environment, and structure selection, i.e. what crystal structure a stoichiometry will adopt, is critical to the prediction of materials synthesis, reactivity and properties. Here, we demonstrate that density functional theory, with the recently developed strongly constrained and appropriately normed (SCAN) functional, has advanced to a point where both facets of the stability problem can be reliably and efficiently predicted for main group compounds, while transition metal compounds are improved but remain a challenge. SCAN therefore offers a robust model for a significant portion of the periodic table, presenting an opportunity for the development of novel materials and the study of fine phase transformations even in largely unexplored systems with little to no experimental data.","DOI":"10.1038/s41524-018-0065-z","ISSN":"2057-3960","journalAbbreviation":"npj Computational Materials","author":[{"family":"Zhang","given":"Yubo"},{"family":"Kitchaev","given":"Daniil A."},{"family":"Yang","given":"Julia"},{"family":"Chen","given":"Tina"},{"family":"Dacek","given":"Stephen T."},{"family":"Sarmiento-Pérez","given":"Rafael A."},{"family":"Marques","given":"Maguel A. L."},{"family":"Peng","given":"Haowei"},{"family":"Ceder","given":"Gerbrand"},{"family":"Perdew","given":"John P."},{"family":"Sun","given":"Jianwei"}],"issued":{"date-parts":[["2018",3,9]]}},"label":"page"}],"schema":"https://github.com/citation-style-language/schema/raw/master/csl-citation.json"}</w:instrText>
      </w:r>
      <w:r>
        <w:fldChar w:fldCharType="separate"/>
      </w:r>
      <w:bookmarkStart w:id="16" w:name="__Fieldmark__565_468041894"/>
      <w:r>
        <w:rPr>
          <w:rFonts w:ascii="Times New Roman" w:hAnsi="Times New Roman" w:cs="Times New Roman"/>
          <w:color w:val="000080"/>
          <w:vertAlign w:val="superscript"/>
        </w:rPr>
        <w:t>8,15,28–30</w:t>
      </w:r>
      <w:r>
        <w:fldChar w:fldCharType="end"/>
      </w:r>
      <w:bookmarkEnd w:id="16"/>
      <w:r>
        <w:rPr>
          <w:rFonts w:ascii="Times New Roman" w:hAnsi="Times New Roman" w:cs="Times New Roman"/>
        </w:rPr>
        <w:t xml:space="preserve"> implying a substantial amount of the information required to determine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is contained in the composition (and not the structure). The success of ML models for predicting 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is not surprising considering the historical context of simple heuristics that perform relatively well at predicting the driving force for the formation of compounds from elements – e.g., the Miedema model.</w:t>
      </w:r>
      <w:r>
        <w:fldChar w:fldCharType="begin"/>
      </w:r>
      <w:r>
        <w:instrText>ADDIN ZOTERO_ITEM CSL_CITATION {"citationID":"W6Rvbx19","properties":{"formattedCitation":"\\super 31\\nosupersub{}","plainCitation":"31","noteIndex":0},"citationItems":[{"id":222,"uris":["http://zotero.org/users/local/UnIW1pB0/items/AI6TXA5D"],"uri":["http://zotero.org/users/local/UnIW1pB0/items/AI6TXA5D"],"itemData":{"id":222,"type":"article-journal","title":"Simple model for alloys","container-title":"Philips Tech. Rev., v. 33, no. 6, pp. 149-160","abstract":"A simple atomic model for alloys is presented, which althrough empirical like models based on the other rules nevertheless has a clear physical basis and can be used to predict the alloying behavior of transition metals correctly in 98% of cases. In this model there are two quantities that determine the heat of formation: a negative one associated with the difference in electronegativity that must be taken as proportional to the experimental value of the work function; and a positive one corresponding to the difference in electron density at the boundary of the atomic cells of the metals. For alloys of transition metals with polyvalent nontransition metals, there is also a third contribution to the heat of formation that is independent of which transition metal is alloyed with which particular p metal. None of this is affected by the atomic size; this is only of significance in deciding whether two metals are able to form solid solutions and not whether stable alloys exist. (auth)","URL":"https://www.osti.gov/servlets/purl/4382858","journalAbbreviation":"Philips Tech. Rev., v. 33, no. 6, pp. 149-160","language":"English","author":[{"family":"Miedema","given":"A.R."}],"issued":{"date-parts":[["1973",1,1]]}}}],"schema":"https://github.com/citation-style-language/schema/raw/master/csl-citation.json"}</w:instrText>
      </w:r>
      <w:r>
        <w:fldChar w:fldCharType="separate"/>
      </w:r>
      <w:bookmarkStart w:id="17" w:name="__Fieldmark__588_468041894"/>
      <w:r>
        <w:rPr>
          <w:rFonts w:ascii="Times New Roman" w:hAnsi="Times New Roman" w:cs="Times New Roman"/>
          <w:color w:val="000080"/>
          <w:vertAlign w:val="superscript"/>
        </w:rPr>
        <w:t>31</w:t>
      </w:r>
      <w:bookmarkEnd w:id="17"/>
      <w:r>
        <w:fldChar w:fldCharType="end"/>
      </w:r>
    </w:p>
    <w:p w14:paraId="75DA80E6" w14:textId="77777777" w:rsidR="00C96117" w:rsidRDefault="00C96117">
      <w:pPr>
        <w:pStyle w:val="Standard"/>
        <w:spacing w:line="360" w:lineRule="auto"/>
        <w:ind w:firstLine="720"/>
        <w:jc w:val="both"/>
      </w:pPr>
    </w:p>
    <w:p w14:paraId="5A8FDC1B" w14:textId="77777777" w:rsidR="00C96117" w:rsidRDefault="003A59B5">
      <w:pPr>
        <w:pStyle w:val="Standard"/>
        <w:spacing w:line="360" w:lineRule="auto"/>
        <w:jc w:val="center"/>
      </w:pPr>
      <w:r>
        <w:rPr>
          <w:noProof/>
        </w:rPr>
        <w:lastRenderedPageBreak/>
        <w:drawing>
          <wp:inline distT="0" distB="6350" distL="0" distR="0" wp14:anchorId="477EC4F5" wp14:editId="72FEC28F">
            <wp:extent cx="4114800" cy="3753324"/>
            <wp:effectExtent l="0" t="0" r="0" b="635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14800" cy="3753324"/>
                    </a:xfrm>
                    <a:prstGeom prst="rect">
                      <a:avLst/>
                    </a:prstGeom>
                  </pic:spPr>
                </pic:pic>
              </a:graphicData>
            </a:graphic>
          </wp:inline>
        </w:drawing>
      </w:r>
    </w:p>
    <w:p w14:paraId="47B48F13" w14:textId="75D218D1" w:rsidR="00D30466" w:rsidRDefault="003A59B5">
      <w:pPr>
        <w:pStyle w:val="Standard"/>
        <w:jc w:val="both"/>
        <w:rPr>
          <w:rFonts w:ascii="Times New Roman" w:hAnsi="Times New Roman" w:cs="Times New Roman"/>
          <w:sz w:val="22"/>
          <w:szCs w:val="22"/>
        </w:rPr>
      </w:pPr>
      <w:r>
        <w:rPr>
          <w:rFonts w:ascii="Times New Roman" w:hAnsi="Times New Roman" w:cs="Times New Roman"/>
          <w:b/>
          <w:bCs/>
          <w:sz w:val="22"/>
          <w:szCs w:val="22"/>
        </w:rPr>
        <w:t>Figure 2.</w:t>
      </w:r>
      <w:r>
        <w:rPr>
          <w:rFonts w:ascii="Times New Roman" w:hAnsi="Times New Roman" w:cs="Times New Roman"/>
          <w:sz w:val="22"/>
          <w:szCs w:val="22"/>
        </w:rPr>
        <w:t xml:space="preserve"> Parity plot for formation enthalpy predictions using </w:t>
      </w:r>
      <w:r>
        <w:rPr>
          <w:rFonts w:ascii="Times New Roman" w:hAnsi="Times New Roman" w:cs="Times New Roman"/>
          <w:sz w:val="22"/>
          <w:szCs w:val="22"/>
          <w:lang w:eastAsia="zh-CN"/>
        </w:rPr>
        <w:t xml:space="preserve">six </w:t>
      </w:r>
      <w:r>
        <w:rPr>
          <w:rFonts w:ascii="Times New Roman" w:hAnsi="Times New Roman" w:cs="Times New Roman"/>
          <w:sz w:val="22"/>
          <w:szCs w:val="22"/>
        </w:rPr>
        <w:t xml:space="preserve">different machine learning models that take as input the chemical formula and output the formation enthalpy. elfrac refers to a baseline model that parametrizes each formula only by the stoichiometric coefficient of each element. prb14, prb16, npj16, auto, and arXiv19 refer to the models in Refs. </w:t>
      </w:r>
      <w:r>
        <w:fldChar w:fldCharType="begin"/>
      </w:r>
      <w:r>
        <w:instrText>ADDIN ZOTERO_ITEM CSL_CITATION {"citationID":"ux2772aW","properties":{"formattedCitation":"\\super 19\\uc0\\u8211{}23\\nosupersub{}","plainCitation":"19–23","noteIndex":0},"citationItems":[{"id":207,"uris":["http://zotero.org/users/local/UnIW1pB0/items/NUSWPHNZ"],"uri":["http://zotero.org/users/local/UnIW1pB0/items/NUSWPHNZ"],"itemData":{"id":207,"type":"article-journal","title":"Predicting density functional theory total energies and enthalpies of formation of metal-nonmetal compounds by linear regression","container-title":"Physical Review B","page":"085142","volume":"93","issue":"8","DOI":"10.1103/PhysRevB.93.085142","journalAbbreviation":"Phys. Rev. B","author":[{"family":"Deml","given":"Ann M."},{"family":"O’Hayre","given":"Ryan"},{"family":"Wolverton","given":"Chris"},{"family":"Stevanović","given":"Vladan"}],"issued":{"date-parts":[["2016",2,29]]}}},{"id":206,"uris":["http://zotero.org/users/local/UnIW1pB0/items/GYTP6UM4"],"uri":["http://zotero.org/users/local/UnIW1pB0/items/GYTP6UM4"],"itemData":{"id":206,"type":"article-journal","title":"Combinatorial screening for new materials in unconstrained composition space with machine learning","container-title":"Physical Review B","page":"094104","volume":"89","issue":"9","DOI":"10.1103/PhysRevB.89.094104","journalAbbreviation":"Phys. Rev. B","author":[{"family":"Meredig","given":"B."},{"family":"Agrawal","given":"A."},{"family":"Kirklin","given":"S."},{"family":"Saal","given":"J. E."},{"family":"Doak","given":"J. W."},{"family":"Thompson","given":"A."},{"family":"Zhang","given":"K."},{"family":"Choudhary","given":"A."},{"family":"Wolverton","given":"C."}],"issued":{"date-parts":[["2014",3,14]]}}},{"id":208,"uris":["http://zotero.org/users/local/UnIW1pB0/items/799KRFHA"],"uri":["http://zotero.org/users/local/UnIW1pB0/items/799KRFHA"],"itemData":{"id":208,"type":"article-journal","title":"A general-purpose machine learning framework for predicting properties of inorganic materials","container-title":"npj Computational Materials","page":"16028","volume":"2","issue":"1","abstract":"A very active area of materials research is to devise methods that use machine learning to automatically extract predictive models from existing materials data. While prior examples have demonstrated successful models for some applications, many more applications exist where machine learning can make a strong impact. To enable faster development of machine-learning-based models for such applications, we have created a framework capable of being applied to a broad range of materials data. Our method works by using a chemically diverse list of attributes, which we demonstrate are suitable for describing a wide variety of properties, and a novel method for partitioning the data set into groups of similar materials to boost the predictive accuracy. In this manuscript, we demonstrate how this new method can be used to predict diverse properties of crystalline and amorphous materials, such as band gap energy and glass-forming ability.","DOI":"10.1038/npjcompumats.2016.28","ISSN":"2057-3960","journalAbbreviation":"npj Computational Materials","author":[{"family":"Ward","given":"Logan"},{"family":"Agrawal","given":"Ankit"},{"family":"Choudhary","given":"Alok"},{"family":"Wolverton","given":"Christopher"}],"issued":{"date-parts":[["2016",8,26]]}}},{"id":214,"uris":["http://zotero.org/users/local/UnIW1pB0/items/8YJJFI24"],"uri":["http://zotero.org/users/local/UnIW1pB0/items/8YJJFI24"],"itemData":{"id":214,"type":"article-journal","title":"AutoMatminer","container-title":"https://github.com/hackingmaterials/automatminer"}},{"id":213,"uris":["http://zotero.org/users/local/UnIW1pB0/items/VR37YNKF"],"uri":["http://zotero.org/users/local/UnIW1pB0/items/VR37YNKF"],"itemData":{"id":213,"type":"article-journal","title":"Predicting materials properties without crystal structure: Deep representation learning from stoichiometry","container-title":"arXiv pre-print 1910.00617","author":[{"family":"Goodall, Rhys","given":""},{"family":"Lee, Alpha","given":""}]}}],"schema":"https://github.com/citation-style-language/schema/raw/master/csl-citation.json"}</w:instrText>
      </w:r>
      <w:r>
        <w:fldChar w:fldCharType="separate"/>
      </w:r>
      <w:bookmarkStart w:id="18" w:name="__Fieldmark__604_468041894"/>
      <w:r>
        <w:rPr>
          <w:rFonts w:ascii="Times New Roman" w:hAnsi="Times New Roman" w:cs="Times New Roman"/>
          <w:color w:val="000080"/>
          <w:sz w:val="22"/>
          <w:szCs w:val="22"/>
          <w:vertAlign w:val="superscript"/>
        </w:rPr>
        <w:t>19–23</w:t>
      </w:r>
      <w:r>
        <w:fldChar w:fldCharType="end"/>
      </w:r>
      <w:bookmarkEnd w:id="18"/>
      <w:r>
        <w:rPr>
          <w:rFonts w:ascii="Times New Roman" w:hAnsi="Times New Roman" w:cs="Times New Roman"/>
          <w:sz w:val="22"/>
          <w:szCs w:val="22"/>
        </w:rPr>
        <w:t>, respectively. Δ</w:t>
      </w:r>
      <w:r>
        <w:rPr>
          <w:rFonts w:ascii="Times New Roman" w:hAnsi="Times New Roman" w:cs="Times New Roman"/>
          <w:i/>
          <w:iCs/>
          <w:sz w:val="22"/>
          <w:szCs w:val="22"/>
        </w:rPr>
        <w:t>H</w:t>
      </w:r>
      <w:r>
        <w:rPr>
          <w:rFonts w:ascii="Times New Roman" w:hAnsi="Times New Roman" w:cs="Times New Roman"/>
          <w:sz w:val="22"/>
          <w:szCs w:val="22"/>
          <w:vertAlign w:val="subscript"/>
        </w:rPr>
        <w:t>f,pred</w:t>
      </w:r>
      <w:r>
        <w:rPr>
          <w:rFonts w:ascii="Times New Roman" w:hAnsi="Times New Roman" w:cs="Times New Roman"/>
          <w:sz w:val="22"/>
          <w:szCs w:val="22"/>
        </w:rPr>
        <w:t xml:space="preserve"> corresponds with ML predictions for aggregated hold-out sets during 5-fold cross-validation of the Materials Project dataset (see </w:t>
      </w:r>
      <w:r w:rsidRPr="00D30466">
        <w:rPr>
          <w:rFonts w:ascii="Times New Roman" w:hAnsi="Times New Roman" w:cs="Times New Roman"/>
          <w:b/>
          <w:bCs/>
          <w:sz w:val="22"/>
          <w:szCs w:val="22"/>
        </w:rPr>
        <w:t>Methods</w:t>
      </w:r>
      <w:r>
        <w:rPr>
          <w:rFonts w:ascii="Times New Roman" w:hAnsi="Times New Roman" w:cs="Times New Roman"/>
          <w:sz w:val="22"/>
          <w:szCs w:val="22"/>
        </w:rPr>
        <w:t xml:space="preserve"> </w:t>
      </w:r>
    </w:p>
    <w:p w14:paraId="5BFBEF05" w14:textId="1CCEE1AE" w:rsidR="00C96117" w:rsidRDefault="003A59B5">
      <w:pPr>
        <w:pStyle w:val="Standard"/>
        <w:jc w:val="both"/>
      </w:pPr>
      <w:r>
        <w:rPr>
          <w:rFonts w:ascii="Times New Roman" w:hAnsi="Times New Roman" w:cs="Times New Roman"/>
          <w:sz w:val="22"/>
          <w:szCs w:val="22"/>
        </w:rPr>
        <w:t>for details). Δ</w:t>
      </w:r>
      <w:r>
        <w:rPr>
          <w:rFonts w:ascii="Times New Roman" w:hAnsi="Times New Roman" w:cs="Times New Roman"/>
          <w:i/>
          <w:iCs/>
          <w:sz w:val="22"/>
          <w:szCs w:val="22"/>
        </w:rPr>
        <w:t>H</w:t>
      </w:r>
      <w:r>
        <w:rPr>
          <w:rFonts w:ascii="Times New Roman" w:hAnsi="Times New Roman" w:cs="Times New Roman"/>
          <w:sz w:val="22"/>
          <w:szCs w:val="22"/>
          <w:vertAlign w:val="subscript"/>
        </w:rPr>
        <w:t xml:space="preserve">f,MP  </w:t>
      </w:r>
      <w:r>
        <w:rPr>
          <w:rFonts w:ascii="Times New Roman" w:hAnsi="Times New Roman" w:cs="Times New Roman"/>
          <w:sz w:val="22"/>
          <w:szCs w:val="22"/>
        </w:rPr>
        <w:t>refers to the formation energy per atom in the MP database. The absolute error on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 xml:space="preserve"> is shown as the colorbar and the mean absolute error (MAE) is shown within each panel.  </w:t>
      </w:r>
    </w:p>
    <w:p w14:paraId="6B0D6C47" w14:textId="77777777" w:rsidR="00C96117" w:rsidRDefault="00C96117">
      <w:pPr>
        <w:pStyle w:val="Standard"/>
        <w:spacing w:line="360" w:lineRule="auto"/>
        <w:jc w:val="both"/>
        <w:rPr>
          <w:rFonts w:ascii="Times New Roman" w:hAnsi="Times New Roman" w:cs="Times New Roman"/>
          <w:b/>
          <w:bCs/>
        </w:rPr>
      </w:pPr>
    </w:p>
    <w:p w14:paraId="7CFFDB59" w14:textId="77777777" w:rsidR="00C96117" w:rsidRDefault="003A59B5">
      <w:pPr>
        <w:pStyle w:val="Standard"/>
        <w:spacing w:line="360" w:lineRule="auto"/>
        <w:jc w:val="both"/>
      </w:pPr>
      <w:r>
        <w:rPr>
          <w:rFonts w:ascii="Times New Roman" w:hAnsi="Times New Roman" w:cs="Times New Roman"/>
          <w:b/>
          <w:bCs/>
        </w:rPr>
        <w:t>Implicit stability predictions from learned formation enthalpies</w:t>
      </w:r>
    </w:p>
    <w:p w14:paraId="7E8ED366" w14:textId="3CD42676" w:rsidR="00C96117" w:rsidRDefault="003A59B5">
      <w:pPr>
        <w:pStyle w:val="Standard"/>
        <w:spacing w:line="360" w:lineRule="auto"/>
        <w:jc w:val="both"/>
      </w:pPr>
      <w:r>
        <w:rPr>
          <w:rFonts w:ascii="Times New Roman" w:hAnsi="Times New Roman" w:cs="Times New Roman"/>
          <w:b/>
          <w:bCs/>
        </w:rPr>
        <w:tab/>
      </w:r>
      <w:r>
        <w:rPr>
          <w:rFonts w:ascii="Times New Roman" w:hAnsi="Times New Roman" w:cs="Times New Roman"/>
        </w:rPr>
        <w:t>While ML predictions of DFT-calculated 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approach the accuracy of DFT compared with experiment for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(~0.1-0.2 eV/atom)</w:t>
      </w:r>
      <w:r>
        <w:fldChar w:fldCharType="begin"/>
      </w:r>
      <w:r>
        <w:instrText>ADDIN ZOTERO_ITEM CSL_CITATION {"citationID":"mXbpc886","properties":{"formattedCitation":"\\super 8,15,28,29,32\\nosupersub{}","plainCitation":"8,15,28,29,32","noteIndex":0},"citationItems":[{"id":114,"uris":["http://zotero.org/users/local/UnIW1pB0/items/SRGHBFIT"],"uri":["http://zotero.org/users/local/UnIW1pB0/items/SRGHBFIT"],"itemData":{"id":114,"type":"article-journal","title":"The Open Quantum Materials Database (OQMD): assessing the accuracy of DFT formation energies","container-title":"npj Computational Materials","page":"15010","volume":"1","issue":"1","abstract":"The Open Quantum Materials Database (OQMD) is a high-throughput database currently consisting of nearly 300,000 density functional theory (DFT) total energy calculations of compounds from the Inorganic Crystal Structure Database (ICSD) and decorations of commonly occurring crystal structures. To maximise the impact of these data, the entire database is being made available, without restrictions, at www.oqmd.org/download. In this paper, we outline the structure and contents of the database, and then use it to evaluate the accuracy of the calculations therein by comparing DFT predictions with experimental measurements for the stability of all elemental ground-state structures and 1,670 experimental formation energies of compounds. This represents the largest comparison between DFT and experimental formation energies to date. The apparent mean absolute error between experimental measurements and our calculations is 0.096 eV/atom. In order to estimate how much error to attribute to the DFT calculations, we also examine deviation between different experimental measurements themselves where multiple sources are available, and find a surprisingly large mean absolute error of 0.082 eV/atom. Hence, we suggest that a significant fraction of the error between DFT and experimental formation energies may be attributed to experimental uncertainties. Finally, we evaluate the stability of compounds in the OQMD (including compounds obtained from the ICSD as well as hypothetical structures), which allows us to predict the existence of ~3,200 new compounds that have not been experimentally characterised and uncover trends in material discovery, based on historical data available within the ICSD.","DOI":"10.1038/npjcompumats.2015.10","ISSN":"2057-3960","journalAbbreviation":"npj Computational Materials","author":[{"family":"Kirklin","given":"Scott"},{"family":"Saal","given":"James E"},{"family":"Meredig","given":"Bryce"},{"family":"Thompson","given":"Alex"},{"family":"Doak","given":"Jeff W"},{"family":"Aykol","given":"Muratahan"},{"family":"Rühl","given":"Stephan"},{"family":"Wolverton","given":"Chris"}],"issued":{"date-parts":[["2015",12,11]]}}},{"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M."}],"issued":{"date-parts":[["2019"]]}}},{"id":123,"uris":["http://zotero.org/users/local/UnIW1pB0/items/WUWEY4IK"],"uri":["http://zotero.org/users/local/UnIW1pB0/items/WUWEY4IK"],"itemData":{"id":123,"type":"article-journal","title":"Correcting density functional theory for accurate predictions of compound enthalpies of formation: Fitted elemental-phase reference energies","container-title":"Physical Review B","page":"115104","volume":"85","issue":"11","DOI":"10.1103/PhysRevB.85.115104","journalAbbreviation":"Phys. Rev. B","author":[{"family":"Stevanović","given":"Vladan"},{"family":"Lany","given":"Stephan"},{"family":"Zhang","given":"Xiuwen"},{"family":"Zunger","given":"Alex"}],"issued":{"date-parts":[["2012",3,7]]}}},{"id":124,"uris":["http://zotero.org/users/local/UnIW1pB0/items/875PPL82"],"uri":["http://zotero.org/users/local/UnIW1pB0/items/875PPL82"],"itemData":{"id":124,"type":"article-journal","title":"Heats of formation of solids with error estimation: The mBEEF functional with and without fitted reference energies","container-title":"Physical Review B","page":"235201","volume":"91","issue":"23","DOI":"10.1103/PhysRevB.91.235201","journalAbbreviation":"Phys. Rev. B","author":[{"family":"Pandey","given":"Mohnish"},{"family":"Jacobsen","given":"Karsten W."}],"issued":{"date-parts":[["2015",6,3]]}}},{"id":237,"uris":["http://zotero.org/users/local/UnIW1pB0/items/QXEH8ULS"],"uri":["http://zotero.org/users/local/UnIW1pB0/items/QXEH8ULS"],"itemData":{"id":237,"type":"article-journal","title":"Performance of the strongly constrained and appropriately normed density functional for solid-state materials","container-title":"Physical Review Materials","page":"063801","volume":"2","issue":"6","DOI":"10.1103/PhysRevMaterials.2.063801","journalAbbreviation":"Phys. Rev. Materials","author":[{"family":"Isaacs","given":"Eric B."},{"family":"Wolverton","given":"Chris"}],"issued":{"date-parts":[["2018",6,22]]}}}],"schema":"https://github.com/citation-style-language/schema/raw/master/csl-citation.json"}</w:instrText>
      </w:r>
      <w:r>
        <w:fldChar w:fldCharType="separate"/>
      </w:r>
      <w:bookmarkStart w:id="19" w:name="__Fieldmark__642_468041894"/>
      <w:r>
        <w:rPr>
          <w:rFonts w:ascii="Times New Roman" w:hAnsi="Times New Roman" w:cs="Times New Roman"/>
          <w:color w:val="000080"/>
          <w:vertAlign w:val="superscript"/>
        </w:rPr>
        <w:t>8,15,28,29,32</w:t>
      </w:r>
      <w:r>
        <w:fldChar w:fldCharType="end"/>
      </w:r>
      <w:bookmarkEnd w:id="19"/>
      <w:r>
        <w:rPr>
          <w:rFonts w:ascii="Times New Roman" w:hAnsi="Times New Roman" w:cs="Times New Roman"/>
        </w:rPr>
        <w:t xml:space="preserve"> over the entire MP dataset, the use of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stability predictions requires that relative</w:t>
      </w:r>
      <w:r>
        <w:rPr>
          <w:rFonts w:ascii="Times New Roman" w:hAnsi="Times New Roman" w:cs="Times New Roman"/>
          <w:i/>
          <w:iCs/>
        </w:rPr>
        <w:t xml:space="preserve">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between chemically similar compounds must be accurately predicted. To assess the accuracy of relative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we reconstructed the convex hulls for all </w:t>
      </w:r>
      <w:r w:rsidR="0029373B">
        <w:rPr>
          <w:rFonts w:ascii="Times New Roman" w:hAnsi="Times New Roman" w:cs="Times New Roman"/>
        </w:rPr>
        <w:t>chemical</w:t>
      </w:r>
      <w:r>
        <w:rPr>
          <w:rFonts w:ascii="Times New Roman" w:hAnsi="Times New Roman" w:cs="Times New Roman"/>
        </w:rPr>
        <w:t xml:space="preserve"> </w:t>
      </w:r>
      <w:r w:rsidR="0029373B">
        <w:rPr>
          <w:rFonts w:ascii="Times New Roman" w:hAnsi="Times New Roman" w:cs="Times New Roman"/>
        </w:rPr>
        <w:t>spaces</w:t>
      </w:r>
      <w:r>
        <w:rPr>
          <w:rFonts w:ascii="Times New Roman" w:hAnsi="Times New Roman" w:cs="Times New Roman"/>
        </w:rPr>
        <w:t xml:space="preserve"> in MP with Δ</w:t>
      </w:r>
      <w:r>
        <w:rPr>
          <w:rFonts w:ascii="Times New Roman" w:hAnsi="Times New Roman" w:cs="Times New Roman"/>
          <w:i/>
          <w:iCs/>
        </w:rPr>
        <w:t>H</w:t>
      </w:r>
      <w:r>
        <w:rPr>
          <w:rFonts w:ascii="Times New Roman" w:hAnsi="Times New Roman" w:cs="Times New Roman"/>
          <w:vertAlign w:val="subscript"/>
        </w:rPr>
        <w:t>f,pred</w:t>
      </w:r>
      <w:r>
        <w:rPr>
          <w:rFonts w:ascii="Times New Roman" w:hAnsi="Times New Roman" w:cs="Times New Roman"/>
        </w:rPr>
        <w:t xml:space="preserve"> to obtain Δ</w:t>
      </w:r>
      <w:r>
        <w:rPr>
          <w:rFonts w:ascii="Times New Roman" w:hAnsi="Times New Roman" w:cs="Times New Roman"/>
          <w:i/>
          <w:iCs/>
        </w:rPr>
        <w:t>H</w:t>
      </w:r>
      <w:r>
        <w:rPr>
          <w:rFonts w:ascii="Times New Roman" w:hAnsi="Times New Roman" w:cs="Times New Roman"/>
          <w:vertAlign w:val="subscript"/>
        </w:rPr>
        <w:t>d,pred</w:t>
      </w:r>
      <w:r>
        <w:rPr>
          <w:rFonts w:ascii="Times New Roman" w:hAnsi="Times New Roman" w:cs="Times New Roman"/>
        </w:rPr>
        <w:t xml:space="preserve"> using each compositional model.</w:t>
      </w:r>
      <w:r>
        <w:t xml:space="preserve"> </w:t>
      </w:r>
      <w:r>
        <w:rPr>
          <w:rFonts w:ascii="Times New Roman" w:hAnsi="Times New Roman" w:cs="Times New Roman"/>
        </w:rPr>
        <w:t>Parity plots for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are shown in </w:t>
      </w:r>
      <w:r>
        <w:rPr>
          <w:rFonts w:ascii="Times New Roman" w:hAnsi="Times New Roman" w:cs="Times New Roman"/>
          <w:b/>
          <w:bCs/>
        </w:rPr>
        <w:t>Figure 3</w:t>
      </w:r>
      <w:r>
        <w:rPr>
          <w:rFonts w:ascii="Times New Roman" w:hAnsi="Times New Roman" w:cs="Times New Roman"/>
        </w:rPr>
        <w:t>. In contrast to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where all representations substantially improve the predictive accuracy, for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w:t>
      </w:r>
      <w:r w:rsidR="0029373B">
        <w:rPr>
          <w:rFonts w:ascii="Times New Roman" w:hAnsi="Times New Roman" w:cs="Times New Roman"/>
        </w:rPr>
        <w:t>four</w:t>
      </w:r>
      <w:r>
        <w:rPr>
          <w:rFonts w:ascii="Times New Roman" w:hAnsi="Times New Roman" w:cs="Times New Roman"/>
        </w:rPr>
        <w:t xml:space="preserve"> of the </w:t>
      </w:r>
      <w:r w:rsidR="0029373B">
        <w:rPr>
          <w:rFonts w:ascii="Times New Roman" w:hAnsi="Times New Roman" w:cs="Times New Roman"/>
        </w:rPr>
        <w:t>five</w:t>
      </w:r>
      <w:r>
        <w:rPr>
          <w:rFonts w:ascii="Times New Roman" w:hAnsi="Times New Roman" w:cs="Times New Roman"/>
        </w:rPr>
        <w:t xml:space="preserve"> models (all except arXiv19) only negligibly improve upon the baseline elfrac model</w:t>
      </w:r>
      <w:r w:rsidR="00122122">
        <w:rPr>
          <w:rFonts w:ascii="Times New Roman" w:hAnsi="Times New Roman" w:cs="Times New Roman"/>
        </w:rPr>
        <w:t xml:space="preserve"> </w:t>
      </w:r>
      <w:r>
        <w:rPr>
          <w:rFonts w:ascii="Times New Roman" w:hAnsi="Times New Roman" w:cs="Times New Roman"/>
        </w:rPr>
        <w:t xml:space="preserve">with MAE </w:t>
      </w:r>
      <w:r w:rsidR="00122122">
        <w:rPr>
          <w:rFonts w:ascii="Times New Roman" w:hAnsi="Times New Roman" w:cs="Times New Roman"/>
        </w:rPr>
        <w:t xml:space="preserve">of </w:t>
      </w:r>
      <w:r>
        <w:rPr>
          <w:rFonts w:ascii="Times New Roman" w:hAnsi="Times New Roman" w:cs="Times New Roman"/>
        </w:rPr>
        <w:t>~0.12-0.14 eV/atom. While the MAE for Δ</w:t>
      </w:r>
      <w:r>
        <w:rPr>
          <w:rFonts w:ascii="Times New Roman" w:hAnsi="Times New Roman" w:cs="Times New Roman"/>
          <w:i/>
          <w:iCs/>
        </w:rPr>
        <w:t>H</w:t>
      </w:r>
      <w:r>
        <w:rPr>
          <w:rFonts w:ascii="Times New Roman" w:hAnsi="Times New Roman" w:cs="Times New Roman"/>
          <w:vertAlign w:val="subscript"/>
        </w:rPr>
        <w:t xml:space="preserve">d </w:t>
      </w:r>
      <w:r>
        <w:rPr>
          <w:rFonts w:ascii="Times New Roman" w:hAnsi="Times New Roman" w:cs="Times New Roman"/>
        </w:rPr>
        <w:t>is comparable to or even lower than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the range of values spanned by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also much smaller (</w:t>
      </w:r>
      <w:r>
        <w:rPr>
          <w:rFonts w:ascii="Times New Roman" w:hAnsi="Times New Roman" w:cs="Times New Roman"/>
          <w:b/>
          <w:bCs/>
        </w:rPr>
        <w:t>Figure S1</w:t>
      </w:r>
      <w:r>
        <w:rPr>
          <w:rFonts w:ascii="Times New Roman" w:hAnsi="Times New Roman" w:cs="Times New Roman"/>
        </w:rPr>
        <w:t xml:space="preserve">). Importantly, for the purposes of predicting stability, a difference of </w:t>
      </w:r>
      <w:r>
        <w:rPr>
          <w:rFonts w:ascii="Times New Roman" w:hAnsi="Times New Roman" w:cs="Times New Roman"/>
        </w:rPr>
        <w:lastRenderedPageBreak/>
        <w:t>~0.1 eV/atom can be the difference between a compound that is readily synthesizable and one that is unlikely to ever be realized.</w:t>
      </w:r>
    </w:p>
    <w:p w14:paraId="4850E9D0" w14:textId="5F327C70" w:rsidR="00C96117" w:rsidRDefault="003A59B5">
      <w:pPr>
        <w:pStyle w:val="Standard"/>
        <w:spacing w:line="360" w:lineRule="auto"/>
        <w:ind w:firstLine="720"/>
        <w:jc w:val="both"/>
      </w:pPr>
      <w:r>
        <w:rPr>
          <w:rFonts w:ascii="Times New Roman" w:hAnsi="Times New Roman" w:cs="Times New Roman"/>
        </w:rPr>
        <w:t>DFT calculations benefit from a systematic cancellation of errors that leads to much smaller errors for Δ</w:t>
      </w:r>
      <w:r>
        <w:rPr>
          <w:rFonts w:ascii="Times New Roman" w:hAnsi="Times New Roman" w:cs="Times New Roman"/>
          <w:i/>
          <w:iCs/>
        </w:rPr>
        <w:t>H</w:t>
      </w:r>
      <w:r>
        <w:rPr>
          <w:rFonts w:ascii="Times New Roman" w:hAnsi="Times New Roman" w:cs="Times New Roman"/>
          <w:vertAlign w:val="subscript"/>
        </w:rPr>
        <w:t xml:space="preserve">d </w:t>
      </w:r>
      <w:r>
        <w:rPr>
          <w:rFonts w:ascii="Times New Roman" w:hAnsi="Times New Roman" w:cs="Times New Roman"/>
        </w:rPr>
        <w:t>than for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with MAE as low as ~0.04 eV/atom for a substantial fraction of decomposition reactions.</w:t>
      </w:r>
      <w:r>
        <w:fldChar w:fldCharType="begin"/>
      </w:r>
      <w:r>
        <w:instrText>ADDIN ZOTERO_ITEM CSL_CITATION {"citationID":"atuiZM40","properties":{"formattedCitation":"\\super 15\\nosupersub{}","plainCitation":"15","noteIndex":0},"citationItems":[{"id":11,"uris":["http://zotero.org/users/local/UnIW1pB0/items/76RV3FK8"],"uri":["http://zotero.org/users/local/UnIW1pB0/items/76RV3FK8"],"itemData":{"id":11,"type":"article-journal","title":"The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M."}],"issued":{"date-parts":[["2019"]]}}}],"schema":"https://github.com/citation-style-language/schema/raw/master/csl-citation.json"}</w:instrText>
      </w:r>
      <w:r>
        <w:fldChar w:fldCharType="separate"/>
      </w:r>
      <w:bookmarkStart w:id="20" w:name="__Fieldmark__722_468041894"/>
      <w:r>
        <w:rPr>
          <w:rFonts w:ascii="Times New Roman" w:hAnsi="Times New Roman" w:cs="Times New Roman"/>
          <w:color w:val="000080"/>
          <w:vertAlign w:val="superscript"/>
        </w:rPr>
        <w:t>15</w:t>
      </w:r>
      <w:r>
        <w:fldChar w:fldCharType="end"/>
      </w:r>
      <w:bookmarkEnd w:id="20"/>
      <w:r>
        <w:rPr>
          <w:rFonts w:ascii="Times New Roman" w:hAnsi="Times New Roman" w:cs="Times New Roman"/>
        </w:rPr>
        <w:t xml:space="preserve"> Unfortunately, ML models do not similarly benefit from this cancellation of errors and instead appear to learn clusters in material space that have similar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but are generally unable to distinguish between stable and unstable compounds within a chemical space. It is notable that the arXiv19 model substantially improves upon the </w:t>
      </w:r>
      <w:r w:rsidR="009F3FBD">
        <w:rPr>
          <w:rFonts w:ascii="Times New Roman" w:hAnsi="Times New Roman" w:cs="Times New Roman"/>
        </w:rPr>
        <w:t>other</w:t>
      </w:r>
      <w:r>
        <w:rPr>
          <w:rFonts w:ascii="Times New Roman" w:hAnsi="Times New Roman" w:cs="Times New Roman"/>
        </w:rPr>
        <w:t xml:space="preserve"> model</w:t>
      </w:r>
      <w:r w:rsidR="009F3FBD">
        <w:rPr>
          <w:rFonts w:ascii="Times New Roman" w:hAnsi="Times New Roman" w:cs="Times New Roman"/>
        </w:rPr>
        <w:t>s</w:t>
      </w:r>
      <w:r>
        <w:rPr>
          <w:rFonts w:ascii="Times New Roman" w:hAnsi="Times New Roman" w:cs="Times New Roman"/>
        </w:rPr>
        <w:t>. However, there are still strong signatures of inaccurate stability predictions in this parity plot, most notably in the ~vertical line at Δ</w:t>
      </w:r>
      <w:r>
        <w:rPr>
          <w:rFonts w:ascii="Times New Roman" w:hAnsi="Times New Roman" w:cs="Times New Roman"/>
          <w:i/>
          <w:iCs/>
        </w:rPr>
        <w:t>H</w:t>
      </w:r>
      <w:r>
        <w:rPr>
          <w:rFonts w:ascii="Times New Roman" w:hAnsi="Times New Roman" w:cs="Times New Roman"/>
          <w:vertAlign w:val="subscript"/>
        </w:rPr>
        <w:t xml:space="preserve">d,pred </w:t>
      </w:r>
      <w:r>
        <w:rPr>
          <w:rFonts w:ascii="Times New Roman" w:hAnsi="Times New Roman" w:cs="Times New Roman"/>
        </w:rPr>
        <w:t xml:space="preserve"> = 0 and ~horizontal line at Δ</w:t>
      </w:r>
      <w:r>
        <w:rPr>
          <w:rFonts w:ascii="Times New Roman" w:hAnsi="Times New Roman" w:cs="Times New Roman"/>
          <w:i/>
          <w:iCs/>
        </w:rPr>
        <w:t>H</w:t>
      </w:r>
      <w:r>
        <w:rPr>
          <w:rFonts w:ascii="Times New Roman" w:hAnsi="Times New Roman" w:cs="Times New Roman"/>
          <w:vertAlign w:val="subscript"/>
        </w:rPr>
        <w:t>d,</w:t>
      </w:r>
      <w:r w:rsidR="009F3FBD">
        <w:rPr>
          <w:rFonts w:ascii="Times New Roman" w:hAnsi="Times New Roman" w:cs="Times New Roman"/>
          <w:vertAlign w:val="subscript"/>
        </w:rPr>
        <w:t>MP</w:t>
      </w:r>
      <w:r>
        <w:rPr>
          <w:rFonts w:ascii="Times New Roman" w:hAnsi="Times New Roman" w:cs="Times New Roman"/>
          <w:vertAlign w:val="subscript"/>
        </w:rPr>
        <w:t xml:space="preserve"> </w:t>
      </w:r>
      <w:r>
        <w:rPr>
          <w:rFonts w:ascii="Times New Roman" w:hAnsi="Times New Roman" w:cs="Times New Roman"/>
        </w:rPr>
        <w:t>= 0. These two lines indicate substantial disagreement between the actual and predicted stabilities for many compounds, despite the relatively low MAE.</w:t>
      </w:r>
    </w:p>
    <w:p w14:paraId="6326B0D8" w14:textId="77777777" w:rsidR="00C96117" w:rsidRDefault="00C96117">
      <w:pPr>
        <w:pStyle w:val="Standard"/>
        <w:spacing w:line="360" w:lineRule="auto"/>
        <w:ind w:firstLine="720"/>
        <w:jc w:val="both"/>
      </w:pPr>
    </w:p>
    <w:p w14:paraId="5E5B37F7" w14:textId="77777777" w:rsidR="00C96117" w:rsidRDefault="003A59B5">
      <w:pPr>
        <w:pStyle w:val="Standard"/>
        <w:spacing w:line="360" w:lineRule="auto"/>
        <w:jc w:val="center"/>
      </w:pPr>
      <w:r>
        <w:rPr>
          <w:noProof/>
        </w:rPr>
        <w:drawing>
          <wp:inline distT="0" distB="635" distL="0" distR="0" wp14:anchorId="4CCD4403" wp14:editId="2DF86B0F">
            <wp:extent cx="4114654" cy="3771265"/>
            <wp:effectExtent l="0" t="0" r="635" b="63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14654" cy="3771265"/>
                    </a:xfrm>
                    <a:prstGeom prst="rect">
                      <a:avLst/>
                    </a:prstGeom>
                  </pic:spPr>
                </pic:pic>
              </a:graphicData>
            </a:graphic>
          </wp:inline>
        </w:drawing>
      </w:r>
    </w:p>
    <w:p w14:paraId="6C7EF557" w14:textId="06D4A5B6" w:rsidR="00C96117" w:rsidRDefault="003A59B5">
      <w:pPr>
        <w:pStyle w:val="Standard"/>
        <w:jc w:val="both"/>
      </w:pPr>
      <w:r>
        <w:rPr>
          <w:rFonts w:ascii="Times New Roman" w:hAnsi="Times New Roman" w:cs="Times New Roman"/>
          <w:b/>
          <w:bCs/>
          <w:sz w:val="22"/>
          <w:szCs w:val="22"/>
        </w:rPr>
        <w:t xml:space="preserve">Figure 3. </w:t>
      </w:r>
      <w:r>
        <w:rPr>
          <w:rFonts w:ascii="Times New Roman" w:hAnsi="Times New Roman" w:cs="Times New Roman"/>
          <w:sz w:val="22"/>
          <w:szCs w:val="22"/>
        </w:rPr>
        <w:t>Parity plot for decomposition enthalpy predictions.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sidR="00122122">
        <w:rPr>
          <w:rFonts w:ascii="Times New Roman" w:hAnsi="Times New Roman" w:cs="Times New Roman"/>
          <w:sz w:val="22"/>
          <w:szCs w:val="22"/>
          <w:vertAlign w:val="subscript"/>
        </w:rPr>
        <w:t>,MP</w:t>
      </w:r>
      <w:r>
        <w:rPr>
          <w:rFonts w:ascii="Times New Roman" w:hAnsi="Times New Roman" w:cs="Times New Roman"/>
          <w:sz w:val="22"/>
          <w:szCs w:val="22"/>
        </w:rPr>
        <w:t xml:space="preserve"> </w:t>
      </w:r>
      <w:r w:rsidR="00122122">
        <w:rPr>
          <w:rFonts w:ascii="Times New Roman" w:hAnsi="Times New Roman" w:cs="Times New Roman"/>
          <w:sz w:val="22"/>
          <w:szCs w:val="22"/>
        </w:rPr>
        <w:t>results</w:t>
      </w:r>
      <w:r>
        <w:rPr>
          <w:rFonts w:ascii="Times New Roman" w:hAnsi="Times New Roman" w:cs="Times New Roman"/>
          <w:sz w:val="22"/>
          <w:szCs w:val="22"/>
        </w:rPr>
        <w:t xml:space="preserve"> from convex hulls constructed with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sidR="00122122">
        <w:rPr>
          <w:rFonts w:ascii="Times New Roman" w:hAnsi="Times New Roman" w:cs="Times New Roman"/>
          <w:sz w:val="22"/>
          <w:szCs w:val="22"/>
          <w:vertAlign w:val="subscript"/>
        </w:rPr>
        <w:t xml:space="preserve">,MP </w:t>
      </w:r>
      <w:r w:rsidR="00122122">
        <w:rPr>
          <w:rFonts w:ascii="Times New Roman" w:hAnsi="Times New Roman" w:cs="Times New Roman"/>
          <w:sz w:val="22"/>
          <w:szCs w:val="22"/>
        </w:rPr>
        <w:t>(</w:t>
      </w:r>
      <w:r w:rsidR="00122122">
        <w:rPr>
          <w:rFonts w:ascii="Times New Roman" w:hAnsi="Times New Roman" w:cs="Times New Roman"/>
          <w:b/>
          <w:bCs/>
          <w:sz w:val="22"/>
          <w:szCs w:val="22"/>
        </w:rPr>
        <w:t>Fig. 2</w:t>
      </w:r>
      <w:r w:rsidR="00122122">
        <w:rPr>
          <w:rFonts w:ascii="Times New Roman" w:hAnsi="Times New Roman" w:cs="Times New Roman"/>
          <w:sz w:val="22"/>
          <w:szCs w:val="22"/>
        </w:rPr>
        <w:t>)</w:t>
      </w:r>
      <w:r>
        <w:rPr>
          <w:rFonts w:ascii="Times New Roman" w:hAnsi="Times New Roman" w:cs="Times New Roman"/>
          <w:sz w:val="22"/>
          <w:szCs w:val="22"/>
        </w:rPr>
        <w:t>. Δ</w:t>
      </w:r>
      <w:r>
        <w:rPr>
          <w:rFonts w:ascii="Times New Roman" w:hAnsi="Times New Roman" w:cs="Times New Roman"/>
          <w:i/>
          <w:iCs/>
          <w:sz w:val="22"/>
          <w:szCs w:val="22"/>
        </w:rPr>
        <w:t>H</w:t>
      </w:r>
      <w:r>
        <w:rPr>
          <w:rFonts w:ascii="Times New Roman" w:hAnsi="Times New Roman" w:cs="Times New Roman"/>
          <w:sz w:val="22"/>
          <w:szCs w:val="22"/>
          <w:vertAlign w:val="subscript"/>
        </w:rPr>
        <w:t xml:space="preserve">d,pred </w:t>
      </w:r>
      <w:r>
        <w:rPr>
          <w:rFonts w:ascii="Times New Roman" w:hAnsi="Times New Roman" w:cs="Times New Roman"/>
          <w:sz w:val="22"/>
          <w:szCs w:val="22"/>
        </w:rPr>
        <w:t>is obtained from convex hulls constructed with Δ</w:t>
      </w:r>
      <w:r>
        <w:rPr>
          <w:rFonts w:ascii="Times New Roman" w:hAnsi="Times New Roman" w:cs="Times New Roman"/>
          <w:i/>
          <w:iCs/>
          <w:sz w:val="22"/>
          <w:szCs w:val="22"/>
        </w:rPr>
        <w:t>H</w:t>
      </w:r>
      <w:r>
        <w:rPr>
          <w:rFonts w:ascii="Times New Roman" w:hAnsi="Times New Roman" w:cs="Times New Roman"/>
          <w:sz w:val="22"/>
          <w:szCs w:val="22"/>
          <w:vertAlign w:val="subscript"/>
        </w:rPr>
        <w:t xml:space="preserve">f,pred </w:t>
      </w:r>
      <w:r>
        <w:rPr>
          <w:rFonts w:ascii="Times New Roman" w:hAnsi="Times New Roman" w:cs="Times New Roman"/>
          <w:sz w:val="22"/>
          <w:szCs w:val="22"/>
        </w:rPr>
        <w:t>(</w:t>
      </w:r>
      <w:r>
        <w:rPr>
          <w:rFonts w:ascii="Times New Roman" w:hAnsi="Times New Roman" w:cs="Times New Roman"/>
          <w:b/>
          <w:bCs/>
          <w:sz w:val="22"/>
          <w:szCs w:val="22"/>
        </w:rPr>
        <w:t>Fig. 2</w:t>
      </w:r>
      <w:r>
        <w:rPr>
          <w:rFonts w:ascii="Times New Roman" w:hAnsi="Times New Roman" w:cs="Times New Roman"/>
          <w:sz w:val="22"/>
          <w:szCs w:val="22"/>
        </w:rPr>
        <w:t xml:space="preserve">). The annotations are the same as in </w:t>
      </w:r>
      <w:r>
        <w:rPr>
          <w:rFonts w:ascii="Times New Roman" w:hAnsi="Times New Roman" w:cs="Times New Roman"/>
          <w:b/>
          <w:bCs/>
          <w:sz w:val="22"/>
          <w:szCs w:val="22"/>
        </w:rPr>
        <w:t>Fig. 2</w:t>
      </w:r>
      <w:r>
        <w:rPr>
          <w:rFonts w:ascii="Times New Roman" w:hAnsi="Times New Roman" w:cs="Times New Roman"/>
          <w:sz w:val="22"/>
          <w:szCs w:val="22"/>
        </w:rPr>
        <w:t>.</w:t>
      </w:r>
    </w:p>
    <w:p w14:paraId="5D96F90C" w14:textId="77777777" w:rsidR="00C96117" w:rsidRDefault="00C96117">
      <w:pPr>
        <w:pStyle w:val="Standard"/>
        <w:spacing w:line="360" w:lineRule="auto"/>
        <w:jc w:val="both"/>
        <w:rPr>
          <w:rFonts w:ascii="Times New Roman" w:hAnsi="Times New Roman" w:cs="Times New Roman"/>
          <w:sz w:val="22"/>
          <w:szCs w:val="22"/>
        </w:rPr>
      </w:pPr>
    </w:p>
    <w:p w14:paraId="6439F60A" w14:textId="26E5E5B9" w:rsidR="009F3FBD" w:rsidRPr="009F3FBD" w:rsidRDefault="003A59B5" w:rsidP="00F821AB">
      <w:pPr>
        <w:pStyle w:val="Standard"/>
        <w:spacing w:line="360" w:lineRule="auto"/>
        <w:ind w:firstLine="720"/>
        <w:jc w:val="both"/>
        <w:rPr>
          <w:rFonts w:ascii="Times New Roman" w:hAnsi="Times New Roman" w:cs="Times New Roman"/>
        </w:rPr>
      </w:pPr>
      <w:r>
        <w:rPr>
          <w:rFonts w:ascii="Times New Roman" w:hAnsi="Times New Roman" w:cs="Times New Roman"/>
        </w:rPr>
        <w:lastRenderedPageBreak/>
        <w:t xml:space="preserve">The inability for compositional models to properly distinguish relative </w:t>
      </w:r>
      <w:r w:rsidR="009F3FBD">
        <w:rPr>
          <w:rFonts w:ascii="Times New Roman" w:hAnsi="Times New Roman" w:cs="Times New Roman"/>
        </w:rPr>
        <w:t>stability</w:t>
      </w:r>
      <w:r>
        <w:rPr>
          <w:rFonts w:ascii="Times New Roman" w:hAnsi="Times New Roman" w:cs="Times New Roman"/>
        </w:rPr>
        <w:t xml:space="preserve"> is further demonstrated by assessing how well the models classify materials as stable (on the convex hull) or unstable (above the hull), as shown in </w:t>
      </w:r>
      <w:r>
        <w:rPr>
          <w:rFonts w:ascii="Times New Roman" w:hAnsi="Times New Roman" w:cs="Times New Roman"/>
          <w:b/>
          <w:bCs/>
        </w:rPr>
        <w:t>Figure 4</w:t>
      </w:r>
      <w:r>
        <w:rPr>
          <w:rFonts w:ascii="Times New Roman" w:hAnsi="Times New Roman" w:cs="Times New Roman"/>
        </w:rPr>
        <w:t>.</w:t>
      </w:r>
      <w:r>
        <w:rPr>
          <w:rFonts w:ascii="Times New Roman" w:hAnsi="Times New Roman" w:cs="Times New Roman"/>
          <w:b/>
          <w:bCs/>
        </w:rPr>
        <w:t xml:space="preserve"> </w:t>
      </w:r>
      <w:r w:rsidR="009F3FBD">
        <w:rPr>
          <w:rFonts w:ascii="Times New Roman" w:hAnsi="Times New Roman" w:cs="Times New Roman"/>
        </w:rPr>
        <w:t xml:space="preserve">If all materials were naively predicted to be unstable, the classification accuracy would be 60%. Five of the six models (all except arXiv19) only marginally improve upon this accuracy (58-65%). </w:t>
      </w:r>
      <w:r w:rsidR="00D81C74" w:rsidRPr="00D81C74">
        <w:rPr>
          <w:rFonts w:ascii="Times New Roman" w:hAnsi="Times New Roman" w:cs="Times New Roman"/>
        </w:rPr>
        <w:t xml:space="preserve">Strikingly, the </w:t>
      </w:r>
      <w:r w:rsidR="00D81C74">
        <w:rPr>
          <w:rFonts w:ascii="Times New Roman" w:hAnsi="Times New Roman" w:cs="Times New Roman"/>
        </w:rPr>
        <w:t>a</w:t>
      </w:r>
      <w:r w:rsidR="00D81C74" w:rsidRPr="00D81C74">
        <w:rPr>
          <w:rFonts w:ascii="Times New Roman" w:hAnsi="Times New Roman" w:cs="Times New Roman"/>
        </w:rPr>
        <w:t xml:space="preserve">rXiv19 model </w:t>
      </w:r>
      <w:r w:rsidR="00F821AB">
        <w:rPr>
          <w:rFonts w:ascii="Times New Roman" w:hAnsi="Times New Roman" w:cs="Times New Roman"/>
        </w:rPr>
        <w:t>considerably</w:t>
      </w:r>
      <w:r w:rsidR="00D81C74" w:rsidRPr="00D81C74">
        <w:rPr>
          <w:rFonts w:ascii="Times New Roman" w:hAnsi="Times New Roman" w:cs="Times New Roman"/>
        </w:rPr>
        <w:t xml:space="preserve"> outperforms the other compositional models</w:t>
      </w:r>
      <w:r w:rsidR="00D81C74">
        <w:rPr>
          <w:rFonts w:ascii="Times New Roman" w:hAnsi="Times New Roman" w:cs="Times New Roman"/>
        </w:rPr>
        <w:t xml:space="preserve"> (76% accuracy)</w:t>
      </w:r>
      <w:r w:rsidR="00D81C74" w:rsidRPr="00D81C74">
        <w:rPr>
          <w:rFonts w:ascii="Times New Roman" w:hAnsi="Times New Roman" w:cs="Times New Roman"/>
        </w:rPr>
        <w:t xml:space="preserve">, despite using stoichiometry alone as input. </w:t>
      </w:r>
      <w:r w:rsidR="00F821AB" w:rsidRPr="00D81C74">
        <w:rPr>
          <w:rFonts w:ascii="Times New Roman" w:hAnsi="Times New Roman" w:cs="Times New Roman"/>
        </w:rPr>
        <w:t xml:space="preserve">Plausibly, this superior performance is due to the </w:t>
      </w:r>
      <w:r w:rsidR="00F821AB">
        <w:rPr>
          <w:rFonts w:ascii="Times New Roman" w:hAnsi="Times New Roman" w:cs="Times New Roman"/>
        </w:rPr>
        <w:t>a</w:t>
      </w:r>
      <w:r w:rsidR="00F821AB" w:rsidRPr="00D81C74">
        <w:rPr>
          <w:rFonts w:ascii="Times New Roman" w:hAnsi="Times New Roman" w:cs="Times New Roman"/>
        </w:rPr>
        <w:t>rXiv19 model's use of weighted soft attention mechanisms</w:t>
      </w:r>
      <w:r w:rsidR="00F821AB">
        <w:rPr>
          <w:rFonts w:ascii="Times New Roman" w:hAnsi="Times New Roman" w:cs="Times New Roman"/>
        </w:rPr>
        <w:t xml:space="preserve"> in the manipulation of the representation</w:t>
      </w:r>
      <w:r w:rsidR="00F821AB" w:rsidRPr="00D81C74">
        <w:rPr>
          <w:rFonts w:ascii="Times New Roman" w:hAnsi="Times New Roman" w:cs="Times New Roman"/>
        </w:rPr>
        <w:t>.</w:t>
      </w:r>
      <w:r w:rsidR="00F821AB">
        <w:rPr>
          <w:rFonts w:ascii="Times New Roman" w:hAnsi="Times New Roman" w:cs="Times New Roman"/>
        </w:rPr>
        <w:fldChar w:fldCharType="begin"/>
      </w:r>
      <w:r w:rsidR="00F821AB">
        <w:rPr>
          <w:rFonts w:ascii="Times New Roman" w:hAnsi="Times New Roman" w:cs="Times New Roman"/>
        </w:rPr>
        <w:instrText xml:space="preserve"> ADDIN ZOTERO_ITEM CSL_CITATION {"citationID":"pbUWFvUj","properties":{"formattedCitation":"\\super 33\\nosupersub{}","plainCitation":"33","noteIndex":0},"citationItems":[{"id":242,"uris":["http://zotero.org/users/local/UnIW1pB0/items/VLWACIBA"],"uri":["http://zotero.org/users/local/UnIW1pB0/items/VLWACIBA"],"itemData":{"id":242,"type":"article-journal","title":"Show, Attend and Tell: Neural Image Caption Generation with Visual Attention","container-title":"preprint at https://arxiv.org/abs/1502.03044","author":[{"family":"Xu","given":"K"},{"family":"Ba","given":"J"},{"family":"Kiros","given":"R"},{"family":"Courville","given":"A"},{"family":"Salakhutdinov","given":"R"},{"family":"Zemel","given":"R"},{"family":"Bengio","given":"R"}]}}],"schema":"https://github.com/citation-style-language/schema/raw/master/csl-citation.json"} </w:instrText>
      </w:r>
      <w:r w:rsidR="00F821AB">
        <w:rPr>
          <w:rFonts w:ascii="Times New Roman" w:hAnsi="Times New Roman" w:cs="Times New Roman"/>
        </w:rPr>
        <w:fldChar w:fldCharType="separate"/>
      </w:r>
      <w:r w:rsidR="00F821AB" w:rsidRPr="00D81C74">
        <w:rPr>
          <w:rFonts w:ascii="Times New Roman" w:hAnsi="Times New Roman" w:cs="Times New Roman"/>
          <w:color w:val="000080"/>
          <w:vertAlign w:val="superscript"/>
        </w:rPr>
        <w:t>33</w:t>
      </w:r>
      <w:r w:rsidR="00F821AB">
        <w:rPr>
          <w:rFonts w:ascii="Times New Roman" w:hAnsi="Times New Roman" w:cs="Times New Roman"/>
        </w:rPr>
        <w:fldChar w:fldCharType="end"/>
      </w:r>
      <w:r w:rsidR="00F821AB" w:rsidRPr="00D81C74">
        <w:rPr>
          <w:rFonts w:ascii="Times New Roman" w:hAnsi="Times New Roman" w:cs="Times New Roman"/>
        </w:rPr>
        <w:t xml:space="preserve"> </w:t>
      </w:r>
      <w:r w:rsidR="00F821AB">
        <w:rPr>
          <w:rFonts w:ascii="Times New Roman" w:hAnsi="Times New Roman" w:cs="Times New Roman"/>
        </w:rPr>
        <w:t xml:space="preserve">While only the nominal chemical composition (element fraction) is used as input, the model learns a more meaningful representation of this inputted composition on a case-by-case basis during training. </w:t>
      </w:r>
      <w:r w:rsidR="00D81C74" w:rsidRPr="00D81C74">
        <w:rPr>
          <w:rFonts w:ascii="Times New Roman" w:hAnsi="Times New Roman" w:cs="Times New Roman"/>
        </w:rPr>
        <w:t>This is in contrast to the other</w:t>
      </w:r>
      <w:r w:rsidR="00F821AB">
        <w:rPr>
          <w:rFonts w:ascii="Times New Roman" w:hAnsi="Times New Roman" w:cs="Times New Roman"/>
        </w:rPr>
        <w:t xml:space="preserve"> </w:t>
      </w:r>
      <w:r w:rsidR="00D81C74" w:rsidRPr="00D81C74">
        <w:rPr>
          <w:rFonts w:ascii="Times New Roman" w:hAnsi="Times New Roman" w:cs="Times New Roman"/>
        </w:rPr>
        <w:t xml:space="preserve">compositional models, </w:t>
      </w:r>
      <w:r w:rsidR="00F821AB">
        <w:rPr>
          <w:rFonts w:ascii="Times New Roman" w:hAnsi="Times New Roman" w:cs="Times New Roman"/>
        </w:rPr>
        <w:t xml:space="preserve">for which the stoichiometric representation is fixed, but </w:t>
      </w:r>
      <w:r w:rsidR="00D81C74" w:rsidRPr="00D81C74">
        <w:rPr>
          <w:rFonts w:ascii="Times New Roman" w:hAnsi="Times New Roman" w:cs="Times New Roman"/>
        </w:rPr>
        <w:t>hand-picked elemental attributes such as electronegativity</w:t>
      </w:r>
      <w:r w:rsidR="00F821AB">
        <w:rPr>
          <w:rFonts w:ascii="Times New Roman" w:hAnsi="Times New Roman" w:cs="Times New Roman"/>
        </w:rPr>
        <w:t xml:space="preserve"> are also included in the representation</w:t>
      </w:r>
      <w:r w:rsidR="00D81C74" w:rsidRPr="00D81C74">
        <w:rPr>
          <w:rFonts w:ascii="Times New Roman" w:hAnsi="Times New Roman" w:cs="Times New Roman"/>
        </w:rPr>
        <w:t>.</w:t>
      </w:r>
      <w:r w:rsidR="00D81C74">
        <w:rPr>
          <w:rFonts w:ascii="Times New Roman" w:hAnsi="Times New Roman" w:cs="Times New Roman"/>
        </w:rPr>
        <w:t xml:space="preserve"> </w:t>
      </w:r>
      <w:r w:rsidR="00D81C74" w:rsidRPr="00D81C74">
        <w:rPr>
          <w:rFonts w:ascii="Times New Roman" w:hAnsi="Times New Roman" w:cs="Times New Roman"/>
        </w:rPr>
        <w:t xml:space="preserve">Notably, the </w:t>
      </w:r>
      <w:r w:rsidR="00F821AB">
        <w:rPr>
          <w:rFonts w:ascii="Times New Roman" w:hAnsi="Times New Roman" w:cs="Times New Roman"/>
        </w:rPr>
        <w:t>auto</w:t>
      </w:r>
      <w:r w:rsidR="00D81C74" w:rsidRPr="00D81C74">
        <w:rPr>
          <w:rFonts w:ascii="Times New Roman" w:hAnsi="Times New Roman" w:cs="Times New Roman"/>
        </w:rPr>
        <w:t xml:space="preserve"> model </w:t>
      </w:r>
      <w:r w:rsidR="00F821AB">
        <w:rPr>
          <w:rFonts w:ascii="Times New Roman" w:hAnsi="Times New Roman" w:cs="Times New Roman"/>
        </w:rPr>
        <w:t xml:space="preserve">uses a two-step process, first rationally selecting the most relevant elemental attributes from a large list using a decision tree model then fitting a regression model with the reduced feature space, and this optimized process </w:t>
      </w:r>
      <w:r w:rsidR="00D81C74" w:rsidRPr="00D81C74">
        <w:rPr>
          <w:rFonts w:ascii="Times New Roman" w:hAnsi="Times New Roman" w:cs="Times New Roman"/>
        </w:rPr>
        <w:t>performs approximately equivalently to the other elemental</w:t>
      </w:r>
      <w:r w:rsidR="00F821AB">
        <w:rPr>
          <w:rFonts w:ascii="Times New Roman" w:hAnsi="Times New Roman" w:cs="Times New Roman"/>
        </w:rPr>
        <w:t>-</w:t>
      </w:r>
      <w:r w:rsidR="00D81C74" w:rsidRPr="00D81C74">
        <w:rPr>
          <w:rFonts w:ascii="Times New Roman" w:hAnsi="Times New Roman" w:cs="Times New Roman"/>
        </w:rPr>
        <w:t>attribute</w:t>
      </w:r>
      <w:r w:rsidR="00F821AB">
        <w:rPr>
          <w:rFonts w:ascii="Times New Roman" w:hAnsi="Times New Roman" w:cs="Times New Roman"/>
        </w:rPr>
        <w:t>-</w:t>
      </w:r>
      <w:r w:rsidR="00D81C74" w:rsidRPr="00D81C74">
        <w:rPr>
          <w:rFonts w:ascii="Times New Roman" w:hAnsi="Times New Roman" w:cs="Times New Roman"/>
        </w:rPr>
        <w:t>based models.</w:t>
      </w:r>
      <w:r w:rsidR="00F821AB">
        <w:rPr>
          <w:rFonts w:ascii="Times New Roman" w:hAnsi="Times New Roman" w:cs="Times New Roman"/>
        </w:rPr>
        <w:t xml:space="preserve"> </w:t>
      </w:r>
      <w:r w:rsidR="00D81C74" w:rsidRPr="00D81C74">
        <w:rPr>
          <w:rFonts w:ascii="Times New Roman" w:hAnsi="Times New Roman" w:cs="Times New Roman"/>
        </w:rPr>
        <w:t xml:space="preserve">This suggests that </w:t>
      </w:r>
      <w:r w:rsidR="00F821AB">
        <w:rPr>
          <w:rFonts w:ascii="Times New Roman" w:hAnsi="Times New Roman" w:cs="Times New Roman"/>
        </w:rPr>
        <w:t>further improvements to compositional formation energy models will likely result from qualitative changes in model architecture, as in arXiv19, and not from optimizing the selection of elemental attributes.</w:t>
      </w:r>
      <w:r w:rsidR="009F3FBD">
        <w:rPr>
          <w:rFonts w:ascii="Times New Roman" w:hAnsi="Times New Roman" w:cs="Times New Roman"/>
        </w:rPr>
        <w:t xml:space="preserve"> </w:t>
      </w:r>
    </w:p>
    <w:p w14:paraId="03DD37AD" w14:textId="18165E06" w:rsidR="00C96117" w:rsidRDefault="00F821AB">
      <w:pPr>
        <w:pStyle w:val="Standard"/>
        <w:spacing w:line="360" w:lineRule="auto"/>
        <w:ind w:firstLine="720"/>
        <w:jc w:val="both"/>
      </w:pPr>
      <w:r>
        <w:rPr>
          <w:rFonts w:ascii="Times New Roman" w:hAnsi="Times New Roman" w:cs="Times New Roman"/>
        </w:rPr>
        <w:t xml:space="preserve">While the arXiv19 model improves considerably upon other compositional models, </w:t>
      </w:r>
      <w:r w:rsidR="003A59B5">
        <w:rPr>
          <w:rFonts w:ascii="Times New Roman" w:hAnsi="Times New Roman" w:cs="Times New Roman"/>
        </w:rPr>
        <w:t>the accuracy, F</w:t>
      </w:r>
      <w:r w:rsidR="003A59B5">
        <w:rPr>
          <w:rFonts w:ascii="Times New Roman" w:hAnsi="Times New Roman" w:cs="Times New Roman"/>
          <w:vertAlign w:val="subscript"/>
        </w:rPr>
        <w:t>1</w:t>
      </w:r>
      <w:r w:rsidR="003A59B5">
        <w:rPr>
          <w:rFonts w:ascii="Times New Roman" w:hAnsi="Times New Roman" w:cs="Times New Roman"/>
        </w:rPr>
        <w:t xml:space="preserve"> score, and false positive rate</w:t>
      </w:r>
      <w:r>
        <w:rPr>
          <w:rFonts w:ascii="Times New Roman" w:hAnsi="Times New Roman" w:cs="Times New Roman"/>
        </w:rPr>
        <w:t xml:space="preserve"> taken together do not</w:t>
      </w:r>
      <w:r w:rsidR="003A59B5">
        <w:rPr>
          <w:rFonts w:ascii="Times New Roman" w:hAnsi="Times New Roman" w:cs="Times New Roman"/>
        </w:rPr>
        <w:t xml:space="preserve"> inspire much confidence that </w:t>
      </w:r>
      <w:r w:rsidR="009F3FBD">
        <w:rPr>
          <w:rFonts w:ascii="Times New Roman" w:hAnsi="Times New Roman" w:cs="Times New Roman"/>
        </w:rPr>
        <w:t xml:space="preserve">any of </w:t>
      </w:r>
      <w:r w:rsidR="003A59B5">
        <w:rPr>
          <w:rFonts w:ascii="Times New Roman" w:hAnsi="Times New Roman" w:cs="Times New Roman"/>
        </w:rPr>
        <w:t xml:space="preserve">these models can accurately predict the stability of solid-state materials. Of particular concern is the high false positive rates of 25-38%. This metric provides the likelihood that a compound predicted to be stable will not actually be. The false positive rate reported here is underestimated compared to the false positive rate that is expected for new materials discovery. The MP database is largely populated with known materials extracted from the ICSD, and this results in ~40% of ground-state entries in MP being stable. Because ~34,000 stable solid-state compounds have already been discovered (and are tabulated in MP), the fraction of all plausible hypothetical compounds that are stable should be orders of magnitude less than 40%. This necessitates that searches for new materials cover a huge number of materials, and false positive rates in excess of 25% </w:t>
      </w:r>
      <w:r w:rsidR="00297395">
        <w:rPr>
          <w:rFonts w:ascii="Times New Roman" w:hAnsi="Times New Roman" w:cs="Times New Roman"/>
        </w:rPr>
        <w:t>can</w:t>
      </w:r>
      <w:r w:rsidR="003A59B5">
        <w:rPr>
          <w:rFonts w:ascii="Times New Roman" w:hAnsi="Times New Roman" w:cs="Times New Roman"/>
        </w:rPr>
        <w:t xml:space="preserve"> be computationally prohibitive to overcome, presenting a serious challenge for finding stable compounds in new or under-explored chemical spaces.</w:t>
      </w:r>
    </w:p>
    <w:p w14:paraId="1615BD5F" w14:textId="77777777" w:rsidR="00C96117" w:rsidRDefault="003A59B5">
      <w:pPr>
        <w:pStyle w:val="Standard"/>
        <w:spacing w:line="360" w:lineRule="auto"/>
        <w:jc w:val="center"/>
      </w:pPr>
      <w:r>
        <w:rPr>
          <w:noProof/>
        </w:rPr>
        <w:lastRenderedPageBreak/>
        <w:drawing>
          <wp:inline distT="0" distB="0" distL="0" distR="0" wp14:anchorId="7BFC2405" wp14:editId="4F62E9D3">
            <wp:extent cx="4114678" cy="4181475"/>
            <wp:effectExtent l="0" t="0" r="63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14678" cy="4181475"/>
                    </a:xfrm>
                    <a:prstGeom prst="rect">
                      <a:avLst/>
                    </a:prstGeom>
                  </pic:spPr>
                </pic:pic>
              </a:graphicData>
            </a:graphic>
          </wp:inline>
        </w:drawing>
      </w:r>
    </w:p>
    <w:p w14:paraId="5B0EA8A5" w14:textId="055783F6" w:rsidR="00C96117" w:rsidRDefault="003A59B5">
      <w:pPr>
        <w:pStyle w:val="Standard"/>
        <w:jc w:val="both"/>
      </w:pPr>
      <w:r>
        <w:rPr>
          <w:rFonts w:ascii="Times New Roman" w:hAnsi="Times New Roman" w:cs="Times New Roman"/>
          <w:b/>
          <w:bCs/>
          <w:sz w:val="22"/>
          <w:szCs w:val="22"/>
        </w:rPr>
        <w:t xml:space="preserve">Figure 4. </w:t>
      </w:r>
      <w:r>
        <w:rPr>
          <w:rFonts w:ascii="Times New Roman" w:hAnsi="Times New Roman" w:cs="Times New Roman"/>
          <w:sz w:val="22"/>
          <w:szCs w:val="22"/>
        </w:rPr>
        <w:t>Classification of materials as stable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xml:space="preserve"> </w:t>
      </w:r>
      <w:r w:rsidR="00297395">
        <w:rPr>
          <w:rFonts w:ascii="Times New Roman" w:hAnsi="Times New Roman" w:cs="Times New Roman"/>
          <w:sz w:val="22"/>
          <w:szCs w:val="22"/>
        </w:rPr>
        <w:t>≤</w:t>
      </w:r>
      <w:r>
        <w:rPr>
          <w:rFonts w:ascii="Times New Roman" w:hAnsi="Times New Roman" w:cs="Times New Roman"/>
          <w:sz w:val="22"/>
          <w:szCs w:val="22"/>
        </w:rPr>
        <w:t xml:space="preserve"> 0) or unstable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xml:space="preserve"> &gt; 0) using each of the six compositional models. The histograms are binned with respect to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sidR="00F47986">
        <w:rPr>
          <w:rFonts w:ascii="Times New Roman" w:hAnsi="Times New Roman" w:cs="Times New Roman"/>
          <w:sz w:val="22"/>
          <w:szCs w:val="22"/>
          <w:vertAlign w:val="subscript"/>
        </w:rPr>
        <w:t>,MP</w:t>
      </w:r>
      <w:r>
        <w:rPr>
          <w:rFonts w:ascii="Times New Roman" w:hAnsi="Times New Roman" w:cs="Times New Roman"/>
          <w:sz w:val="22"/>
          <w:szCs w:val="22"/>
        </w:rPr>
        <w:t xml:space="preserve"> to indicate how the correct and incorrect predictions vary as a function of the magnitude above or below the convex hull. Acc is the classification accuracy. F1 is the harmonic mean of precision and recall. FPR is the false positive rate.</w:t>
      </w:r>
    </w:p>
    <w:p w14:paraId="5C68B88D" w14:textId="77777777" w:rsidR="00C96117" w:rsidRDefault="00C96117">
      <w:pPr>
        <w:pStyle w:val="Standard"/>
        <w:spacing w:line="360" w:lineRule="auto"/>
        <w:jc w:val="both"/>
        <w:rPr>
          <w:rFonts w:ascii="Times New Roman" w:hAnsi="Times New Roman" w:cs="Times New Roman"/>
          <w:b/>
          <w:bCs/>
        </w:rPr>
      </w:pPr>
    </w:p>
    <w:p w14:paraId="387CE7AB" w14:textId="77777777" w:rsidR="00C96117" w:rsidRDefault="003A59B5">
      <w:pPr>
        <w:pStyle w:val="Standard"/>
        <w:spacing w:line="360" w:lineRule="auto"/>
        <w:jc w:val="both"/>
      </w:pPr>
      <w:r>
        <w:rPr>
          <w:rFonts w:ascii="Times New Roman" w:hAnsi="Times New Roman" w:cs="Times New Roman"/>
          <w:b/>
          <w:bCs/>
        </w:rPr>
        <w:t>Predicting stability in sparse chemical spaces</w:t>
      </w:r>
    </w:p>
    <w:p w14:paraId="163CD45F" w14:textId="74464C31" w:rsidR="00C96117" w:rsidRDefault="003A59B5" w:rsidP="00AE0C92">
      <w:pPr>
        <w:pStyle w:val="Standard"/>
        <w:spacing w:line="360" w:lineRule="auto"/>
        <w:jc w:val="both"/>
      </w:pPr>
      <w:r>
        <w:rPr>
          <w:rFonts w:ascii="Times New Roman" w:hAnsi="Times New Roman" w:cs="Times New Roman"/>
          <w:b/>
          <w:bCs/>
        </w:rPr>
        <w:tab/>
      </w:r>
      <w:r>
        <w:rPr>
          <w:rFonts w:ascii="Times New Roman" w:hAnsi="Times New Roman" w:cs="Times New Roman"/>
          <w:color w:val="000000"/>
        </w:rPr>
        <w:t>While quantifying the accuracy of ML approaches on the entire MP dataset is instructive about general errors, it does not resemble the materials discovery problem because it assesses only the limited space of compositions that have been previously explored and therefore have many stable compounds. In order to simulate a materials discovery problem, we identified a set of chemical spaces within the MP dataset that are sparse in terms of stable compounds.</w:t>
      </w:r>
      <w:r w:rsidR="009F3FBD">
        <w:t xml:space="preserve"> </w:t>
      </w:r>
      <w:r>
        <w:rPr>
          <w:rFonts w:ascii="Times New Roman" w:hAnsi="Times New Roman" w:cs="Times New Roman"/>
          <w:color w:val="000000"/>
        </w:rPr>
        <w:t>Lithium transition metal (TM) oxides are used as the cathode material for rechargeable Li-ion batteries and have attracted substantial attention for materials discovery in recent years. In particular, Li-Mn oxides have been considered as an alternative to LiCoO</w:t>
      </w:r>
      <w:r>
        <w:rPr>
          <w:rFonts w:ascii="Times New Roman" w:hAnsi="Times New Roman" w:cs="Times New Roman"/>
          <w:color w:val="000000"/>
          <w:vertAlign w:val="subscript"/>
        </w:rPr>
        <w:t>2</w:t>
      </w:r>
      <w:r>
        <w:rPr>
          <w:rFonts w:ascii="Times New Roman" w:hAnsi="Times New Roman" w:cs="Times New Roman"/>
          <w:color w:val="000000"/>
        </w:rPr>
        <w:t xml:space="preserve"> utilizing less or no cobalt: </w:t>
      </w:r>
      <w:r>
        <w:rPr>
          <w:rFonts w:ascii="Times New Roman" w:hAnsi="Times New Roman" w:cs="Times New Roman"/>
          <w:color w:val="000000" w:themeColor="text1"/>
        </w:rPr>
        <w:t>e.g., spinel LiMn</w:t>
      </w:r>
      <w:r>
        <w:rPr>
          <w:rFonts w:ascii="Times New Roman" w:hAnsi="Times New Roman" w:cs="Times New Roman"/>
          <w:color w:val="000000" w:themeColor="text1"/>
          <w:vertAlign w:val="subscript"/>
        </w:rPr>
        <w:t>2</w:t>
      </w:r>
      <w:r>
        <w:rPr>
          <w:rFonts w:ascii="Times New Roman" w:hAnsi="Times New Roman" w:cs="Times New Roman"/>
          <w:color w:val="000000" w:themeColor="text1"/>
        </w:rPr>
        <w:t>O</w:t>
      </w:r>
      <w:r>
        <w:rPr>
          <w:rFonts w:ascii="Times New Roman" w:hAnsi="Times New Roman" w:cs="Times New Roman"/>
          <w:color w:val="000000" w:themeColor="text1"/>
          <w:vertAlign w:val="subscript"/>
        </w:rPr>
        <w:t>4</w:t>
      </w:r>
      <w:r>
        <w:rPr>
          <w:rFonts w:ascii="Times New Roman" w:hAnsi="Times New Roman" w:cs="Times New Roman"/>
          <w:color w:val="000000" w:themeColor="text1"/>
        </w:rPr>
        <w:t>,</w:t>
      </w:r>
      <w:r>
        <w:fldChar w:fldCharType="begin"/>
      </w:r>
      <w:r w:rsidR="00D81C74">
        <w:instrText xml:space="preserve"> ADDIN ZOTERO_ITEM CSL_CITATION {"citationID":"3sixhVSw","properties":{"formattedCitation":"\\super 34\\nosupersub{}","plainCitation":"34","noteIndex":0},"citationItems":[{"id":224,"uris":["http://zotero.org/users/local/UnIW1pB0/items/3GP8TREH"],"uri":["http://zotero.org/users/local/UnIW1pB0/items/3GP8TREH"],"itemData":{"id":224,"type":"article-journal","title":"Lithium insertion into manganese spinels","container-title":"Materials Research Bulletin","page":"461-472","volume":"18","issue":"4","abstract":"Lithium has been inserted chemically and electrochemically into Mn3O4 and Li[Mn2]O4 at room temperature. From X-ray diffraction, it is shown that the [Mn2]O4 subarray of the A[B2]X4 spinels remains unperturbed and that the electrons compensating for the Li+-ion charge reduce Mn3+ to Mn2+ in Mn3O4 and Mn4+ to Mn3+ in Li[Mn2]O4. In LixMn3O4, the tetragonal distortion due to a cooperative Jahn-Teller distortion by octahedral-site Mn3+ ions decreases with x from ca = 1.157 for x = 0 to ca = 1.054 for x = 1. The system Li1+x[Mn2]O4, is cubic at x = 0 and tetragonal (ca = 1.161) at x = 1.2. Electrochemical data reveal a two-phase region in the Li1+xMn2O4 system and a maximum xm = 1.25. X-ray diffraction confirms the coexistence of a cubic and a tetragonal phase</w:instrText>
      </w:r>
      <w:r w:rsidR="00D81C74">
        <w:rPr>
          <w:rFonts w:hint="eastAsia"/>
        </w:rPr>
        <w:instrText xml:space="preserve"> in the compositional range 0.1 </w:instrText>
      </w:r>
      <w:r w:rsidR="00D81C74">
        <w:rPr>
          <w:rFonts w:hint="eastAsia"/>
        </w:rPr>
        <w:instrText>≤</w:instrText>
      </w:r>
      <w:r w:rsidR="00D81C74">
        <w:rPr>
          <w:rFonts w:hint="eastAsia"/>
        </w:rPr>
        <w:instrText xml:space="preserve"> x </w:instrText>
      </w:r>
      <w:r w:rsidR="00D81C74">
        <w:rPr>
          <w:rFonts w:hint="eastAsia"/>
        </w:rPr>
        <w:instrText>≤</w:instrText>
      </w:r>
      <w:r w:rsidR="00D81C74">
        <w:rPr>
          <w:rFonts w:hint="eastAsia"/>
        </w:rPr>
        <w:instrText xml:space="preserve"> 0.8. The X-ray data also show that the inserted Li+ ions occupy the interstitial octahedral positions of the spinel structure. However, in LixMn3O4 the tetrahedral-site Mn2+ions are displaced from the A positions to t</w:instrText>
      </w:r>
      <w:r w:rsidR="00D81C74">
        <w:instrText xml:space="preserve">he interstitial octahedral positions, as in LixFe3O4, whereas the tetrahedral-site Li+ ions in Li[Mn2]O4 remain on the A sites.","DOI":"10.1016/0025-5408(83)90138-1","ISSN":"0025-5408","journalAbbreviation":"Materials Research Bulletin","author":[{"family":"Thackeray","given":"M.M."},{"family":"David","given":"W.I.F."},{"family":"Bruce","given":"P.G."},{"family":"Goodenough","given":"J.B."}],"issued":{"date-parts":[["1983",4,1]]}}}],"schema":"https://github.com/citation-style-language/schema/raw/master/csl-citation.json"} </w:instrText>
      </w:r>
      <w:r>
        <w:fldChar w:fldCharType="separate"/>
      </w:r>
      <w:bookmarkStart w:id="21" w:name="__Fieldmark__839_468041894"/>
      <w:r w:rsidR="00D81C74" w:rsidRPr="00D81C74">
        <w:rPr>
          <w:rFonts w:ascii="Times New Roman" w:hAnsi="Times New Roman" w:cs="Times New Roman"/>
          <w:color w:val="000000"/>
          <w:vertAlign w:val="superscript"/>
        </w:rPr>
        <w:t>34</w:t>
      </w:r>
      <w:r>
        <w:fldChar w:fldCharType="end"/>
      </w:r>
      <w:bookmarkEnd w:id="21"/>
      <w:r>
        <w:rPr>
          <w:rFonts w:ascii="Times New Roman" w:hAnsi="Times New Roman" w:cs="Times New Roman"/>
          <w:color w:val="000000" w:themeColor="text1"/>
        </w:rPr>
        <w:t xml:space="preserve"> layered LiMnO</w:t>
      </w:r>
      <w:r>
        <w:rPr>
          <w:rFonts w:ascii="Times New Roman" w:hAnsi="Times New Roman" w:cs="Times New Roman"/>
          <w:color w:val="000000" w:themeColor="text1"/>
          <w:vertAlign w:val="subscript"/>
        </w:rPr>
        <w:t>2</w:t>
      </w:r>
      <w:r>
        <w:rPr>
          <w:rFonts w:ascii="Times New Roman" w:hAnsi="Times New Roman" w:cs="Times New Roman"/>
          <w:color w:val="000000" w:themeColor="text1"/>
        </w:rPr>
        <w:t>,</w:t>
      </w:r>
      <w:r>
        <w:fldChar w:fldCharType="begin"/>
      </w:r>
      <w:r w:rsidR="00D81C74">
        <w:instrText xml:space="preserve"> ADDIN ZOTERO_ITEM CSL_CITATION {"citationID":"2795ujoR","properties":{"formattedCitation":"\\super 35\\nosupersub{}","plainCitation":"35","noteIndex":0},"citationItems":[{"id":223,"uris":["http://zotero.org/users/local/UnIW1pB0/items/ZS3DDKR4"],"uri":["http://zotero.org/users/local/UnIW1pB0/items/ZS3DDKR4"],"itemData":{"id":223,"type":"article-journal","title":"Synthesis of layered LiMnO2 as an electrode for rechargeable lithium batteries","container-title":"Nature","page":"499-500","volume":"381","issue":"6582","abstract":"RECHARGEABLE lithium batteries can store more than twice as much energy per unit weight and volume as other rechargeable batteries1,2. They contain lithium ions in an electrolyte, which shuttle back and forth between, and are intercalated by, the electrode materials. The first commercially successful rechargeable lithium battery3, introduced by the Sony Corporation in 1990, consists of a carbon-based negative electrode, layered LiCoO2 as the positive electrode, and a non-aqueous liquid electrolyte. The high cost and toxicity of cobalt compounds, however, has prompted a search for alternative materials that intercalate lithium ions. One such is LiMn2O4, which has been much studied as a positive electrode material4–7; the cost of manganese is less than 1% of that of cobalt, and it is less toxic. Here we report the synthesis and electrochemical performance of a new material, layered LiMnO2, which is structurally analogous to LiCoO2. The charge capacity of LiMnO2 (</w:instrText>
      </w:r>
      <w:r w:rsidR="00D81C74">
        <w:rPr>
          <w:rFonts w:ascii="Cambria Math" w:hAnsi="Cambria Math" w:cs="Cambria Math"/>
        </w:rPr>
        <w:instrText>∼</w:instrText>
      </w:r>
      <w:r w:rsidR="00D81C74">
        <w:instrText xml:space="preserve">270mAhg–1) compares well with that of both LiCoO2 and LiMn2O4, and preliminary results indicate good stability over repeated charge–discharge cycles.","DOI":"10.1038/381499a0","ISSN":"1476-4687","journalAbbreviation":"Nature","author":[{"family":"Armstrong","given":"A. Robert"},{"family":"Bruce","given":"Peter G."}],"issued":{"date-parts":[["1996",6,1]]}}}],"schema":"https://github.com/citation-style-language/schema/raw/master/csl-citation.json"} </w:instrText>
      </w:r>
      <w:r>
        <w:fldChar w:fldCharType="separate"/>
      </w:r>
      <w:bookmarkStart w:id="22" w:name="__Fieldmark__846_468041894"/>
      <w:r w:rsidR="00D81C74" w:rsidRPr="00D81C74">
        <w:rPr>
          <w:rFonts w:ascii="Times New Roman" w:hAnsi="Times New Roman" w:cs="Times New Roman"/>
          <w:color w:val="000000"/>
          <w:vertAlign w:val="superscript"/>
        </w:rPr>
        <w:t>35</w:t>
      </w:r>
      <w:r>
        <w:fldChar w:fldCharType="end"/>
      </w:r>
      <w:bookmarkEnd w:id="22"/>
      <w:r>
        <w:rPr>
          <w:rFonts w:ascii="Times New Roman" w:hAnsi="Times New Roman" w:cs="Times New Roman"/>
          <w:color w:val="000000" w:themeColor="text1"/>
        </w:rPr>
        <w:t xml:space="preserve"> nickel-manganese-cobalt (NMC) cathodes,</w:t>
      </w:r>
      <w:r>
        <w:fldChar w:fldCharType="begin"/>
      </w:r>
      <w:r w:rsidR="00D81C74">
        <w:instrText xml:space="preserve"> ADDIN ZOTERO_ITEM CSL_CITATION {"citationID":"dzmbsbjK","properties":{"formattedCitation":"\\super 36\\nosupersub{}","plainCitation":"36","noteIndex":0},"citationItems":[{"id":225,"uris":["http://zotero.org/users/local/UnIW1pB0/items/NSVI54ZG"],"uri":["http://zotero.org/users/local/UnIW1pB0/items/NSVI54ZG"],"itemData":{"id":225,"type":"article-journal","title":"Li2MnO3-stabilized LiMO2 (M = Mn, Ni, Co) electrodes for lithium-ion batteries","container-title":"Journal of Materials Chemistry","page":"3112-3125","volume":"17","issue":"30","abstract":"A strategy used to design high capacity (&gt;200 mAh g), LiMnO-stabilized LiMO (M = Mn, Ni, Co) electrodes for lithium-ion batteries is discussed. The advantages of the LiMnO component and its influence on the structural stability and electrochemical properties of these layered LiMnO·(1 − )LiMO electrodes are highlighted. Structural, chemical, electrochemical and thermal properties of LiMnO·(1 − )LiMO electrodes are considered in the context of other commercially exploited electrode systems, such as LiCoO, LiNiCoAlO, LiMnO and LiFePO.","DOI":"10.1039/B702425H","ISSN":"0959-9428","journalAbbreviation":"J. Mater. Chem.","author":[{"family":"Thackeray","given":"Michael M."},{"family":"Kang","given":"Sun-Ho"},{"family":"Johnson","given":"Christopher S."},{"family":"Vaughey","given":"John T."},{"family":"Benedek","given":"Roy"},{"family":"Hackney","given":"S. A."}],"issued":{"date-parts":[["2007"]]}}}],"schema":"https://github.com/citation-style-language/schema/raw/master/csl-citation.json"} </w:instrText>
      </w:r>
      <w:r>
        <w:fldChar w:fldCharType="separate"/>
      </w:r>
      <w:bookmarkStart w:id="23" w:name="__Fieldmark__851_468041894"/>
      <w:r w:rsidR="00D81C74" w:rsidRPr="00D81C74">
        <w:rPr>
          <w:rFonts w:ascii="Times New Roman" w:hAnsi="Times New Roman" w:cs="Times New Roman"/>
          <w:color w:val="000000"/>
          <w:vertAlign w:val="superscript"/>
        </w:rPr>
        <w:t>36</w:t>
      </w:r>
      <w:r>
        <w:fldChar w:fldCharType="end"/>
      </w:r>
      <w:bookmarkEnd w:id="23"/>
      <w:r>
        <w:rPr>
          <w:rFonts w:ascii="Times New Roman" w:hAnsi="Times New Roman" w:cs="Times New Roman"/>
          <w:color w:val="000000" w:themeColor="text1"/>
        </w:rPr>
        <w:t xml:space="preserve"> and disordered rock salt cathodes.</w:t>
      </w:r>
      <w:r>
        <w:fldChar w:fldCharType="begin"/>
      </w:r>
      <w:r w:rsidR="00D81C74">
        <w:instrText xml:space="preserve"> ADDIN ZOTERO_ITEM CSL_CITATION {"citationID":"MFdCR5yU","properties":{"formattedCitation":"\\super 37\\nosupersub{}","plainCitation":"37","noteIndex":0},"citationItems":[{"id":226,"uris":["http://zotero.org/users/local/UnIW1pB0/items/FAJANFS7"],"uri":["http://zotero.org/users/local/UnIW1pB0/items/FAJANFS7"],"itemData":{"id":226,"type":"article-journal","title":"Reversible Mn2+/Mn4+ double redox in lithium-excess cathode materials","container-title":"Nature","page":"185-190","volume":"556","issue":"7700","abstract":"There is an urgent need for low-cost, resource-friendly, high-energy-density cathode materials for lithium-ion batteries to satisfy the rapidly increasing need for electrical energy storage. To replace the nickel and cobalt, which are limited resources and are associated with safety problems, in current lithium-ion batteries, high-capacity cathodes based on manganese would be particularly desirable owing to the low cost and high abundance of the metal, and the intrinsic stability of the Mn4+ oxidation state. Here we present a strategy of combining high-valent cations and the partial substitution of fluorine for oxygen in a disordered-rocksalt structure to incorporate the reversible Mn2+/Mn4+ double redox couple into lithium-excess cathode materials. The lithium-rich cathodes thus produced have high capacity and energy density. The use of the Mn2+/Mn4+ redox reduces oxygen redox activity, thereby stabilizing the materials, and opens up new opportunities for the design of high-performance manganese-rich cathodes for advanced lithium-ion batteries.","DOI":"10.1038/s41586-018-0015-4","ISSN":"1476-4687","journalAbbreviation":"Nature","author":[{"family":"Lee","given":"Jinhyuk"},{"family":"Kitchaev","given":"Daniil A."},{"family":"Kwon","given":"Deok-Hwang"},{"family":"Lee","given":"Chang-Wook"},{"family":"Papp","given":"Joseph K."},{"family":"Liu","given":"Yi-Sheng"},{"family":"Lun","given":"Zhengyan"},{"family":"Clément","given":"Raphaële J."},{"family":"Shi","given":"Tan"},{"family":"McCloskey","given":"Bryan D."},{"family":"Guo","given":"Jinghua"},{"family":"Balasubramanian","given":"Mahalingam"},{"family":"Ceder","given":"Gerbrand"}],"issued":{"date-parts":[["2018",4,1]]}}}],"schema":"https://github.com/citation-style-language/schema/raw/master/csl-citation.json"} </w:instrText>
      </w:r>
      <w:r>
        <w:fldChar w:fldCharType="separate"/>
      </w:r>
      <w:bookmarkStart w:id="24" w:name="__Fieldmark__856_468041894"/>
      <w:r w:rsidR="00D81C74" w:rsidRPr="00D81C74">
        <w:rPr>
          <w:rFonts w:ascii="Times New Roman" w:hAnsi="Times New Roman" w:cs="Times New Roman"/>
          <w:color w:val="000000"/>
          <w:vertAlign w:val="superscript"/>
        </w:rPr>
        <w:t>37</w:t>
      </w:r>
      <w:r>
        <w:fldChar w:fldCharType="end"/>
      </w:r>
      <w:bookmarkEnd w:id="24"/>
      <w:r>
        <w:rPr>
          <w:rFonts w:ascii="Times New Roman" w:hAnsi="Times New Roman" w:cs="Times New Roman"/>
          <w:color w:val="000000" w:themeColor="text1"/>
        </w:rPr>
        <w:t xml:space="preserve"> </w:t>
      </w:r>
      <w:r>
        <w:rPr>
          <w:rFonts w:ascii="Times New Roman" w:hAnsi="Times New Roman" w:cs="Times New Roman"/>
          <w:color w:val="000000"/>
        </w:rPr>
        <w:t xml:space="preserve">For this work, the quaternary space, Li-Mn-TM-O with TM ∈{Ti, V, Cr, Fe, Co, </w:t>
      </w:r>
      <w:r>
        <w:rPr>
          <w:rFonts w:ascii="Times New Roman" w:hAnsi="Times New Roman" w:cs="Times New Roman"/>
          <w:color w:val="000000"/>
        </w:rPr>
        <w:lastRenderedPageBreak/>
        <w:t>Ni, Cu}, is an attractive space to test the efficacy of these models, as it contains only 9 stable compounds and 258 more that are unstable</w:t>
      </w:r>
      <w:r w:rsidR="00F47986">
        <w:rPr>
          <w:rFonts w:ascii="Times New Roman" w:hAnsi="Times New Roman" w:cs="Times New Roman"/>
          <w:color w:val="000000"/>
        </w:rPr>
        <w:t xml:space="preserve"> in</w:t>
      </w:r>
      <w:r>
        <w:rPr>
          <w:rFonts w:ascii="Times New Roman" w:hAnsi="Times New Roman" w:cs="Times New Roman"/>
          <w:color w:val="000000"/>
        </w:rPr>
        <w:t xml:space="preserve"> MP.</w:t>
      </w:r>
      <w:r>
        <w:t xml:space="preserve"> </w:t>
      </w:r>
      <w:r>
        <w:rPr>
          <w:rFonts w:ascii="Times New Roman" w:hAnsi="Times New Roman" w:cs="Times New Roman"/>
          <w:color w:val="000000"/>
        </w:rPr>
        <w:t xml:space="preserve">We tested the potential for ML models to discover these stable compounds by excluding all 267 quaternary Li-Mn-TM-O compounds from the MP dataset and repeating the training of each model on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color w:val="000000"/>
        </w:rPr>
        <w:t xml:space="preserve"> with the remaining 84,747 compounds. We then applied each trained model to predict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color w:val="000000"/>
        </w:rPr>
        <w:t>for the excluded Li-Mn-TM-O compounds and assessed their stability.</w:t>
      </w:r>
    </w:p>
    <w:p w14:paraId="36AC02AD" w14:textId="608AF9D1" w:rsidR="00C96117" w:rsidRDefault="003A59B5">
      <w:pPr>
        <w:pStyle w:val="Standard"/>
        <w:spacing w:line="360" w:lineRule="auto"/>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rPr>
        <w:t>All the models have a higher accuracy predicting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this subset of materials </w:t>
      </w:r>
      <w:r w:rsidR="007A6D42">
        <w:rPr>
          <w:rFonts w:ascii="Times New Roman" w:hAnsi="Times New Roman" w:cs="Times New Roman"/>
        </w:rPr>
        <w:t>(</w:t>
      </w:r>
      <w:r w:rsidR="007A6D42">
        <w:rPr>
          <w:rFonts w:ascii="Times New Roman" w:hAnsi="Times New Roman" w:cs="Times New Roman"/>
          <w:b/>
          <w:bCs/>
        </w:rPr>
        <w:t>Figure S2</w:t>
      </w:r>
      <w:r w:rsidR="007A6D42">
        <w:rPr>
          <w:rFonts w:ascii="Times New Roman" w:hAnsi="Times New Roman" w:cs="Times New Roman"/>
        </w:rPr>
        <w:t>)</w:t>
      </w:r>
      <w:r w:rsidR="007A6D42">
        <w:rPr>
          <w:rFonts w:ascii="Times New Roman" w:hAnsi="Times New Roman" w:cs="Times New Roman"/>
          <w:b/>
          <w:bCs/>
        </w:rPr>
        <w:t xml:space="preserve"> </w:t>
      </w:r>
      <w:r>
        <w:rPr>
          <w:rFonts w:ascii="Times New Roman" w:hAnsi="Times New Roman" w:cs="Times New Roman"/>
        </w:rPr>
        <w:t>than for the entire dataset (</w:t>
      </w:r>
      <w:r>
        <w:rPr>
          <w:rFonts w:ascii="Times New Roman" w:hAnsi="Times New Roman" w:cs="Times New Roman"/>
          <w:b/>
          <w:bCs/>
        </w:rPr>
        <w:t>Figure 3</w:t>
      </w:r>
      <w:r>
        <w:rPr>
          <w:rFonts w:ascii="Times New Roman" w:hAnsi="Times New Roman" w:cs="Times New Roman"/>
        </w:rPr>
        <w:t>). The improved prediction of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is likely because the compounds in this subset have strongly negative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color w:val="000000"/>
        </w:rPr>
        <w:t xml:space="preserve"> and are well-represented by the thousands of transition metal and lithium-containing oxides that comprise the MP dataset.</w:t>
      </w:r>
      <w:r w:rsidR="007A6D42">
        <w:rPr>
          <w:rFonts w:ascii="Times New Roman" w:hAnsi="Times New Roman" w:cs="Times New Roman"/>
          <w:color w:val="000000"/>
        </w:rPr>
        <w:t xml:space="preserve"> Despite this improved accuracy on </w:t>
      </w:r>
      <w:r w:rsidR="007A6D42">
        <w:rPr>
          <w:rFonts w:ascii="Times New Roman" w:hAnsi="Times New Roman" w:cs="Times New Roman"/>
        </w:rPr>
        <w:t>Δ</w:t>
      </w:r>
      <w:r w:rsidR="007A6D42">
        <w:rPr>
          <w:rFonts w:ascii="Times New Roman" w:hAnsi="Times New Roman" w:cs="Times New Roman"/>
          <w:i/>
          <w:iCs/>
        </w:rPr>
        <w:t>H</w:t>
      </w:r>
      <w:r w:rsidR="007A6D42">
        <w:rPr>
          <w:rFonts w:ascii="Times New Roman" w:hAnsi="Times New Roman" w:cs="Times New Roman"/>
          <w:vertAlign w:val="subscript"/>
        </w:rPr>
        <w:t>f</w:t>
      </w:r>
      <w:r>
        <w:rPr>
          <w:rFonts w:ascii="Times New Roman" w:hAnsi="Times New Roman" w:cs="Times New Roman"/>
          <w:color w:val="000000"/>
        </w:rPr>
        <w:t>, the models all have alarmingly poor performance in predicting Δ</w:t>
      </w:r>
      <w:r>
        <w:rPr>
          <w:rFonts w:ascii="Times New Roman" w:hAnsi="Times New Roman" w:cs="Times New Roman"/>
          <w:i/>
          <w:iCs/>
          <w:color w:val="000000"/>
        </w:rPr>
        <w:t>H</w:t>
      </w:r>
      <w:r>
        <w:rPr>
          <w:rFonts w:ascii="Times New Roman" w:hAnsi="Times New Roman" w:cs="Times New Roman"/>
          <w:color w:val="000000"/>
          <w:vertAlign w:val="subscript"/>
        </w:rPr>
        <w:t>d</w:t>
      </w:r>
      <w:r w:rsidR="007A6D42">
        <w:rPr>
          <w:rFonts w:ascii="Times New Roman" w:hAnsi="Times New Roman" w:cs="Times New Roman"/>
          <w:color w:val="000000"/>
        </w:rPr>
        <w:t>.</w:t>
      </w:r>
      <w:r w:rsidR="007A6D42">
        <w:rPr>
          <w:rFonts w:ascii="Times New Roman" w:hAnsi="Times New Roman" w:cs="Times New Roman"/>
        </w:rPr>
        <w:t xml:space="preserve"> </w:t>
      </w:r>
      <w:r w:rsidR="00AE0C92">
        <w:rPr>
          <w:rFonts w:ascii="Times New Roman" w:hAnsi="Times New Roman" w:cs="Times New Roman"/>
        </w:rPr>
        <w:t>I</w:t>
      </w:r>
      <w:r>
        <w:rPr>
          <w:rFonts w:ascii="Times New Roman" w:hAnsi="Times New Roman" w:cs="Times New Roman"/>
        </w:rPr>
        <w:t xml:space="preserve">n </w:t>
      </w:r>
      <w:r>
        <w:rPr>
          <w:rFonts w:ascii="Times New Roman" w:hAnsi="Times New Roman" w:cs="Times New Roman"/>
          <w:b/>
          <w:bCs/>
        </w:rPr>
        <w:t>Figure 5</w:t>
      </w:r>
      <w:r>
        <w:rPr>
          <w:rFonts w:ascii="Times New Roman" w:hAnsi="Times New Roman" w:cs="Times New Roman"/>
        </w:rPr>
        <w:t xml:space="preserve">, we show that none of the models are able to correctly detect more than </w:t>
      </w:r>
      <w:r w:rsidR="007A6D42">
        <w:rPr>
          <w:rFonts w:ascii="Times New Roman" w:hAnsi="Times New Roman" w:cs="Times New Roman"/>
        </w:rPr>
        <w:t>three of the nine</w:t>
      </w:r>
      <w:r>
        <w:rPr>
          <w:rFonts w:ascii="Times New Roman" w:hAnsi="Times New Roman" w:cs="Times New Roman"/>
        </w:rPr>
        <w:t xml:space="preserve"> stable compounds, and even for the most successful model </w:t>
      </w:r>
      <w:r w:rsidR="00AE0C92">
        <w:rPr>
          <w:rFonts w:ascii="Times New Roman" w:hAnsi="Times New Roman" w:cs="Times New Roman"/>
        </w:rPr>
        <w:t xml:space="preserve">by this metric </w:t>
      </w:r>
      <w:r>
        <w:rPr>
          <w:rFonts w:ascii="Times New Roman" w:hAnsi="Times New Roman" w:cs="Times New Roman"/>
        </w:rPr>
        <w:t xml:space="preserve">(auto), the three true positives come with 24 false positives. It is noteworthy that in this experiment, the models are given a large head-start towards making these predictions because the composition space under investigation is restricted to those </w:t>
      </w:r>
      <w:r w:rsidR="007A6D42">
        <w:rPr>
          <w:rFonts w:ascii="Times New Roman" w:hAnsi="Times New Roman" w:cs="Times New Roman"/>
        </w:rPr>
        <w:t>compounds</w:t>
      </w:r>
      <w:r>
        <w:rPr>
          <w:rFonts w:ascii="Times New Roman" w:hAnsi="Times New Roman" w:cs="Times New Roman"/>
        </w:rPr>
        <w:t xml:space="preserve"> that have DFT calculations tabulated in MP, which is biased towards stability</w:t>
      </w:r>
      <w:r w:rsidR="00AE0C92">
        <w:rPr>
          <w:rFonts w:ascii="Times New Roman" w:hAnsi="Times New Roman" w:cs="Times New Roman"/>
        </w:rPr>
        <w:t>.</w:t>
      </w:r>
    </w:p>
    <w:p w14:paraId="4E9EAEB3" w14:textId="47CB570E" w:rsidR="00AE0C92" w:rsidRPr="00AE0C92" w:rsidRDefault="00AE0C92" w:rsidP="00AE0C92">
      <w:pPr>
        <w:pStyle w:val="Standard"/>
        <w:spacing w:line="360" w:lineRule="auto"/>
        <w:ind w:firstLine="720"/>
        <w:jc w:val="both"/>
        <w:rPr>
          <w:rFonts w:ascii="Times New Roman" w:hAnsi="Times New Roman" w:cs="Times New Roman"/>
        </w:rPr>
      </w:pPr>
      <w:r>
        <w:rPr>
          <w:rFonts w:ascii="Times New Roman" w:hAnsi="Times New Roman" w:cs="Times New Roman"/>
        </w:rPr>
        <w:t xml:space="preserve">To account for the MP stability bias and more closely simulate a real materials discovery problem, we assessed the potential for these models to identify the stable MP compounds when considering a much larger composition space. Using the approach defined in Ref. </w:t>
      </w:r>
      <w:r>
        <w:fldChar w:fldCharType="begin"/>
      </w:r>
      <w:r>
        <w:instrText>ADDIN ZOTERO_ITEM CSL_CITATION {"citationID":"dnrq7eBk","properties":{"formattedCitation":"\\super 13\\nosupersub{}","plainCitation":"13","noteIndex":0},"citationItems":[{"id":235,"uris":["http://zotero.org/users/local/UnIW1pB0/items/ANWEN3AV"],"uri":["http://zotero.org/users/local/UnIW1pB0/items/ANWEN3AV"],"itemData":{"id":235,"type":"article-journal","title":"Computational Screening of All Stoichiometric Inorganic Materials","container-title":"Chem","page":"617-627","volume":"1","issue":"4","DOI":"10.1016/j.chempr.2016.09.010","ISSN":"2451-9294","author":[{"family":"Davies","given":"Daniel W."},{"family":"Butler","given":"Keith T."},{"family":"Jackson","given":"Adam J."},{"family":"Morris","given":"Andrew"},{"family":"Frost","given":"Jarvist M."},{"family":"Skelton","given":"Jonathan M."},{"family":"Walsh","given":"Aron"}],"issued":{"date-parts":[["2016",10,13]]}}}],"schema":"https://github.com/citation-style-language/schema/raw/master/csl-citation.json"}</w:instrText>
      </w:r>
      <w:r>
        <w:fldChar w:fldCharType="separate"/>
      </w:r>
      <w:bookmarkStart w:id="25" w:name="__Fieldmark__1009_468041894"/>
      <w:r>
        <w:rPr>
          <w:rFonts w:ascii="Times New Roman" w:hAnsi="Times New Roman" w:cs="Times New Roman"/>
          <w:color w:val="000080"/>
          <w:vertAlign w:val="superscript"/>
        </w:rPr>
        <w:t>13</w:t>
      </w:r>
      <w:r>
        <w:fldChar w:fldCharType="end"/>
      </w:r>
      <w:bookmarkEnd w:id="25"/>
      <w:r>
        <w:rPr>
          <w:rFonts w:ascii="Times New Roman" w:hAnsi="Times New Roman" w:cs="Times New Roman"/>
        </w:rPr>
        <w:t>, we produced 13,392 additional quaternary compounds in these seven Li-Mn-TM-O chemical spaces that obey simple electronegativity- and valence-based rules. For this expanded space of quaternary compounds, we used each compositional model (trained on all of MP minus the 267 Li-Mn-TM-O compounds) to predict 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and assessed their stability (</w:t>
      </w:r>
      <w:r>
        <w:rPr>
          <w:rFonts w:ascii="Times New Roman" w:hAnsi="Times New Roman" w:cs="Times New Roman"/>
          <w:b/>
          <w:bCs/>
        </w:rPr>
        <w:t>Table 1</w:t>
      </w:r>
      <w:r>
        <w:rPr>
          <w:rFonts w:ascii="Times New Roman" w:hAnsi="Times New Roman" w:cs="Times New Roman"/>
        </w:rPr>
        <w:t xml:space="preserve">). The compositional models each predict ~4-5% of these compounds to be stable, and all of the models fail to accurately predict the stability of more than one of the nine stable compounds in MP. 167 compounds are predicted to be stable by all four models and 1,325 unique compounds are predicted to be stable by at least one model. While it is likely that the space of stable quaternary compounds in the Li-Mn-TM-O space has not yet been fully explored in MP (or by extension, the ICSD), it is highly unlikely that the number of new stable materials in this well-studied space is orders of magnitude larger than the number of known stable materials. The false positive rates on the entire MP dataset shown in </w:t>
      </w:r>
      <w:r>
        <w:rPr>
          <w:rFonts w:ascii="Times New Roman" w:hAnsi="Times New Roman" w:cs="Times New Roman"/>
          <w:b/>
          <w:bCs/>
        </w:rPr>
        <w:lastRenderedPageBreak/>
        <w:t>Figure 4</w:t>
      </w:r>
      <w:r>
        <w:rPr>
          <w:rFonts w:ascii="Times New Roman" w:hAnsi="Times New Roman" w:cs="Times New Roman"/>
        </w:rPr>
        <w:t xml:space="preserve"> suggest ~25-38% of these predicted stable compounds are not actually stable, and this rate is likely underestimated, as discussed previously. The magnitude of compounds predicted to be stable and the reported false positive rates pose a serious challenge to materials discovery because confirming the predicted stability requires the application of crystal structure prediction algorithms, which rely on many DFT calculations per compound of interest.</w:t>
      </w:r>
      <w:r>
        <w:fldChar w:fldCharType="begin"/>
      </w:r>
      <w:r>
        <w:instrText xml:space="preserve"> ADDIN ZOTERO_ITEM CSL_CITATION {"citationID":"l8j067PC","properties":{"formattedCitation":"\\super 38\\nosupersub{}","plainCitation":"38","noteIndex":0},"citationItems":[{"id":238,"uris":["http://zotero.org/users/local/UnIW1pB0/items/7IPJMMBR"],"uri":["http://zotero.org/users/local/UnIW1pB0/items/7IPJMMBR"],"itemData":{"id":238,"type":"article-journal","title":"Structure prediction drives materials discovery","container-title":"Nature Reviews Materials","page":"331-348","volume":"4","issue":"5","abstract":"Progress in the discovery of new materials has been accelerated by the development of reliable quantum-mechanical approaches to crystal structure prediction. The properties of a material depend very sensitively on its structure; therefore, structure prediction is the key to computational materials discovery. Structure prediction was considered to be a formidable problem, but the development of new computational tools has allowed the structures of many new and increasingly complex materials to be anticipated. These widely applicable methods, based on global optimization and relying on little or no empirical knowledge, have been used to study crystalline structures, point defects, surfaces and interfaces. In this Review, we discuss structure prediction methods, examining their potential for the study of different materials systems, and present examples of computationally driven discoveries of new materials — including superhard materials, superconductors and organic materials — that will enable new technologies. Advances in first-principle structure predictions also lead to a better understanding of physical and chemical phenomena in materials.","DOI":"10.1038/s41578-019-0101-8","ISSN":"2058-8437","journalAbbreviation":"Nature Reviews Materials","author":[{"family":"Oganov","given":"Artem R."},{"family":"Pickard","given":"Chris J."},{"family":"Zhu","given":"Qiang"},{"family":"Needs","given":"Richard J."}],"issued":{"date-parts":[["2019",5,1]]}}}],"schema":"https://github.com/citation-style-language/schema/raw/master/csl-citation.json"} </w:instrText>
      </w:r>
      <w:r>
        <w:fldChar w:fldCharType="separate"/>
      </w:r>
      <w:r w:rsidRPr="00D81C74">
        <w:rPr>
          <w:rFonts w:ascii="Times New Roman" w:hAnsi="Times New Roman" w:cs="Times New Roman"/>
          <w:color w:val="000080"/>
          <w:vertAlign w:val="superscript"/>
        </w:rPr>
        <w:t>38</w:t>
      </w:r>
      <w:r>
        <w:fldChar w:fldCharType="end"/>
      </w:r>
    </w:p>
    <w:p w14:paraId="7FEF693B" w14:textId="77777777" w:rsidR="00C96117" w:rsidRDefault="003A59B5">
      <w:pPr>
        <w:pStyle w:val="Standard"/>
        <w:spacing w:line="360" w:lineRule="auto"/>
        <w:jc w:val="center"/>
      </w:pPr>
      <w:r>
        <w:rPr>
          <w:noProof/>
        </w:rPr>
        <w:drawing>
          <wp:inline distT="0" distB="0" distL="0" distR="0" wp14:anchorId="5277F3D3" wp14:editId="42868546">
            <wp:extent cx="4114721" cy="4445000"/>
            <wp:effectExtent l="0" t="0" r="63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14721" cy="4445000"/>
                    </a:xfrm>
                    <a:prstGeom prst="rect">
                      <a:avLst/>
                    </a:prstGeom>
                  </pic:spPr>
                </pic:pic>
              </a:graphicData>
            </a:graphic>
          </wp:inline>
        </w:drawing>
      </w:r>
    </w:p>
    <w:p w14:paraId="314245C8" w14:textId="20BD1868" w:rsidR="00C96117" w:rsidRDefault="003A59B5" w:rsidP="00AE0C92">
      <w:pPr>
        <w:pStyle w:val="Standard"/>
        <w:jc w:val="both"/>
        <w:rPr>
          <w:rFonts w:ascii="Times New Roman" w:hAnsi="Times New Roman" w:cs="Times New Roman"/>
          <w:color w:val="000000"/>
          <w:sz w:val="22"/>
          <w:szCs w:val="22"/>
        </w:rPr>
      </w:pPr>
      <w:r>
        <w:rPr>
          <w:rFonts w:ascii="Times New Roman" w:hAnsi="Times New Roman" w:cs="Times New Roman"/>
          <w:b/>
          <w:bCs/>
          <w:sz w:val="22"/>
          <w:szCs w:val="22"/>
        </w:rPr>
        <w:t xml:space="preserve">Figure 5. </w:t>
      </w:r>
      <w:r>
        <w:rPr>
          <w:rFonts w:ascii="Times New Roman" w:hAnsi="Times New Roman" w:cs="Times New Roman"/>
          <w:sz w:val="22"/>
          <w:szCs w:val="22"/>
        </w:rPr>
        <w:t xml:space="preserve">Re-training each model on all of MP minus 267 quaternary compounds in the Li-Mn-TM-O chemical space (TM </w:t>
      </w:r>
      <w:r>
        <w:rPr>
          <w:rFonts w:ascii="Cambria Math" w:hAnsi="Cambria Math" w:cs="Cambria Math"/>
          <w:color w:val="000000"/>
          <w:sz w:val="22"/>
          <w:szCs w:val="22"/>
        </w:rPr>
        <w:t>∈</w:t>
      </w:r>
      <w:r>
        <w:rPr>
          <w:rFonts w:ascii="Times New Roman" w:hAnsi="Times New Roman" w:cs="Times New Roman"/>
          <w:sz w:val="21"/>
          <w:szCs w:val="21"/>
        </w:rPr>
        <w:t xml:space="preserve"> </w:t>
      </w:r>
      <w:r>
        <w:rPr>
          <w:rFonts w:ascii="Times New Roman" w:hAnsi="Times New Roman" w:cs="Times New Roman"/>
          <w:sz w:val="22"/>
          <w:szCs w:val="22"/>
        </w:rPr>
        <w:t>{</w:t>
      </w:r>
      <w:r>
        <w:rPr>
          <w:rFonts w:ascii="Times New Roman" w:hAnsi="Times New Roman" w:cs="Times New Roman"/>
          <w:color w:val="000000"/>
          <w:sz w:val="22"/>
          <w:szCs w:val="22"/>
        </w:rPr>
        <w:t>Ti, V, Cr, Fe, Co, Ni, Cu}) and obtaining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d</w:t>
      </w:r>
      <w:r>
        <w:rPr>
          <w:rFonts w:ascii="Times New Roman" w:hAnsi="Times New Roman" w:cs="Times New Roman"/>
          <w:color w:val="000000"/>
          <w:sz w:val="22"/>
          <w:szCs w:val="22"/>
        </w:rPr>
        <w:t xml:space="preserve"> using the predicted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f</w:t>
      </w:r>
      <w:r>
        <w:rPr>
          <w:rFonts w:ascii="Times New Roman" w:hAnsi="Times New Roman" w:cs="Times New Roman"/>
          <w:color w:val="000000"/>
          <w:sz w:val="22"/>
          <w:szCs w:val="22"/>
        </w:rPr>
        <w:t xml:space="preserve"> for each of the excluded compounds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d,pred</w:t>
      </w:r>
      <w:r>
        <w:rPr>
          <w:rFonts w:ascii="Times New Roman" w:hAnsi="Times New Roman" w:cs="Times New Roman"/>
          <w:color w:val="000000"/>
          <w:sz w:val="22"/>
          <w:szCs w:val="22"/>
        </w:rPr>
        <w:t>) and comparing to stabilities available in MP,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d,</w:t>
      </w:r>
      <w:r w:rsidR="007A6D42">
        <w:rPr>
          <w:rFonts w:ascii="Times New Roman" w:hAnsi="Times New Roman" w:cs="Times New Roman"/>
          <w:color w:val="000000"/>
          <w:sz w:val="22"/>
          <w:szCs w:val="22"/>
          <w:vertAlign w:val="subscript"/>
        </w:rPr>
        <w:t>MP</w:t>
      </w:r>
      <w:r>
        <w:rPr>
          <w:rFonts w:ascii="Times New Roman" w:hAnsi="Times New Roman" w:cs="Times New Roman"/>
          <w:color w:val="000000"/>
          <w:sz w:val="22"/>
          <w:szCs w:val="22"/>
        </w:rPr>
        <w:t>.</w:t>
      </w:r>
      <w:r w:rsidR="007A6D42">
        <w:rPr>
          <w:rFonts w:ascii="Times New Roman" w:hAnsi="Times New Roman" w:cs="Times New Roman"/>
          <w:color w:val="000000"/>
          <w:sz w:val="22"/>
          <w:szCs w:val="22"/>
        </w:rPr>
        <w:t xml:space="preserve"> FP = false positive, TP = true positive, TN = true negative, FN = false negative.</w:t>
      </w:r>
    </w:p>
    <w:p w14:paraId="115E0FA5" w14:textId="77777777" w:rsidR="00AE0C92" w:rsidRPr="00AE0C92" w:rsidRDefault="00AE0C92" w:rsidP="00AE0C92">
      <w:pPr>
        <w:pStyle w:val="Standard"/>
        <w:jc w:val="both"/>
        <w:rPr>
          <w:rFonts w:ascii="Times New Roman" w:hAnsi="Times New Roman" w:cs="Times New Roman"/>
          <w:color w:val="000000"/>
          <w:sz w:val="22"/>
          <w:szCs w:val="22"/>
        </w:rPr>
      </w:pPr>
    </w:p>
    <w:p w14:paraId="0FF37D2F" w14:textId="77777777" w:rsidR="00AE0C92" w:rsidRDefault="00AE0C92">
      <w:pPr>
        <w:pStyle w:val="Standard"/>
        <w:jc w:val="both"/>
        <w:rPr>
          <w:rFonts w:ascii="Times New Roman" w:hAnsi="Times New Roman" w:cs="Times New Roman"/>
          <w:b/>
          <w:bCs/>
          <w:sz w:val="22"/>
          <w:szCs w:val="22"/>
        </w:rPr>
      </w:pPr>
    </w:p>
    <w:p w14:paraId="6E25C4CE" w14:textId="77777777" w:rsidR="00AE0C92" w:rsidRDefault="00AE0C92">
      <w:pPr>
        <w:pStyle w:val="Standard"/>
        <w:jc w:val="both"/>
        <w:rPr>
          <w:rFonts w:ascii="Times New Roman" w:hAnsi="Times New Roman" w:cs="Times New Roman"/>
          <w:b/>
          <w:bCs/>
          <w:sz w:val="22"/>
          <w:szCs w:val="22"/>
        </w:rPr>
      </w:pPr>
    </w:p>
    <w:p w14:paraId="118DF0C5" w14:textId="77777777" w:rsidR="00AE0C92" w:rsidRDefault="00AE0C92">
      <w:pPr>
        <w:pStyle w:val="Standard"/>
        <w:jc w:val="both"/>
        <w:rPr>
          <w:rFonts w:ascii="Times New Roman" w:hAnsi="Times New Roman" w:cs="Times New Roman"/>
          <w:b/>
          <w:bCs/>
          <w:sz w:val="22"/>
          <w:szCs w:val="22"/>
        </w:rPr>
      </w:pPr>
    </w:p>
    <w:p w14:paraId="60853C47" w14:textId="77777777" w:rsidR="00AE0C92" w:rsidRDefault="00AE0C92">
      <w:pPr>
        <w:pStyle w:val="Standard"/>
        <w:jc w:val="both"/>
        <w:rPr>
          <w:rFonts w:ascii="Times New Roman" w:hAnsi="Times New Roman" w:cs="Times New Roman"/>
          <w:b/>
          <w:bCs/>
          <w:sz w:val="22"/>
          <w:szCs w:val="22"/>
        </w:rPr>
      </w:pPr>
    </w:p>
    <w:p w14:paraId="5CF7D16C" w14:textId="77777777" w:rsidR="00AE0C92" w:rsidRDefault="00AE0C92">
      <w:pPr>
        <w:pStyle w:val="Standard"/>
        <w:jc w:val="both"/>
        <w:rPr>
          <w:rFonts w:ascii="Times New Roman" w:hAnsi="Times New Roman" w:cs="Times New Roman"/>
          <w:b/>
          <w:bCs/>
          <w:sz w:val="22"/>
          <w:szCs w:val="22"/>
        </w:rPr>
      </w:pPr>
    </w:p>
    <w:p w14:paraId="28E2F0C8" w14:textId="77777777" w:rsidR="00AE0C92" w:rsidRDefault="00AE0C92">
      <w:pPr>
        <w:pStyle w:val="Standard"/>
        <w:jc w:val="both"/>
        <w:rPr>
          <w:rFonts w:ascii="Times New Roman" w:hAnsi="Times New Roman" w:cs="Times New Roman"/>
          <w:b/>
          <w:bCs/>
          <w:sz w:val="22"/>
          <w:szCs w:val="22"/>
        </w:rPr>
      </w:pPr>
    </w:p>
    <w:p w14:paraId="05C08749" w14:textId="77777777" w:rsidR="00AE0C92" w:rsidRDefault="00AE0C92">
      <w:pPr>
        <w:pStyle w:val="Standard"/>
        <w:jc w:val="both"/>
        <w:rPr>
          <w:rFonts w:ascii="Times New Roman" w:hAnsi="Times New Roman" w:cs="Times New Roman"/>
          <w:b/>
          <w:bCs/>
          <w:sz w:val="22"/>
          <w:szCs w:val="22"/>
        </w:rPr>
      </w:pPr>
    </w:p>
    <w:p w14:paraId="5454CF61" w14:textId="77777777" w:rsidR="00AE0C92" w:rsidRDefault="00AE0C92">
      <w:pPr>
        <w:pStyle w:val="Standard"/>
        <w:jc w:val="both"/>
        <w:rPr>
          <w:rFonts w:ascii="Times New Roman" w:hAnsi="Times New Roman" w:cs="Times New Roman"/>
          <w:b/>
          <w:bCs/>
          <w:sz w:val="22"/>
          <w:szCs w:val="22"/>
        </w:rPr>
      </w:pPr>
    </w:p>
    <w:p w14:paraId="567BDA6E" w14:textId="4612A51B" w:rsidR="00C96117" w:rsidRDefault="003A59B5">
      <w:pPr>
        <w:pStyle w:val="Standard"/>
        <w:jc w:val="both"/>
      </w:pPr>
      <w:r>
        <w:rPr>
          <w:rFonts w:ascii="Times New Roman" w:hAnsi="Times New Roman" w:cs="Times New Roman"/>
          <w:b/>
          <w:bCs/>
          <w:sz w:val="22"/>
          <w:szCs w:val="22"/>
        </w:rPr>
        <w:lastRenderedPageBreak/>
        <w:t>Table 1.</w:t>
      </w:r>
      <w:r>
        <w:rPr>
          <w:rFonts w:ascii="Times New Roman" w:hAnsi="Times New Roman" w:cs="Times New Roman"/>
          <w:sz w:val="22"/>
          <w:szCs w:val="22"/>
        </w:rPr>
        <w:t xml:space="preserve"> Predictions in the expanded Li-Mn-TM-O (TM </w:t>
      </w:r>
      <w:r>
        <w:rPr>
          <w:rFonts w:ascii="Cambria Math" w:hAnsi="Cambria Math" w:cs="Cambria Math"/>
          <w:color w:val="000000"/>
          <w:sz w:val="22"/>
          <w:szCs w:val="22"/>
        </w:rPr>
        <w:t>∈</w:t>
      </w:r>
      <w:r>
        <w:rPr>
          <w:rFonts w:ascii="Times New Roman" w:hAnsi="Times New Roman" w:cs="Times New Roman"/>
          <w:sz w:val="22"/>
          <w:szCs w:val="22"/>
        </w:rPr>
        <w:t xml:space="preserve"> {</w:t>
      </w:r>
      <w:r>
        <w:rPr>
          <w:rFonts w:ascii="Times New Roman" w:hAnsi="Times New Roman" w:cs="Times New Roman"/>
          <w:color w:val="000000"/>
          <w:sz w:val="22"/>
          <w:szCs w:val="22"/>
        </w:rPr>
        <w:t>Ti, V, Cr, Fe, Co, Ni, Cu}</w:t>
      </w:r>
      <w:r>
        <w:rPr>
          <w:rFonts w:ascii="Times New Roman" w:hAnsi="Times New Roman" w:cs="Times New Roman"/>
          <w:sz w:val="22"/>
          <w:szCs w:val="22"/>
        </w:rPr>
        <w:t xml:space="preserve">) composition space. Candidate </w:t>
      </w:r>
      <w:r w:rsidR="00425F4F">
        <w:rPr>
          <w:rFonts w:ascii="Times New Roman" w:hAnsi="Times New Roman" w:cs="Times New Roman"/>
          <w:sz w:val="22"/>
          <w:szCs w:val="22"/>
        </w:rPr>
        <w:t>compounds</w:t>
      </w:r>
      <w:r>
        <w:rPr>
          <w:rFonts w:ascii="Times New Roman" w:hAnsi="Times New Roman" w:cs="Times New Roman"/>
          <w:sz w:val="22"/>
          <w:szCs w:val="22"/>
        </w:rPr>
        <w:t xml:space="preserve"> were generated by combining all </w:t>
      </w:r>
      <w:r w:rsidR="00E318DC">
        <w:rPr>
          <w:rFonts w:ascii="Times New Roman" w:hAnsi="Times New Roman" w:cs="Times New Roman"/>
          <w:sz w:val="22"/>
          <w:szCs w:val="22"/>
        </w:rPr>
        <w:t xml:space="preserve">quaternary </w:t>
      </w:r>
      <w:r>
        <w:rPr>
          <w:rFonts w:ascii="Times New Roman" w:hAnsi="Times New Roman" w:cs="Times New Roman"/>
          <w:sz w:val="22"/>
          <w:szCs w:val="22"/>
        </w:rPr>
        <w:t xml:space="preserve">MP compounds in this space along with </w:t>
      </w:r>
      <w:r w:rsidR="00E318DC">
        <w:rPr>
          <w:rFonts w:ascii="Times New Roman" w:hAnsi="Times New Roman" w:cs="Times New Roman"/>
          <w:sz w:val="22"/>
          <w:szCs w:val="22"/>
        </w:rPr>
        <w:t>quaternary compounds</w:t>
      </w:r>
      <w:r>
        <w:rPr>
          <w:rFonts w:ascii="Times New Roman" w:hAnsi="Times New Roman" w:cs="Times New Roman"/>
          <w:sz w:val="22"/>
          <w:szCs w:val="22"/>
        </w:rPr>
        <w:t xml:space="preserve"> generated by the approach described in Ref. </w:t>
      </w:r>
      <w:r>
        <w:fldChar w:fldCharType="begin"/>
      </w:r>
      <w:r>
        <w:instrText>ADDIN ZOTERO_ITEM CSL_CITATION {"citationID":"bLFaFz18","properties":{"formattedCitation":"\\super 13\\nosupersub{}","plainCitation":"13","noteIndex":0},"citationItems":[{"id":235,"uris":["http://zotero.org/users/local/UnIW1pB0/items/ANWEN3AV"],"uri":["http://zotero.org/users/local/UnIW1pB0/items/ANWEN3AV"],"itemData":{"id":235,"type":"article-journal","title":"Computational Screening of All Stoichiometric Inorganic Materials","container-title":"Chem","page":"617-627","volume":"1","issue":"4","DOI":"10.1016/j.chempr.2016.09.010","ISSN":"2451-9294","author":[{"family":"Davies","given":"Daniel W."},{"family":"Butler","given":"Keith T."},{"family":"Jackson","given":"Adam J."},{"family":"Morris","given":"Andrew"},{"family":"Frost","given":"Jarvist M."},{"family":"Skelton","given":"Jonathan M."},{"family":"Walsh","given":"Aron"}],"issued":{"date-parts":[["2016",10,13]]}}}],"schema":"https://github.com/citation-style-language/schema/raw/master/csl-citation.json"}</w:instrText>
      </w:r>
      <w:r>
        <w:fldChar w:fldCharType="separate"/>
      </w:r>
      <w:bookmarkStart w:id="26" w:name="__Fieldmark__1055_468041894"/>
      <w:r>
        <w:rPr>
          <w:rFonts w:ascii="Times New Roman" w:hAnsi="Times New Roman" w:cs="Times New Roman"/>
          <w:color w:val="000080"/>
          <w:sz w:val="22"/>
          <w:szCs w:val="22"/>
          <w:vertAlign w:val="superscript"/>
        </w:rPr>
        <w:t>13</w:t>
      </w:r>
      <w:r>
        <w:fldChar w:fldCharType="end"/>
      </w:r>
      <w:bookmarkEnd w:id="26"/>
      <w:r>
        <w:rPr>
          <w:rFonts w:ascii="Times New Roman" w:hAnsi="Times New Roman" w:cs="Times New Roman"/>
          <w:sz w:val="22"/>
          <w:szCs w:val="22"/>
        </w:rPr>
        <w:t xml:space="preserve">, resulting in 13,392 candidates. Among these candidates, 9 </w:t>
      </w:r>
      <w:r w:rsidR="00425F4F">
        <w:rPr>
          <w:rFonts w:ascii="Times New Roman" w:hAnsi="Times New Roman" w:cs="Times New Roman"/>
          <w:sz w:val="22"/>
          <w:szCs w:val="22"/>
        </w:rPr>
        <w:t>compounds</w:t>
      </w:r>
      <w:r>
        <w:rPr>
          <w:rFonts w:ascii="Times New Roman" w:hAnsi="Times New Roman" w:cs="Times New Roman"/>
          <w:sz w:val="22"/>
          <w:szCs w:val="22"/>
        </w:rPr>
        <w:t xml:space="preserve"> are calculated to be stable in MP. The stability of all candidates was assessed using each compositional model for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w:t>
      </w:r>
    </w:p>
    <w:tbl>
      <w:tblPr>
        <w:tblW w:w="9100" w:type="dxa"/>
        <w:tblBorders>
          <w:top w:val="single" w:sz="4" w:space="0" w:color="00000A"/>
          <w:left w:val="single" w:sz="4" w:space="0" w:color="00000A"/>
          <w:bottom w:val="double" w:sz="6" w:space="0" w:color="00000A"/>
          <w:right w:val="double" w:sz="6" w:space="0" w:color="00000A"/>
          <w:insideH w:val="double" w:sz="6" w:space="0" w:color="00000A"/>
          <w:insideV w:val="double" w:sz="6" w:space="0" w:color="00000A"/>
        </w:tblBorders>
        <w:tblCellMar>
          <w:left w:w="103" w:type="dxa"/>
        </w:tblCellMar>
        <w:tblLook w:val="04A0" w:firstRow="1" w:lastRow="0" w:firstColumn="1" w:lastColumn="0" w:noHBand="0" w:noVBand="1"/>
      </w:tblPr>
      <w:tblGrid>
        <w:gridCol w:w="3266"/>
        <w:gridCol w:w="971"/>
        <w:gridCol w:w="991"/>
        <w:gridCol w:w="991"/>
        <w:gridCol w:w="971"/>
        <w:gridCol w:w="872"/>
        <w:gridCol w:w="1038"/>
      </w:tblGrid>
      <w:tr w:rsidR="00C96117" w14:paraId="4E2661D5" w14:textId="77777777" w:rsidTr="007A6D42">
        <w:trPr>
          <w:trHeight w:val="340"/>
        </w:trPr>
        <w:tc>
          <w:tcPr>
            <w:tcW w:w="3266" w:type="dxa"/>
            <w:tcBorders>
              <w:top w:val="single" w:sz="4" w:space="0" w:color="00000A"/>
              <w:left w:val="single" w:sz="4" w:space="0" w:color="00000A"/>
              <w:bottom w:val="double" w:sz="6" w:space="0" w:color="00000A"/>
              <w:right w:val="double" w:sz="6" w:space="0" w:color="00000A"/>
            </w:tcBorders>
            <w:shd w:val="clear" w:color="auto" w:fill="auto"/>
            <w:tcMar>
              <w:left w:w="103" w:type="dxa"/>
            </w:tcMar>
            <w:vAlign w:val="bottom"/>
          </w:tcPr>
          <w:p w14:paraId="68778074" w14:textId="77777777" w:rsidR="00C96117" w:rsidRDefault="003A59B5">
            <w:pPr>
              <w:suppressAutoHyphens w:val="0"/>
              <w:textAlignment w:val="auto"/>
              <w:rPr>
                <w:rFonts w:eastAsia="Times New Roman" w:cs="Times New Roman"/>
                <w:color w:val="000000"/>
              </w:rPr>
            </w:pPr>
            <w:r>
              <w:rPr>
                <w:rFonts w:eastAsia="Times New Roman" w:cs="Times New Roman"/>
                <w:color w:val="000000"/>
              </w:rPr>
              <w:t> </w:t>
            </w:r>
          </w:p>
        </w:tc>
        <w:tc>
          <w:tcPr>
            <w:tcW w:w="971" w:type="dxa"/>
            <w:tcBorders>
              <w:top w:val="single" w:sz="4" w:space="0" w:color="00000A"/>
              <w:bottom w:val="double" w:sz="6" w:space="0" w:color="00000A"/>
              <w:right w:val="single" w:sz="4" w:space="0" w:color="00000A"/>
            </w:tcBorders>
            <w:shd w:val="clear" w:color="auto" w:fill="auto"/>
            <w:vAlign w:val="bottom"/>
          </w:tcPr>
          <w:p w14:paraId="4B87E1D1"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elfrac</w:t>
            </w:r>
          </w:p>
        </w:tc>
        <w:tc>
          <w:tcPr>
            <w:tcW w:w="991" w:type="dxa"/>
            <w:tcBorders>
              <w:top w:val="single" w:sz="4" w:space="0" w:color="00000A"/>
              <w:bottom w:val="double" w:sz="6" w:space="0" w:color="00000A"/>
              <w:right w:val="single" w:sz="4" w:space="0" w:color="00000A"/>
            </w:tcBorders>
            <w:shd w:val="clear" w:color="auto" w:fill="auto"/>
            <w:vAlign w:val="bottom"/>
          </w:tcPr>
          <w:p w14:paraId="36EEFC8C"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prb14</w:t>
            </w:r>
          </w:p>
        </w:tc>
        <w:tc>
          <w:tcPr>
            <w:tcW w:w="991" w:type="dxa"/>
            <w:tcBorders>
              <w:top w:val="single" w:sz="4" w:space="0" w:color="00000A"/>
              <w:bottom w:val="double" w:sz="6" w:space="0" w:color="00000A"/>
              <w:right w:val="single" w:sz="4" w:space="0" w:color="00000A"/>
            </w:tcBorders>
            <w:shd w:val="clear" w:color="auto" w:fill="auto"/>
            <w:vAlign w:val="bottom"/>
          </w:tcPr>
          <w:p w14:paraId="095B56BD"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prb16</w:t>
            </w:r>
          </w:p>
        </w:tc>
        <w:tc>
          <w:tcPr>
            <w:tcW w:w="971" w:type="dxa"/>
            <w:tcBorders>
              <w:top w:val="single" w:sz="4" w:space="0" w:color="00000A"/>
              <w:bottom w:val="double" w:sz="6" w:space="0" w:color="00000A"/>
              <w:right w:val="single" w:sz="4" w:space="0" w:color="00000A"/>
            </w:tcBorders>
            <w:shd w:val="clear" w:color="auto" w:fill="auto"/>
            <w:vAlign w:val="bottom"/>
          </w:tcPr>
          <w:p w14:paraId="101B35E7"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npj16</w:t>
            </w:r>
          </w:p>
        </w:tc>
        <w:tc>
          <w:tcPr>
            <w:tcW w:w="872" w:type="dxa"/>
            <w:tcBorders>
              <w:top w:val="single" w:sz="4" w:space="0" w:color="00000A"/>
              <w:bottom w:val="double" w:sz="6" w:space="0" w:color="00000A"/>
              <w:right w:val="single" w:sz="4" w:space="0" w:color="00000A"/>
            </w:tcBorders>
            <w:shd w:val="clear" w:color="auto" w:fill="auto"/>
            <w:vAlign w:val="bottom"/>
          </w:tcPr>
          <w:p w14:paraId="7EEF9CF5"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auto</w:t>
            </w:r>
          </w:p>
        </w:tc>
        <w:tc>
          <w:tcPr>
            <w:tcW w:w="1038" w:type="dxa"/>
            <w:tcBorders>
              <w:top w:val="single" w:sz="4" w:space="0" w:color="00000A"/>
              <w:bottom w:val="double" w:sz="6" w:space="0" w:color="00000A"/>
              <w:right w:val="single" w:sz="4" w:space="0" w:color="00000A"/>
            </w:tcBorders>
            <w:shd w:val="clear" w:color="auto" w:fill="auto"/>
            <w:vAlign w:val="bottom"/>
          </w:tcPr>
          <w:p w14:paraId="49654C21"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arXiv19</w:t>
            </w:r>
          </w:p>
        </w:tc>
      </w:tr>
      <w:tr w:rsidR="007A6D42" w14:paraId="237920EE" w14:textId="77777777" w:rsidTr="007A6D42">
        <w:trPr>
          <w:trHeight w:val="34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31840C09" w14:textId="77777777" w:rsidR="007A6D42" w:rsidRDefault="007A6D42" w:rsidP="007A6D42">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candidate compounds</w:t>
            </w:r>
          </w:p>
        </w:tc>
        <w:tc>
          <w:tcPr>
            <w:tcW w:w="971" w:type="dxa"/>
            <w:tcBorders>
              <w:bottom w:val="single" w:sz="4" w:space="0" w:color="00000A"/>
              <w:right w:val="single" w:sz="4" w:space="0" w:color="00000A"/>
            </w:tcBorders>
            <w:shd w:val="clear" w:color="D9D9D9" w:fill="FFFFFF"/>
            <w:vAlign w:val="bottom"/>
          </w:tcPr>
          <w:p w14:paraId="31CE7F13"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91" w:type="dxa"/>
            <w:tcBorders>
              <w:bottom w:val="single" w:sz="4" w:space="0" w:color="00000A"/>
              <w:right w:val="single" w:sz="4" w:space="0" w:color="00000A"/>
            </w:tcBorders>
            <w:shd w:val="clear" w:color="D9D9D9" w:fill="FFFFFF"/>
            <w:vAlign w:val="bottom"/>
          </w:tcPr>
          <w:p w14:paraId="59EDD285"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91" w:type="dxa"/>
            <w:tcBorders>
              <w:bottom w:val="single" w:sz="4" w:space="0" w:color="00000A"/>
              <w:right w:val="single" w:sz="4" w:space="0" w:color="00000A"/>
            </w:tcBorders>
            <w:shd w:val="clear" w:color="D9D9D9" w:fill="FFFFFF"/>
            <w:vAlign w:val="bottom"/>
          </w:tcPr>
          <w:p w14:paraId="13B21142"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71" w:type="dxa"/>
            <w:tcBorders>
              <w:bottom w:val="single" w:sz="4" w:space="0" w:color="00000A"/>
              <w:right w:val="single" w:sz="4" w:space="0" w:color="00000A"/>
            </w:tcBorders>
            <w:shd w:val="clear" w:color="D9D9D9" w:fill="FFFFFF"/>
            <w:vAlign w:val="bottom"/>
          </w:tcPr>
          <w:p w14:paraId="314CDBC2"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872" w:type="dxa"/>
            <w:tcBorders>
              <w:bottom w:val="single" w:sz="4" w:space="0" w:color="00000A"/>
              <w:right w:val="single" w:sz="4" w:space="0" w:color="00000A"/>
            </w:tcBorders>
            <w:shd w:val="clear" w:color="D9D9D9" w:fill="FFFFFF"/>
            <w:vAlign w:val="bottom"/>
          </w:tcPr>
          <w:p w14:paraId="6C975F97" w14:textId="261E24E1"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1038" w:type="dxa"/>
            <w:tcBorders>
              <w:bottom w:val="single" w:sz="4" w:space="0" w:color="00000A"/>
              <w:right w:val="single" w:sz="4" w:space="0" w:color="00000A"/>
            </w:tcBorders>
            <w:shd w:val="clear" w:color="D9D9D9" w:fill="FFFFFF"/>
            <w:vAlign w:val="bottom"/>
          </w:tcPr>
          <w:p w14:paraId="063B13F4"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r>
      <w:tr w:rsidR="00C96117" w14:paraId="701A60B1" w14:textId="77777777" w:rsidTr="007A6D42">
        <w:trPr>
          <w:trHeight w:val="320"/>
        </w:trPr>
        <w:tc>
          <w:tcPr>
            <w:tcW w:w="3266" w:type="dxa"/>
            <w:tcBorders>
              <w:left w:val="single" w:sz="4" w:space="0" w:color="00000A"/>
              <w:bottom w:val="single" w:sz="4" w:space="0" w:color="00000A"/>
              <w:right w:val="double" w:sz="6" w:space="0" w:color="00000A"/>
            </w:tcBorders>
            <w:shd w:val="clear" w:color="000000" w:fill="FFFFFF"/>
            <w:tcMar>
              <w:left w:w="103" w:type="dxa"/>
            </w:tcMar>
            <w:vAlign w:val="bottom"/>
          </w:tcPr>
          <w:p w14:paraId="78F10128"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stable compounds in MP</w:t>
            </w:r>
          </w:p>
        </w:tc>
        <w:tc>
          <w:tcPr>
            <w:tcW w:w="971" w:type="dxa"/>
            <w:tcBorders>
              <w:bottom w:val="single" w:sz="4" w:space="0" w:color="00000A"/>
              <w:right w:val="single" w:sz="4" w:space="0" w:color="00000A"/>
            </w:tcBorders>
            <w:shd w:val="clear" w:color="000000" w:fill="FFFFFF"/>
            <w:vAlign w:val="bottom"/>
          </w:tcPr>
          <w:p w14:paraId="50C64C4C" w14:textId="3796E17F"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91" w:type="dxa"/>
            <w:tcBorders>
              <w:bottom w:val="single" w:sz="4" w:space="0" w:color="00000A"/>
              <w:right w:val="single" w:sz="4" w:space="0" w:color="00000A"/>
            </w:tcBorders>
            <w:shd w:val="clear" w:color="000000" w:fill="FFFFFF"/>
            <w:vAlign w:val="bottom"/>
          </w:tcPr>
          <w:p w14:paraId="6269E7AF"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91" w:type="dxa"/>
            <w:tcBorders>
              <w:bottom w:val="single" w:sz="4" w:space="0" w:color="00000A"/>
              <w:right w:val="single" w:sz="4" w:space="0" w:color="00000A"/>
            </w:tcBorders>
            <w:shd w:val="clear" w:color="000000" w:fill="FFFFFF"/>
            <w:vAlign w:val="bottom"/>
          </w:tcPr>
          <w:p w14:paraId="13EA09E1"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71" w:type="dxa"/>
            <w:tcBorders>
              <w:bottom w:val="single" w:sz="4" w:space="0" w:color="00000A"/>
              <w:right w:val="single" w:sz="4" w:space="0" w:color="00000A"/>
            </w:tcBorders>
            <w:shd w:val="clear" w:color="000000" w:fill="FFFFFF"/>
            <w:vAlign w:val="bottom"/>
          </w:tcPr>
          <w:p w14:paraId="1489C665"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872" w:type="dxa"/>
            <w:tcBorders>
              <w:bottom w:val="single" w:sz="4" w:space="0" w:color="00000A"/>
              <w:right w:val="single" w:sz="4" w:space="0" w:color="00000A"/>
            </w:tcBorders>
            <w:shd w:val="clear" w:color="000000" w:fill="FFFFFF"/>
            <w:vAlign w:val="bottom"/>
          </w:tcPr>
          <w:p w14:paraId="048CD960"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038" w:type="dxa"/>
            <w:tcBorders>
              <w:bottom w:val="single" w:sz="4" w:space="0" w:color="00000A"/>
              <w:right w:val="single" w:sz="4" w:space="0" w:color="00000A"/>
            </w:tcBorders>
            <w:shd w:val="clear" w:color="000000" w:fill="FFFFFF"/>
            <w:vAlign w:val="bottom"/>
          </w:tcPr>
          <w:p w14:paraId="2A7BF2B2"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r>
      <w:tr w:rsidR="00C96117" w14:paraId="6D36651A" w14:textId="77777777" w:rsidTr="007A6D42">
        <w:trPr>
          <w:trHeight w:val="32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3EFC51D3"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compounds predicted stable</w:t>
            </w:r>
          </w:p>
        </w:tc>
        <w:tc>
          <w:tcPr>
            <w:tcW w:w="971" w:type="dxa"/>
            <w:tcBorders>
              <w:bottom w:val="single" w:sz="4" w:space="0" w:color="00000A"/>
              <w:right w:val="single" w:sz="4" w:space="0" w:color="00000A"/>
            </w:tcBorders>
            <w:shd w:val="clear" w:color="D9D9D9" w:fill="FFFFFF"/>
            <w:vAlign w:val="bottom"/>
          </w:tcPr>
          <w:p w14:paraId="70DBD84D" w14:textId="3E3E6D8A" w:rsidR="00C96117" w:rsidRDefault="00C4185D"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68</w:t>
            </w:r>
            <w:r w:rsidR="003A4FCE">
              <w:rPr>
                <w:rFonts w:ascii="Times New Roman" w:eastAsia="Times New Roman" w:hAnsi="Times New Roman" w:cs="Times New Roman"/>
                <w:color w:val="000000"/>
              </w:rPr>
              <w:t>5</w:t>
            </w:r>
          </w:p>
        </w:tc>
        <w:tc>
          <w:tcPr>
            <w:tcW w:w="991" w:type="dxa"/>
            <w:tcBorders>
              <w:bottom w:val="single" w:sz="4" w:space="0" w:color="00000A"/>
              <w:right w:val="single" w:sz="4" w:space="0" w:color="00000A"/>
            </w:tcBorders>
            <w:shd w:val="clear" w:color="D9D9D9" w:fill="FFFFFF"/>
            <w:vAlign w:val="bottom"/>
          </w:tcPr>
          <w:p w14:paraId="3D05FB35" w14:textId="3232AA0D" w:rsidR="00C96117" w:rsidRDefault="003A4FCE"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528</w:t>
            </w:r>
          </w:p>
        </w:tc>
        <w:tc>
          <w:tcPr>
            <w:tcW w:w="991" w:type="dxa"/>
            <w:tcBorders>
              <w:bottom w:val="single" w:sz="4" w:space="0" w:color="00000A"/>
              <w:right w:val="single" w:sz="4" w:space="0" w:color="00000A"/>
            </w:tcBorders>
            <w:shd w:val="clear" w:color="D9D9D9" w:fill="FFFFFF"/>
            <w:vAlign w:val="bottom"/>
          </w:tcPr>
          <w:p w14:paraId="2982F633" w14:textId="543EE474" w:rsidR="00C96117" w:rsidRDefault="00D30466"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562</w:t>
            </w:r>
          </w:p>
        </w:tc>
        <w:tc>
          <w:tcPr>
            <w:tcW w:w="971" w:type="dxa"/>
            <w:tcBorders>
              <w:bottom w:val="single" w:sz="4" w:space="0" w:color="00000A"/>
              <w:right w:val="single" w:sz="4" w:space="0" w:color="00000A"/>
            </w:tcBorders>
            <w:shd w:val="clear" w:color="D9D9D9" w:fill="FFFFFF"/>
            <w:vAlign w:val="bottom"/>
          </w:tcPr>
          <w:p w14:paraId="202BC31E" w14:textId="7416C56F" w:rsidR="00C96117" w:rsidRDefault="003A4FCE"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619</w:t>
            </w:r>
          </w:p>
        </w:tc>
        <w:tc>
          <w:tcPr>
            <w:tcW w:w="872" w:type="dxa"/>
            <w:tcBorders>
              <w:bottom w:val="single" w:sz="4" w:space="0" w:color="00000A"/>
              <w:right w:val="single" w:sz="4" w:space="0" w:color="00000A"/>
            </w:tcBorders>
            <w:shd w:val="clear" w:color="D9D9D9" w:fill="FFFFFF"/>
            <w:vAlign w:val="bottom"/>
          </w:tcPr>
          <w:p w14:paraId="49E91F67" w14:textId="670092E0" w:rsidR="00C96117" w:rsidRDefault="003A4FCE"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541</w:t>
            </w:r>
          </w:p>
        </w:tc>
        <w:tc>
          <w:tcPr>
            <w:tcW w:w="1038" w:type="dxa"/>
            <w:tcBorders>
              <w:bottom w:val="single" w:sz="4" w:space="0" w:color="00000A"/>
              <w:right w:val="single" w:sz="4" w:space="0" w:color="00000A"/>
            </w:tcBorders>
            <w:shd w:val="clear" w:color="D9D9D9" w:fill="FFFFFF"/>
            <w:vAlign w:val="bottom"/>
          </w:tcPr>
          <w:p w14:paraId="0F669387" w14:textId="64FB386D" w:rsidR="00C96117" w:rsidRDefault="003A4FCE"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507</w:t>
            </w:r>
          </w:p>
        </w:tc>
      </w:tr>
      <w:tr w:rsidR="00C96117" w14:paraId="0D3FFB7B" w14:textId="77777777" w:rsidTr="007A6D42">
        <w:trPr>
          <w:trHeight w:val="320"/>
        </w:trPr>
        <w:tc>
          <w:tcPr>
            <w:tcW w:w="3266" w:type="dxa"/>
            <w:tcBorders>
              <w:left w:val="single" w:sz="4" w:space="0" w:color="00000A"/>
              <w:bottom w:val="single" w:sz="4" w:space="0" w:color="00000A"/>
              <w:right w:val="double" w:sz="6" w:space="0" w:color="00000A"/>
            </w:tcBorders>
            <w:shd w:val="clear" w:color="000000" w:fill="FFFFFF"/>
            <w:tcMar>
              <w:left w:w="103" w:type="dxa"/>
            </w:tcMar>
            <w:vAlign w:val="bottom"/>
          </w:tcPr>
          <w:p w14:paraId="5AD18616"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predicted stable</w:t>
            </w:r>
          </w:p>
        </w:tc>
        <w:tc>
          <w:tcPr>
            <w:tcW w:w="971" w:type="dxa"/>
            <w:tcBorders>
              <w:bottom w:val="single" w:sz="4" w:space="0" w:color="00000A"/>
              <w:right w:val="single" w:sz="4" w:space="0" w:color="00000A"/>
            </w:tcBorders>
            <w:shd w:val="clear" w:color="000000" w:fill="FFFFFF"/>
            <w:vAlign w:val="bottom"/>
          </w:tcPr>
          <w:p w14:paraId="3311ECB5" w14:textId="62809ACF"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5.0</w:t>
            </w:r>
          </w:p>
        </w:tc>
        <w:tc>
          <w:tcPr>
            <w:tcW w:w="991" w:type="dxa"/>
            <w:tcBorders>
              <w:bottom w:val="single" w:sz="4" w:space="0" w:color="00000A"/>
              <w:right w:val="single" w:sz="4" w:space="0" w:color="00000A"/>
            </w:tcBorders>
            <w:shd w:val="clear" w:color="000000" w:fill="FFFFFF"/>
            <w:vAlign w:val="bottom"/>
          </w:tcPr>
          <w:p w14:paraId="51B2B91D" w14:textId="18C45D62"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3.9</w:t>
            </w:r>
          </w:p>
        </w:tc>
        <w:tc>
          <w:tcPr>
            <w:tcW w:w="991" w:type="dxa"/>
            <w:tcBorders>
              <w:bottom w:val="single" w:sz="4" w:space="0" w:color="00000A"/>
              <w:right w:val="single" w:sz="4" w:space="0" w:color="00000A"/>
            </w:tcBorders>
            <w:shd w:val="clear" w:color="000000" w:fill="FFFFFF"/>
            <w:vAlign w:val="bottom"/>
          </w:tcPr>
          <w:p w14:paraId="507473D0" w14:textId="7D7BBE48" w:rsidR="00C96117" w:rsidRDefault="00D30466"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4.1</w:t>
            </w:r>
          </w:p>
        </w:tc>
        <w:tc>
          <w:tcPr>
            <w:tcW w:w="971" w:type="dxa"/>
            <w:tcBorders>
              <w:bottom w:val="single" w:sz="4" w:space="0" w:color="00000A"/>
              <w:right w:val="single" w:sz="4" w:space="0" w:color="00000A"/>
            </w:tcBorders>
            <w:shd w:val="clear" w:color="000000" w:fill="FFFFFF"/>
            <w:vAlign w:val="bottom"/>
          </w:tcPr>
          <w:p w14:paraId="1E8BCA15" w14:textId="221D2486"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4.5</w:t>
            </w:r>
          </w:p>
        </w:tc>
        <w:tc>
          <w:tcPr>
            <w:tcW w:w="872" w:type="dxa"/>
            <w:tcBorders>
              <w:bottom w:val="single" w:sz="4" w:space="0" w:color="00000A"/>
              <w:right w:val="single" w:sz="4" w:space="0" w:color="00000A"/>
            </w:tcBorders>
            <w:shd w:val="clear" w:color="000000" w:fill="FFFFFF"/>
            <w:vAlign w:val="bottom"/>
          </w:tcPr>
          <w:p w14:paraId="73D44119" w14:textId="27F7DC6F"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4.0</w:t>
            </w:r>
          </w:p>
        </w:tc>
        <w:tc>
          <w:tcPr>
            <w:tcW w:w="1038" w:type="dxa"/>
            <w:tcBorders>
              <w:bottom w:val="single" w:sz="4" w:space="0" w:color="00000A"/>
              <w:right w:val="single" w:sz="4" w:space="0" w:color="00000A"/>
            </w:tcBorders>
            <w:shd w:val="clear" w:color="000000" w:fill="FFFFFF"/>
            <w:vAlign w:val="bottom"/>
          </w:tcPr>
          <w:p w14:paraId="30D24223" w14:textId="0895536E"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3.7</w:t>
            </w:r>
          </w:p>
        </w:tc>
      </w:tr>
      <w:tr w:rsidR="00FC20E1" w14:paraId="2897C600" w14:textId="77777777" w:rsidTr="007A6D42">
        <w:trPr>
          <w:trHeight w:val="32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6A9F4B16" w14:textId="77777777" w:rsidR="00FC20E1" w:rsidRDefault="00FC20E1" w:rsidP="00FC20E1">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pred. stable and stable in MP</w:t>
            </w:r>
          </w:p>
        </w:tc>
        <w:tc>
          <w:tcPr>
            <w:tcW w:w="971" w:type="dxa"/>
            <w:tcBorders>
              <w:bottom w:val="single" w:sz="4" w:space="0" w:color="00000A"/>
              <w:right w:val="single" w:sz="4" w:space="0" w:color="00000A"/>
            </w:tcBorders>
            <w:shd w:val="clear" w:color="auto" w:fill="auto"/>
            <w:vAlign w:val="bottom"/>
          </w:tcPr>
          <w:p w14:paraId="7C108E0A" w14:textId="19FFEBA6" w:rsidR="00FC20E1" w:rsidRPr="007A6D42" w:rsidRDefault="00FC20E1"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991" w:type="dxa"/>
            <w:tcBorders>
              <w:bottom w:val="single" w:sz="4" w:space="0" w:color="00000A"/>
              <w:right w:val="single" w:sz="4" w:space="0" w:color="00000A"/>
            </w:tcBorders>
            <w:shd w:val="clear" w:color="auto" w:fill="auto"/>
            <w:vAlign w:val="bottom"/>
          </w:tcPr>
          <w:p w14:paraId="222609EC" w14:textId="0BE9CCE6" w:rsidR="00FC20E1" w:rsidRPr="007A6D42" w:rsidRDefault="00FC20E1"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991" w:type="dxa"/>
            <w:tcBorders>
              <w:bottom w:val="single" w:sz="4" w:space="0" w:color="00000A"/>
              <w:right w:val="single" w:sz="4" w:space="0" w:color="00000A"/>
            </w:tcBorders>
            <w:shd w:val="clear" w:color="auto" w:fill="auto"/>
            <w:vAlign w:val="bottom"/>
          </w:tcPr>
          <w:p w14:paraId="285778FB" w14:textId="1FAD39C9" w:rsidR="00FC20E1" w:rsidRPr="007A6D42" w:rsidRDefault="00D30466"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971" w:type="dxa"/>
            <w:tcBorders>
              <w:bottom w:val="single" w:sz="4" w:space="0" w:color="00000A"/>
              <w:right w:val="single" w:sz="4" w:space="0" w:color="00000A"/>
            </w:tcBorders>
            <w:shd w:val="clear" w:color="auto" w:fill="auto"/>
            <w:vAlign w:val="bottom"/>
          </w:tcPr>
          <w:p w14:paraId="3EC8EB48" w14:textId="4BC6CDD7" w:rsidR="00FC20E1" w:rsidRPr="007A6D42" w:rsidRDefault="00FC20E1"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872" w:type="dxa"/>
            <w:tcBorders>
              <w:bottom w:val="single" w:sz="4" w:space="0" w:color="00000A"/>
              <w:right w:val="single" w:sz="4" w:space="0" w:color="00000A"/>
            </w:tcBorders>
            <w:shd w:val="clear" w:color="auto" w:fill="auto"/>
            <w:vAlign w:val="bottom"/>
          </w:tcPr>
          <w:p w14:paraId="3CF7088A" w14:textId="18F6864F" w:rsidR="00FC20E1" w:rsidRPr="007A6D42" w:rsidRDefault="00FC20E1"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038" w:type="dxa"/>
            <w:tcBorders>
              <w:bottom w:val="single" w:sz="4" w:space="0" w:color="00000A"/>
              <w:right w:val="single" w:sz="4" w:space="0" w:color="00000A"/>
            </w:tcBorders>
            <w:shd w:val="clear" w:color="auto" w:fill="auto"/>
            <w:vAlign w:val="bottom"/>
          </w:tcPr>
          <w:p w14:paraId="6C0F78BC" w14:textId="144DC876" w:rsidR="00FC20E1" w:rsidRPr="007A6D42" w:rsidRDefault="00FC20E1" w:rsidP="00FC20E1">
            <w:pPr>
              <w:suppressAutoHyphens w:val="0"/>
              <w:jc w:val="right"/>
              <w:textAlignment w:val="auto"/>
              <w:rPr>
                <w:color w:val="000000" w:themeColor="text1"/>
              </w:rPr>
            </w:pPr>
            <w:r>
              <w:rPr>
                <w:rFonts w:ascii="Times New Roman" w:eastAsia="Times New Roman" w:hAnsi="Times New Roman" w:cs="Times New Roman"/>
                <w:color w:val="000000" w:themeColor="text1"/>
              </w:rPr>
              <w:t>1</w:t>
            </w:r>
          </w:p>
        </w:tc>
      </w:tr>
    </w:tbl>
    <w:p w14:paraId="7A137B0E" w14:textId="77777777" w:rsidR="00C96117" w:rsidRDefault="00C96117">
      <w:pPr>
        <w:pStyle w:val="Standard"/>
        <w:spacing w:line="360" w:lineRule="auto"/>
        <w:jc w:val="both"/>
        <w:rPr>
          <w:rFonts w:ascii="Times New Roman" w:hAnsi="Times New Roman" w:cs="Times New Roman"/>
          <w:b/>
          <w:bCs/>
        </w:rPr>
      </w:pPr>
    </w:p>
    <w:p w14:paraId="403F8442" w14:textId="1BB69D65" w:rsidR="00FC20E1" w:rsidRDefault="00FC20E1">
      <w:pPr>
        <w:pStyle w:val="Standard"/>
        <w:spacing w:line="360" w:lineRule="auto"/>
        <w:jc w:val="both"/>
        <w:rPr>
          <w:rFonts w:ascii="Times New Roman" w:hAnsi="Times New Roman" w:cs="Times New Roman"/>
          <w:b/>
          <w:bCs/>
        </w:rPr>
      </w:pPr>
      <w:r>
        <w:rPr>
          <w:rFonts w:ascii="Times New Roman" w:hAnsi="Times New Roman" w:cs="Times New Roman"/>
          <w:b/>
          <w:bCs/>
        </w:rPr>
        <w:t>Direct training on decomposition energy</w:t>
      </w:r>
    </w:p>
    <w:p w14:paraId="14A7A50A" w14:textId="040BDB88" w:rsidR="00FE44DF" w:rsidRPr="00AE0C92" w:rsidRDefault="00D30466" w:rsidP="00FE44DF">
      <w:pPr>
        <w:pStyle w:val="Standard"/>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An alternative approach to consider </w:t>
      </w:r>
      <w:r w:rsidR="00BA030D">
        <w:rPr>
          <w:rFonts w:ascii="Times New Roman" w:hAnsi="Times New Roman" w:cs="Times New Roman"/>
        </w:rPr>
        <w:t>is</w:t>
      </w:r>
      <w:r>
        <w:rPr>
          <w:rFonts w:ascii="Times New Roman" w:hAnsi="Times New Roman" w:cs="Times New Roman"/>
        </w:rPr>
        <w:t xml:space="preserve"> training directly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Pr>
          <w:rFonts w:ascii="Times New Roman" w:hAnsi="Times New Roman" w:cs="Times New Roman"/>
        </w:rPr>
        <w:t xml:space="preserve">instead of using ML-predicted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sidR="00391C45">
        <w:rPr>
          <w:rFonts w:ascii="Times New Roman" w:hAnsi="Times New Roman" w:cs="Times New Roman"/>
        </w:rPr>
        <w:t xml:space="preserve"> </w:t>
      </w:r>
      <w:r>
        <w:rPr>
          <w:rFonts w:ascii="Times New Roman" w:hAnsi="Times New Roman" w:cs="Times New Roman"/>
        </w:rPr>
        <w:t xml:space="preserve">to obtain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Pr>
          <w:rFonts w:ascii="Times New Roman" w:hAnsi="Times New Roman" w:cs="Times New Roman"/>
        </w:rPr>
        <w:t xml:space="preserve">through the convex hull construction. </w:t>
      </w:r>
      <w:r w:rsidR="00BA030D">
        <w:rPr>
          <w:rFonts w:ascii="Times New Roman" w:hAnsi="Times New Roman" w:cs="Times New Roman"/>
        </w:rPr>
        <w:t>We repeated t</w:t>
      </w:r>
      <w:r>
        <w:rPr>
          <w:rFonts w:ascii="Times New Roman" w:hAnsi="Times New Roman" w:cs="Times New Roman"/>
        </w:rPr>
        <w:t>he analysis</w:t>
      </w:r>
      <w:r w:rsidR="00BA030D">
        <w:rPr>
          <w:rFonts w:ascii="Times New Roman" w:hAnsi="Times New Roman" w:cs="Times New Roman"/>
        </w:rPr>
        <w:t xml:space="preserve"> shown</w:t>
      </w:r>
      <w:r>
        <w:rPr>
          <w:rFonts w:ascii="Times New Roman" w:hAnsi="Times New Roman" w:cs="Times New Roman"/>
        </w:rPr>
        <w:t xml:space="preserve"> in </w:t>
      </w:r>
      <w:r>
        <w:rPr>
          <w:rFonts w:ascii="Times New Roman" w:hAnsi="Times New Roman" w:cs="Times New Roman"/>
          <w:b/>
          <w:bCs/>
        </w:rPr>
        <w:t>Figures 3-5</w:t>
      </w:r>
      <w:r>
        <w:rPr>
          <w:rFonts w:ascii="Times New Roman" w:hAnsi="Times New Roman" w:cs="Times New Roman"/>
        </w:rPr>
        <w:t xml:space="preserve"> and </w:t>
      </w:r>
      <w:r>
        <w:rPr>
          <w:rFonts w:ascii="Times New Roman" w:hAnsi="Times New Roman" w:cs="Times New Roman"/>
          <w:b/>
          <w:bCs/>
        </w:rPr>
        <w:t>Table 1</w:t>
      </w:r>
      <w:r>
        <w:rPr>
          <w:rFonts w:ascii="Times New Roman" w:hAnsi="Times New Roman" w:cs="Times New Roman"/>
        </w:rPr>
        <w:t xml:space="preserve"> but training each model directly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Pr>
          <w:rFonts w:ascii="Times New Roman" w:hAnsi="Times New Roman" w:cs="Times New Roman"/>
        </w:rPr>
        <w:t xml:space="preserve">. </w:t>
      </w:r>
      <w:r w:rsidR="00D438BC">
        <w:rPr>
          <w:rFonts w:ascii="Times New Roman" w:hAnsi="Times New Roman" w:cs="Times New Roman"/>
        </w:rPr>
        <w:t xml:space="preserve">The performance of each model on the MP Li-Mn-TM-O dataset is shown in </w:t>
      </w:r>
      <w:r w:rsidR="00D438BC">
        <w:rPr>
          <w:rFonts w:ascii="Times New Roman" w:hAnsi="Times New Roman" w:cs="Times New Roman"/>
          <w:b/>
          <w:bCs/>
        </w:rPr>
        <w:t>Figure 6</w:t>
      </w:r>
      <w:r w:rsidR="00D438BC">
        <w:rPr>
          <w:rFonts w:ascii="Times New Roman" w:hAnsi="Times New Roman" w:cs="Times New Roman"/>
        </w:rPr>
        <w:t xml:space="preserve">, the performance on the expanded Li-Mn-TM-O space in </w:t>
      </w:r>
      <w:r w:rsidR="00D438BC">
        <w:rPr>
          <w:rFonts w:ascii="Times New Roman" w:hAnsi="Times New Roman" w:cs="Times New Roman"/>
          <w:b/>
          <w:bCs/>
        </w:rPr>
        <w:t>Table S1</w:t>
      </w:r>
      <w:r w:rsidR="00D438BC">
        <w:rPr>
          <w:rFonts w:ascii="Times New Roman" w:hAnsi="Times New Roman" w:cs="Times New Roman"/>
        </w:rPr>
        <w:t>,</w:t>
      </w:r>
      <w:r w:rsidR="00D438BC">
        <w:rPr>
          <w:rFonts w:ascii="Times New Roman" w:hAnsi="Times New Roman" w:cs="Times New Roman"/>
          <w:b/>
          <w:bCs/>
        </w:rPr>
        <w:t xml:space="preserve"> </w:t>
      </w:r>
      <w:r w:rsidR="00D438BC">
        <w:rPr>
          <w:rFonts w:ascii="Times New Roman" w:hAnsi="Times New Roman" w:cs="Times New Roman"/>
        </w:rPr>
        <w:t xml:space="preserve">and results for the entire MP dataset in </w:t>
      </w:r>
      <w:r w:rsidR="00D438BC">
        <w:rPr>
          <w:rFonts w:ascii="Times New Roman" w:hAnsi="Times New Roman" w:cs="Times New Roman"/>
          <w:b/>
          <w:bCs/>
        </w:rPr>
        <w:t>Figures S3-S4</w:t>
      </w:r>
      <w:r w:rsidR="00D438BC">
        <w:rPr>
          <w:rFonts w:ascii="Times New Roman" w:hAnsi="Times New Roman" w:cs="Times New Roman"/>
        </w:rPr>
        <w:t xml:space="preserve">. </w:t>
      </w:r>
      <w:r>
        <w:rPr>
          <w:rFonts w:ascii="Times New Roman" w:hAnsi="Times New Roman" w:cs="Times New Roman"/>
        </w:rPr>
        <w:t xml:space="preserve">While the prediction accuracy on the entire MP dataset is typically comparable </w:t>
      </w:r>
      <w:r w:rsidR="00BA030D">
        <w:rPr>
          <w:rFonts w:ascii="Times New Roman" w:hAnsi="Times New Roman" w:cs="Times New Roman"/>
        </w:rPr>
        <w:t xml:space="preserve">to </w:t>
      </w:r>
      <w:r>
        <w:rPr>
          <w:rFonts w:ascii="Times New Roman" w:hAnsi="Times New Roman" w:cs="Times New Roman"/>
        </w:rPr>
        <w:t xml:space="preserve">or slightly better when training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sidR="00BA030D">
        <w:rPr>
          <w:rFonts w:ascii="Times New Roman" w:hAnsi="Times New Roman" w:cs="Times New Roman"/>
        </w:rPr>
        <w:t xml:space="preserve">instead of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sidR="00391C45">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b/>
          <w:bCs/>
        </w:rPr>
        <w:t>Figures S3-S4</w:t>
      </w:r>
      <w:r>
        <w:rPr>
          <w:rFonts w:ascii="Times New Roman" w:hAnsi="Times New Roman" w:cs="Times New Roman"/>
        </w:rPr>
        <w:t xml:space="preserve">), the capability of the trained model to predict stability in sparse chemical spaces is </w:t>
      </w:r>
      <w:r w:rsidR="00D438BC">
        <w:rPr>
          <w:rFonts w:ascii="Times New Roman" w:hAnsi="Times New Roman" w:cs="Times New Roman"/>
        </w:rPr>
        <w:t>even</w:t>
      </w:r>
      <w:r>
        <w:rPr>
          <w:rFonts w:ascii="Times New Roman" w:hAnsi="Times New Roman" w:cs="Times New Roman"/>
        </w:rPr>
        <w:t xml:space="preserve"> worse than when training on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sidR="00391C45">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b/>
          <w:bCs/>
        </w:rPr>
        <w:t>Figure 6</w:t>
      </w:r>
      <w:r>
        <w:rPr>
          <w:rFonts w:ascii="Times New Roman" w:hAnsi="Times New Roman" w:cs="Times New Roman"/>
        </w:rPr>
        <w:t xml:space="preserve">, </w:t>
      </w:r>
      <w:r>
        <w:rPr>
          <w:rFonts w:ascii="Times New Roman" w:hAnsi="Times New Roman" w:cs="Times New Roman"/>
          <w:b/>
          <w:bCs/>
        </w:rPr>
        <w:t>Table S1</w:t>
      </w:r>
      <w:r>
        <w:rPr>
          <w:rFonts w:ascii="Times New Roman" w:hAnsi="Times New Roman" w:cs="Times New Roman"/>
        </w:rPr>
        <w:t>).</w:t>
      </w:r>
      <w:r w:rsidR="00BA030D">
        <w:rPr>
          <w:rFonts w:ascii="Times New Roman" w:hAnsi="Times New Roman" w:cs="Times New Roman"/>
        </w:rPr>
        <w:t xml:space="preserve"> In the case of the 267 Li-Mn-TM-O compounds in MP, none of the models are able to identify even one of the nine MP</w:t>
      </w:r>
      <w:r w:rsidR="00AE0C92">
        <w:rPr>
          <w:rFonts w:ascii="Times New Roman" w:hAnsi="Times New Roman" w:cs="Times New Roman"/>
        </w:rPr>
        <w:t>-</w:t>
      </w:r>
      <w:r w:rsidR="00BA030D">
        <w:rPr>
          <w:rFonts w:ascii="Times New Roman" w:hAnsi="Times New Roman" w:cs="Times New Roman"/>
        </w:rPr>
        <w:t>stable quaternary</w:t>
      </w:r>
      <w:r w:rsidR="00AE0C92">
        <w:rPr>
          <w:rFonts w:ascii="Times New Roman" w:hAnsi="Times New Roman" w:cs="Times New Roman"/>
        </w:rPr>
        <w:t xml:space="preserve"> compounds</w:t>
      </w:r>
      <w:r w:rsidR="00BA030D">
        <w:rPr>
          <w:rFonts w:ascii="Times New Roman" w:hAnsi="Times New Roman" w:cs="Times New Roman"/>
        </w:rPr>
        <w:t>, and in fact every model predicts all 267 Li-Mn-TM-O compound</w:t>
      </w:r>
      <w:r w:rsidR="00AE0C92">
        <w:rPr>
          <w:rFonts w:ascii="Times New Roman" w:hAnsi="Times New Roman" w:cs="Times New Roman"/>
        </w:rPr>
        <w:t>s</w:t>
      </w:r>
      <w:r w:rsidR="00BA030D">
        <w:rPr>
          <w:rFonts w:ascii="Times New Roman" w:hAnsi="Times New Roman" w:cs="Times New Roman"/>
        </w:rPr>
        <w:t xml:space="preserve"> to be unstable (</w:t>
      </w:r>
      <w:r w:rsidR="00D438BC">
        <w:rPr>
          <w:rFonts w:ascii="Times New Roman" w:hAnsi="Times New Roman" w:cs="Times New Roman"/>
          <w:b/>
          <w:bCs/>
        </w:rPr>
        <w:t>Figure 6</w:t>
      </w:r>
      <w:r w:rsidR="00BA030D">
        <w:rPr>
          <w:rFonts w:ascii="Times New Roman" w:hAnsi="Times New Roman" w:cs="Times New Roman"/>
        </w:rPr>
        <w:t xml:space="preserve">). </w:t>
      </w:r>
      <w:r w:rsidR="00D438BC">
        <w:rPr>
          <w:rFonts w:ascii="Times New Roman" w:hAnsi="Times New Roman" w:cs="Times New Roman"/>
        </w:rPr>
        <w:t>It is especially notable that for all models except arXiv19, the predictions for all 267 quaternary compounds fall in a very small window (0.040 eV/atom &lt; Δ</w:t>
      </w:r>
      <w:r w:rsidR="00D438BC">
        <w:rPr>
          <w:rFonts w:ascii="Times New Roman" w:hAnsi="Times New Roman" w:cs="Times New Roman"/>
          <w:i/>
          <w:iCs/>
        </w:rPr>
        <w:t>H</w:t>
      </w:r>
      <w:r w:rsidR="00D438BC">
        <w:rPr>
          <w:rFonts w:ascii="Times New Roman" w:hAnsi="Times New Roman" w:cs="Times New Roman"/>
          <w:vertAlign w:val="subscript"/>
        </w:rPr>
        <w:t>d,pred</w:t>
      </w:r>
      <w:r w:rsidR="00D438BC">
        <w:rPr>
          <w:rFonts w:ascii="Times New Roman" w:hAnsi="Times New Roman" w:cs="Times New Roman"/>
        </w:rPr>
        <w:t xml:space="preserve"> &lt; 0.082 eV/atom), suggesting the models only learn that all compounds in this space should be within the vicinity of the convex hull and do nothing to distinguish between chemically similar compounds. When</w:t>
      </w:r>
      <w:r w:rsidR="00BA030D">
        <w:rPr>
          <w:rFonts w:ascii="Times New Roman" w:hAnsi="Times New Roman" w:cs="Times New Roman"/>
        </w:rPr>
        <w:t xml:space="preserve"> the space of potential compounds is expanded to 13,659 compounds, only the arXiv19 model predicts any compound to be stable, but again, none of the nine MP stable compounds appear among this set (</w:t>
      </w:r>
      <w:r w:rsidR="00BA030D">
        <w:rPr>
          <w:rFonts w:ascii="Times New Roman" w:hAnsi="Times New Roman" w:cs="Times New Roman"/>
          <w:b/>
          <w:bCs/>
        </w:rPr>
        <w:t>Table S1</w:t>
      </w:r>
      <w:r w:rsidR="00BA030D">
        <w:rPr>
          <w:rFonts w:ascii="Times New Roman" w:hAnsi="Times New Roman" w:cs="Times New Roman"/>
        </w:rPr>
        <w:t xml:space="preserve">). Beyond the poor performance associated with these models, the direct prediction of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sidR="00BA030D">
        <w:rPr>
          <w:rFonts w:ascii="Times New Roman" w:hAnsi="Times New Roman" w:cs="Times New Roman"/>
        </w:rPr>
        <w:t xml:space="preserve">is difficult to physically motivate because unlike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sidR="00BA030D">
        <w:rPr>
          <w:rFonts w:ascii="Times New Roman" w:hAnsi="Times New Roman" w:cs="Times New Roman"/>
        </w:rPr>
        <w:t xml:space="preserve">,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sidR="00BA030D">
        <w:rPr>
          <w:rFonts w:ascii="Times New Roman" w:hAnsi="Times New Roman" w:cs="Times New Roman"/>
        </w:rPr>
        <w:t xml:space="preserve">is not an intrinsic property of a material, and instead depends on the completeness of a given phase diagram. </w:t>
      </w:r>
      <w:r w:rsidR="00D438BC">
        <w:rPr>
          <w:rFonts w:ascii="Times New Roman" w:hAnsi="Times New Roman" w:cs="Times New Roman"/>
        </w:rPr>
        <w:t>As</w:t>
      </w:r>
      <w:r w:rsidR="00BA030D">
        <w:rPr>
          <w:rFonts w:ascii="Times New Roman" w:hAnsi="Times New Roman" w:cs="Times New Roman"/>
        </w:rPr>
        <w:t xml:space="preserve"> new materials are discovered in a chemical space,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sidR="00BA030D">
        <w:rPr>
          <w:rFonts w:ascii="Times New Roman" w:hAnsi="Times New Roman" w:cs="Times New Roman"/>
        </w:rPr>
        <w:lastRenderedPageBreak/>
        <w:t>is subject to change for all compounds in that space</w:t>
      </w:r>
      <w:r w:rsidR="00AE0C92">
        <w:rPr>
          <w:rFonts w:ascii="Times New Roman" w:hAnsi="Times New Roman" w:cs="Times New Roman"/>
        </w:rPr>
        <w:t>, complicating the application of ML models trained on Δ</w:t>
      </w:r>
      <w:r w:rsidR="00AE0C92">
        <w:rPr>
          <w:rFonts w:ascii="Times New Roman" w:hAnsi="Times New Roman" w:cs="Times New Roman"/>
          <w:i/>
          <w:iCs/>
        </w:rPr>
        <w:t>H</w:t>
      </w:r>
      <w:r w:rsidR="00AE0C92">
        <w:rPr>
          <w:rFonts w:ascii="Times New Roman" w:hAnsi="Times New Roman" w:cs="Times New Roman"/>
          <w:vertAlign w:val="subscript"/>
        </w:rPr>
        <w:t>d</w:t>
      </w:r>
      <w:r w:rsidR="00AE0C92">
        <w:rPr>
          <w:rFonts w:ascii="Times New Roman" w:hAnsi="Times New Roman" w:cs="Times New Roman"/>
        </w:rPr>
        <w:t>.</w:t>
      </w:r>
    </w:p>
    <w:p w14:paraId="6A8F3397" w14:textId="70B258A1" w:rsidR="00D438BC" w:rsidRPr="00FC20E1" w:rsidRDefault="00D438BC" w:rsidP="00D438BC">
      <w:pPr>
        <w:pStyle w:val="Standard"/>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4FF190C" wp14:editId="1AE7A9DF">
            <wp:extent cx="4114800" cy="444495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4444951"/>
                    </a:xfrm>
                    <a:prstGeom prst="rect">
                      <a:avLst/>
                    </a:prstGeom>
                  </pic:spPr>
                </pic:pic>
              </a:graphicData>
            </a:graphic>
          </wp:inline>
        </w:drawing>
      </w:r>
    </w:p>
    <w:p w14:paraId="2C285EDB" w14:textId="04F9394A" w:rsidR="00C96117" w:rsidRPr="00AE0C92" w:rsidRDefault="00FE44DF" w:rsidP="00BA030D">
      <w:pPr>
        <w:pStyle w:val="Standard"/>
        <w:jc w:val="both"/>
        <w:rPr>
          <w:rFonts w:ascii="Times New Roman" w:hAnsi="Times New Roman" w:cs="Times New Roman"/>
          <w:sz w:val="22"/>
          <w:szCs w:val="22"/>
        </w:rPr>
      </w:pPr>
      <w:r w:rsidRPr="00AE0C92">
        <w:rPr>
          <w:rFonts w:ascii="Times New Roman" w:hAnsi="Times New Roman" w:cs="Times New Roman"/>
          <w:b/>
          <w:bCs/>
          <w:sz w:val="22"/>
          <w:szCs w:val="22"/>
        </w:rPr>
        <w:t xml:space="preserve">Figure 6. </w:t>
      </w:r>
      <w:r w:rsidR="00D438BC" w:rsidRPr="00AE0C92">
        <w:rPr>
          <w:rFonts w:ascii="Times New Roman" w:hAnsi="Times New Roman" w:cs="Times New Roman"/>
          <w:sz w:val="22"/>
          <w:szCs w:val="22"/>
        </w:rPr>
        <w:t xml:space="preserve">Repeating the analysis in </w:t>
      </w:r>
      <w:r w:rsidR="00D438BC" w:rsidRPr="00AE0C92">
        <w:rPr>
          <w:rFonts w:ascii="Times New Roman" w:hAnsi="Times New Roman" w:cs="Times New Roman"/>
          <w:b/>
          <w:bCs/>
          <w:sz w:val="22"/>
          <w:szCs w:val="22"/>
        </w:rPr>
        <w:t>Figure 5</w:t>
      </w:r>
      <w:r w:rsidR="00D438BC" w:rsidRPr="00AE0C92">
        <w:rPr>
          <w:rFonts w:ascii="Times New Roman" w:hAnsi="Times New Roman" w:cs="Times New Roman"/>
          <w:sz w:val="22"/>
          <w:szCs w:val="22"/>
        </w:rPr>
        <w:t xml:space="preserve"> but training directly on </w:t>
      </w:r>
      <w:r w:rsidR="00D438BC" w:rsidRPr="00AE0C92">
        <w:rPr>
          <w:rFonts w:ascii="Times New Roman" w:hAnsi="Times New Roman" w:cs="Times New Roman"/>
          <w:color w:val="000000"/>
          <w:sz w:val="22"/>
          <w:szCs w:val="22"/>
        </w:rPr>
        <w:t>Δ</w:t>
      </w:r>
      <w:r w:rsidR="00D438BC" w:rsidRPr="00AE0C92">
        <w:rPr>
          <w:rFonts w:ascii="Times New Roman" w:hAnsi="Times New Roman" w:cs="Times New Roman"/>
          <w:i/>
          <w:iCs/>
          <w:color w:val="000000"/>
          <w:sz w:val="22"/>
          <w:szCs w:val="22"/>
        </w:rPr>
        <w:t>H</w:t>
      </w:r>
      <w:r w:rsidR="00D438BC" w:rsidRPr="00AE0C92">
        <w:rPr>
          <w:rFonts w:ascii="Times New Roman" w:hAnsi="Times New Roman" w:cs="Times New Roman"/>
          <w:color w:val="000000"/>
          <w:sz w:val="22"/>
          <w:szCs w:val="22"/>
          <w:vertAlign w:val="subscript"/>
        </w:rPr>
        <w:t>d</w:t>
      </w:r>
      <w:r w:rsidR="00D438BC" w:rsidRPr="00AE0C92">
        <w:rPr>
          <w:rFonts w:ascii="Times New Roman" w:hAnsi="Times New Roman" w:cs="Times New Roman"/>
          <w:color w:val="000000"/>
          <w:sz w:val="22"/>
          <w:szCs w:val="22"/>
        </w:rPr>
        <w:t xml:space="preserve"> </w:t>
      </w:r>
      <w:r w:rsidR="00D438BC" w:rsidRPr="00AE0C92">
        <w:rPr>
          <w:rFonts w:ascii="Times New Roman" w:hAnsi="Times New Roman" w:cs="Times New Roman"/>
          <w:sz w:val="22"/>
          <w:szCs w:val="22"/>
        </w:rPr>
        <w:t xml:space="preserve">instead of </w:t>
      </w:r>
      <w:r w:rsidR="00D438BC" w:rsidRPr="00AE0C92">
        <w:rPr>
          <w:rFonts w:ascii="Times New Roman" w:hAnsi="Times New Roman" w:cs="Times New Roman"/>
          <w:color w:val="000000"/>
          <w:sz w:val="22"/>
          <w:szCs w:val="22"/>
        </w:rPr>
        <w:t>Δ</w:t>
      </w:r>
      <w:r w:rsidR="00D438BC" w:rsidRPr="00AE0C92">
        <w:rPr>
          <w:rFonts w:ascii="Times New Roman" w:hAnsi="Times New Roman" w:cs="Times New Roman"/>
          <w:i/>
          <w:iCs/>
          <w:color w:val="000000"/>
          <w:sz w:val="22"/>
          <w:szCs w:val="22"/>
        </w:rPr>
        <w:t>H</w:t>
      </w:r>
      <w:r w:rsidR="00D438BC" w:rsidRPr="00AE0C92">
        <w:rPr>
          <w:rFonts w:ascii="Times New Roman" w:hAnsi="Times New Roman" w:cs="Times New Roman"/>
          <w:color w:val="000000"/>
          <w:sz w:val="22"/>
          <w:szCs w:val="22"/>
          <w:vertAlign w:val="subscript"/>
        </w:rPr>
        <w:t>f</w:t>
      </w:r>
      <w:r w:rsidR="00D438BC" w:rsidRPr="00AE0C92">
        <w:rPr>
          <w:rFonts w:ascii="Times New Roman" w:hAnsi="Times New Roman" w:cs="Times New Roman"/>
          <w:sz w:val="22"/>
          <w:szCs w:val="22"/>
        </w:rPr>
        <w:t>.</w:t>
      </w:r>
      <w:r w:rsidR="00BA030D" w:rsidRPr="00AE0C92">
        <w:rPr>
          <w:rFonts w:ascii="Times New Roman" w:hAnsi="Times New Roman" w:cs="Times New Roman"/>
          <w:sz w:val="22"/>
          <w:szCs w:val="22"/>
        </w:rPr>
        <w:t xml:space="preserve"> </w:t>
      </w:r>
      <w:r w:rsidR="00AE0C92" w:rsidRPr="00AE0C92">
        <w:rPr>
          <w:rFonts w:ascii="Times New Roman" w:hAnsi="Times New Roman" w:cs="Times New Roman"/>
          <w:sz w:val="22"/>
          <w:szCs w:val="22"/>
        </w:rPr>
        <w:t xml:space="preserve">All </w:t>
      </w:r>
      <w:r w:rsidR="003005EB">
        <w:rPr>
          <w:rFonts w:ascii="Times New Roman" w:hAnsi="Times New Roman" w:cs="Times New Roman"/>
          <w:sz w:val="22"/>
          <w:szCs w:val="22"/>
        </w:rPr>
        <w:t>annotations are the same as in</w:t>
      </w:r>
      <w:r w:rsidR="00AE0C92" w:rsidRPr="00AE0C92">
        <w:rPr>
          <w:rFonts w:ascii="Times New Roman" w:hAnsi="Times New Roman" w:cs="Times New Roman"/>
          <w:sz w:val="22"/>
          <w:szCs w:val="22"/>
        </w:rPr>
        <w:t xml:space="preserve"> </w:t>
      </w:r>
      <w:r w:rsidR="00AE0C92" w:rsidRPr="00AE0C92">
        <w:rPr>
          <w:rFonts w:ascii="Times New Roman" w:hAnsi="Times New Roman" w:cs="Times New Roman"/>
          <w:b/>
          <w:bCs/>
          <w:sz w:val="22"/>
          <w:szCs w:val="22"/>
        </w:rPr>
        <w:t>Figure 5</w:t>
      </w:r>
      <w:r w:rsidR="00AE0C92" w:rsidRPr="00AE0C92">
        <w:rPr>
          <w:rFonts w:ascii="Times New Roman" w:hAnsi="Times New Roman" w:cs="Times New Roman"/>
          <w:sz w:val="22"/>
          <w:szCs w:val="22"/>
        </w:rPr>
        <w:t>.</w:t>
      </w:r>
    </w:p>
    <w:p w14:paraId="0D9C88F9" w14:textId="77777777" w:rsidR="00D30466" w:rsidRPr="00FE44DF" w:rsidRDefault="00D30466">
      <w:pPr>
        <w:pStyle w:val="Standard"/>
        <w:spacing w:line="360" w:lineRule="auto"/>
        <w:jc w:val="both"/>
        <w:rPr>
          <w:rFonts w:ascii="Times New Roman" w:hAnsi="Times New Roman" w:cs="Times New Roman"/>
        </w:rPr>
      </w:pPr>
    </w:p>
    <w:p w14:paraId="23CBD0E0" w14:textId="77777777" w:rsidR="00C96117" w:rsidRDefault="003A59B5">
      <w:pPr>
        <w:pStyle w:val="Standard"/>
        <w:spacing w:line="360" w:lineRule="auto"/>
        <w:jc w:val="both"/>
      </w:pPr>
      <w:r>
        <w:rPr>
          <w:rFonts w:ascii="Times New Roman" w:hAnsi="Times New Roman" w:cs="Times New Roman"/>
          <w:b/>
          <w:bCs/>
        </w:rPr>
        <w:t>Revisiting stability predictions with structural representations</w:t>
      </w:r>
    </w:p>
    <w:p w14:paraId="5D18E8A1" w14:textId="1919EFCC" w:rsidR="00C96117" w:rsidRDefault="003A59B5">
      <w:pPr>
        <w:pStyle w:val="Standard"/>
        <w:spacing w:line="360" w:lineRule="auto"/>
        <w:jc w:val="both"/>
      </w:pPr>
      <w:r>
        <w:rPr>
          <w:rFonts w:ascii="Times New Roman" w:hAnsi="Times New Roman" w:cs="Times New Roman"/>
        </w:rPr>
        <w:tab/>
        <w:t xml:space="preserve">In addition to compositional models, representations that rely on the crystal structure </w:t>
      </w:r>
      <w:r w:rsidR="00425F4F">
        <w:rPr>
          <w:rFonts w:ascii="Times New Roman" w:hAnsi="Times New Roman" w:cs="Times New Roman"/>
        </w:rPr>
        <w:t xml:space="preserve">for predicting </w:t>
      </w:r>
      <w:r w:rsidR="003005EB">
        <w:rPr>
          <w:rFonts w:ascii="Times New Roman" w:hAnsi="Times New Roman" w:cs="Times New Roman"/>
        </w:rPr>
        <w:t>formation energy</w:t>
      </w:r>
      <w:r w:rsidR="00425F4F">
        <w:rPr>
          <w:rFonts w:ascii="Times New Roman" w:hAnsi="Times New Roman" w:cs="Times New Roman"/>
        </w:rPr>
        <w:t xml:space="preserve"> </w:t>
      </w:r>
      <w:r>
        <w:rPr>
          <w:rFonts w:ascii="Times New Roman" w:hAnsi="Times New Roman" w:cs="Times New Roman"/>
        </w:rPr>
        <w:t>have also received substantial attention in recent years.</w:t>
      </w:r>
      <w:r>
        <w:fldChar w:fldCharType="begin"/>
      </w:r>
      <w:r w:rsidR="00D81C74">
        <w:instrText xml:space="preserve"> ADDIN ZOTERO_ITEM CSL_CITATION {"citationID":"25FabgBA","properties":{"formattedCitation":"\\super 24\\uc0\\u8211{}27,39\\uc0\\u8211{}41\\nosupersub{}","plainCitation":"24–27,39–41","noteIndex":0},"citationItems":[{"id":138,"uris":["http://zotero.org/users/local/UnIW1pB0/items/USIIHQBS"],"uri":["http://zotero.org/users/local/UnIW1pB0/items/USIIHQBS"],"itemData":{"id":138,"type":"article-journal","title":"Machine Learning Energies of 2 Million Elpasolite ABC2D6 Crystals","container-title":"Physical Review Letters","page":"135502","volume":"117","issue":"13","DOI":"10.1103/PhysRevLett.117.135502","author":[{"family":"Faber","given":"Felix A."},{"family":"Lindmaa","given":"Alexander"},{"family":"Lilienfeld","given":"O. Anatole","non-dropping-particle":"von"},{"family":"Armiento","given":"Rickard"}],"issued":{"literal":"9"}}},{"id":232,"uris":["http://zotero.org/users/local/UnIW1pB0/items/MF6M77LW"],"uri":["http://zotero.org/users/local/UnIW1pB0/items/MF6M77LW"],"itemData":{"id":232,"type":"article-journal","title":"Inverse Design of Solid-State Materials via a Continuous Representation","container-title":"Matter","URL":"https://doi.org/10.1016/j.matt.2019.08.017","DOI":"10.1016/j.matt.2019.08.017","ISSN":"2590-2393","author":[{"family":"Noh","given":"Juhwan"},{"family":"Kim","given":"Jaehoon"},{"family":"Stein","given":"Helge S."},{"family":"Sanchez-Lengeling","given":"Benjamin"},{"family":"Gregoire","given":"John M."},{"family":"Aspuru-Guzik","given":"Alan"},{"family":"Jung","given":"Yousung"}],"accessed":{"date-parts":[["2019",10,29]]}}},{"id":217,"uris":["http://zotero.org/users/local/UnIW1pB0/items/GTUR95I7"],"uri":["http://zotero.org/users/local/UnIW1pB0/items/GTUR95I7"],"itemData":{"id":217,"type":"article-journal","title":"Graph Networks as a Universal Machine Learning Framework for Molecules and Crystals","container-title":"Chemistry of Materials","page":"3564-3572","volume":"31","issue":"9","DOI":"10.1021/acs.chemmater.9b01294","ISSN":"0897-4756","journalAbbreviation":"Chem. Mater.","author":[{"family":"Chen","given":"Chi"},{"family":"Ye","given":"Weike"},{"family":"Zuo","given":"Yunxing"},{"family":"Zheng","given":"Chen"},{"family":"Ong","given":"Shyue Ping"}],"issued":{"date-parts":[["2019",5,14]]}}},{"id":191,"uris":["http://zotero.org/users/local/UnIW1pB0/items/EFLDVXAV"],"uri":["http://zotero.org/users/local/UnIW1pB0/items/EFLDVXAV"],"itemData":{"id":191,"type":"article-journal","title":"Crystal Graph Convolutional Neural Networks for an Accurate and Interpretable Prediction of Material Properties","container-title":"Physical Review Letters","page":"145301","volume":"120","issue":"14","DOI":"10.1103/PhysRevLett.120.145301","author":[{"family":"Xie","given":"Tian"},{"family":"Grossman","given":"Jeffrey C."}],"issued":{"literal":"June 4"}}},{"id":227,"uris":["http://zotero.org/users/local/UnIW1pB0/items/CQ7ANDWD"],"uri":["http://zotero.org/users/local/UnIW1pB0/items/CQ7ANDWD"],"itemData":{"id":227,"type":"article-journal","title":"Universal fragment descriptors for predicting properties of inorganic crystals","container-title":"Nature Communications","page":"15679","volume":"8","issue":"1","abstract":"Although historically materials discovery has been driven by a laborious trial-and-error process, knowledge-driven materials design can now be enabled by the rational combination of Machine Learning methods and materials databases. Here, data from the AFLOW repository for ab initio calculations is combined with Quantitative Materials Structure-Property Relationship models to predict important properties: metal/insulator classification, band gap energy, bulk/shear moduli, Debye temperature and heat capacities. The prediction’s accuracy compares well with the quality of the training data for virtually any stoichiometric inorganic crystalline material, reciprocating the available thermomechanical experimental data. The universality of the approach is attributed to the construction of the descriptors: Property-Labelled Materials Fragments. The representations require only minimal structural input allowing straightforward implementations of simple heuristic design rules.","DOI":"10.1038/ncomms15679","ISSN":"2041-1723","journalAbbreviation":"Nature Communications","author":[{"family":"Isayev","given":"Olexandr"},{"family":"Oses","given":"Corey"},{"family":"Toher","given":"Cormac"},{"family":"Gossett","given":"Eric"},{"family":"Curtarolo","given":"Stefano"},{"family":"Tropsha","given":"Alexander"}],"issued":{"date-parts":[["2017",6,5]]}}},{"id":228,"uris":["http://zotero.org/users/local/UnIW1pB0/items/RYKEIRCS"],"uri":["http://zotero.org/users/local/UnIW1pB0/items/RYKEIRCS"],"itemData":{"id":228,"type":"article-journal","title":"On representing chemical environments","container-title":"Physical Review B","page":"184115","volume":"87","issue":"18","DOI":"10.1103/PhysRevB.87.184115","journalAbbreviation":"Phys. Rev. B","author":[{"family":"Bartók","given":"Albert P."},{"family":"Kondor","given":"Risi"},{"family":"Csányi","given":"Gábor"}],"issued":{"date-parts":[["2013",5,28]]}}},{"id":229,"uris":["http://zotero.org/users/local/UnIW1pB0/items/FV7SCQLC"],"uri":["http://zotero.org/users/local/UnIW1pB0/items/FV7SCQLC"],"itemData":{"id":229,"type":"article-journal","title":"Including crystal structure attributes in machine learning models of formation energies via Voronoi tessellations","container-title":"Physical Review B","page":"024104","volume":"96","issue":"2","DOI":"10.1103/PhysRevB.96.024104","journalAbbreviation":"Phys. Rev. B","author":[{"family":"Ward","given":"Logan"},{"family":"Liu","given":"Ruoqian"},{"family":"Krishna","given":"Amar"},{"family":"Hegde","given":"Vinay I."},{"family":"Agrawal","given":"Ankit"},{"family":"Choudhary","given":"Alok"},{"family":"Wolverton","given":"Chris"}],"issued":{"date-parts":[["2017",7,14]]}}}],"schema":"https://github.com/citation-style-language/schema/raw/master/csl-citation.json"} </w:instrText>
      </w:r>
      <w:r>
        <w:fldChar w:fldCharType="separate"/>
      </w:r>
      <w:bookmarkStart w:id="27" w:name="__Fieldmark__1227_468041894"/>
      <w:r w:rsidR="00D81C74" w:rsidRPr="00D81C74">
        <w:rPr>
          <w:rFonts w:ascii="Times New Roman" w:hAnsi="Times New Roman" w:cs="Times New Roman"/>
          <w:color w:val="000080"/>
          <w:vertAlign w:val="superscript"/>
        </w:rPr>
        <w:t>24–27,39–41</w:t>
      </w:r>
      <w:r>
        <w:fldChar w:fldCharType="end"/>
      </w:r>
      <w:bookmarkEnd w:id="27"/>
      <w:r>
        <w:rPr>
          <w:rFonts w:ascii="Times New Roman" w:hAnsi="Times New Roman" w:cs="Times New Roman"/>
        </w:rPr>
        <w:t xml:space="preserve"> These models necessarily perform a different task than compositional models because they evaluate the property of a material given both the composition </w:t>
      </w:r>
      <w:r w:rsidRPr="00425F4F">
        <w:rPr>
          <w:rFonts w:ascii="Times New Roman" w:hAnsi="Times New Roman" w:cs="Times New Roman"/>
        </w:rPr>
        <w:t>and</w:t>
      </w:r>
      <w:r>
        <w:rPr>
          <w:rFonts w:ascii="Times New Roman" w:hAnsi="Times New Roman" w:cs="Times New Roman"/>
        </w:rPr>
        <w:t xml:space="preserve"> the structure. Nevertheless, it is interesting to assess whether these structural models can predict stability with improved accuracy relative to models that are only given composition. </w:t>
      </w:r>
    </w:p>
    <w:p w14:paraId="1FA15EBA" w14:textId="131122A1" w:rsidR="00C96117" w:rsidRDefault="003A59B5">
      <w:pPr>
        <w:pStyle w:val="Standard"/>
        <w:spacing w:line="360" w:lineRule="auto"/>
        <w:ind w:firstLine="720"/>
        <w:jc w:val="both"/>
      </w:pPr>
      <w:r>
        <w:rPr>
          <w:rFonts w:ascii="Times New Roman" w:hAnsi="Times New Roman" w:cs="Times New Roman"/>
        </w:rPr>
        <w:t>Here we take the crystal graph convolutional neural network (CGCNN)</w:t>
      </w:r>
      <w:r>
        <w:fldChar w:fldCharType="begin"/>
      </w:r>
      <w:r>
        <w:instrText>ADDIN ZOTERO_ITEM CSL_CITATION {"citationID":"WQEB2jkp","properties":{"formattedCitation":"\\super 26\\nosupersub{}","plainCitation":"26","noteIndex":0},"citationItems":[{"id":191,"uris":["http://zotero.org/users/local/UnIW1pB0/items/EFLDVXAV"],"uri":["http://zotero.org/users/local/UnIW1pB0/items/EFLDVXAV"],"itemData":{"id":191,"type":"article-journal","title":"Crystal Graph Convolutional Neural Networks for an Accurate and Interpretable Prediction of Material Properties","container-title":"Physical Review Letters","page":"145301","volume":"120","issue":"14","DOI":"10.1103/PhysRevLett.120.145301","author":[{"family":"Xie","given":"Tian"},{"family":"Grossman","given":"Jeffrey C."}],"issued":{"literal":"June 4"}}}],"schema":"https://github.com/citation-style-language/schema/raw/master/csl-citation.json"}</w:instrText>
      </w:r>
      <w:r>
        <w:fldChar w:fldCharType="separate"/>
      </w:r>
      <w:bookmarkStart w:id="28" w:name="__Fieldmark__1251_468041894"/>
      <w:r>
        <w:rPr>
          <w:rFonts w:ascii="Times New Roman" w:hAnsi="Times New Roman" w:cs="Times New Roman"/>
          <w:color w:val="000080"/>
          <w:vertAlign w:val="superscript"/>
        </w:rPr>
        <w:t>26</w:t>
      </w:r>
      <w:r>
        <w:fldChar w:fldCharType="end"/>
      </w:r>
      <w:bookmarkEnd w:id="28"/>
      <w:r>
        <w:rPr>
          <w:rFonts w:ascii="Times New Roman" w:hAnsi="Times New Roman" w:cs="Times New Roman"/>
        </w:rPr>
        <w:t xml:space="preserve"> as a</w:t>
      </w:r>
      <w:r w:rsidR="00425F4F">
        <w:rPr>
          <w:rFonts w:ascii="Times New Roman" w:hAnsi="Times New Roman" w:cs="Times New Roman"/>
        </w:rPr>
        <w:t xml:space="preserve"> representative</w:t>
      </w:r>
      <w:r>
        <w:rPr>
          <w:rFonts w:ascii="Times New Roman" w:hAnsi="Times New Roman" w:cs="Times New Roman"/>
        </w:rPr>
        <w:t xml:space="preserve"> example of </w:t>
      </w:r>
      <w:r w:rsidR="00425F4F">
        <w:rPr>
          <w:rFonts w:ascii="Times New Roman" w:hAnsi="Times New Roman" w:cs="Times New Roman"/>
        </w:rPr>
        <w:t xml:space="preserve">existing </w:t>
      </w:r>
      <w:r>
        <w:rPr>
          <w:rFonts w:ascii="Times New Roman" w:hAnsi="Times New Roman" w:cs="Times New Roman"/>
        </w:rPr>
        <w:t xml:space="preserve">structural models. CGCNN is a flexible framework that </w:t>
      </w:r>
      <w:r w:rsidR="00425F4F">
        <w:rPr>
          <w:rFonts w:ascii="Times New Roman" w:hAnsi="Times New Roman" w:cs="Times New Roman"/>
        </w:rPr>
        <w:t xml:space="preserve">uses </w:t>
      </w:r>
      <w:r>
        <w:rPr>
          <w:rFonts w:ascii="Times New Roman" w:hAnsi="Times New Roman" w:cs="Times New Roman"/>
        </w:rPr>
        <w:t>message passing over the atoms and bonds of a crystal. In</w:t>
      </w:r>
      <w:r>
        <w:rPr>
          <w:rFonts w:ascii="Times New Roman" w:hAnsi="Times New Roman" w:cs="Times New Roman"/>
          <w:b/>
          <w:bCs/>
        </w:rPr>
        <w:t xml:space="preserve"> Figure </w:t>
      </w:r>
      <w:r w:rsidR="001026C3">
        <w:rPr>
          <w:rFonts w:ascii="Times New Roman" w:hAnsi="Times New Roman" w:cs="Times New Roman"/>
          <w:b/>
          <w:bCs/>
        </w:rPr>
        <w:t>7</w:t>
      </w:r>
      <w:r>
        <w:rPr>
          <w:rFonts w:ascii="Times New Roman" w:hAnsi="Times New Roman" w:cs="Times New Roman"/>
        </w:rPr>
        <w:t xml:space="preserve">, we show the performance of </w:t>
      </w:r>
      <w:r>
        <w:rPr>
          <w:rFonts w:ascii="Times New Roman" w:hAnsi="Times New Roman" w:cs="Times New Roman"/>
        </w:rPr>
        <w:lastRenderedPageBreak/>
        <w:t xml:space="preserve">CGCNN on the same set of analyses as were shown for the compositional models in </w:t>
      </w:r>
      <w:r>
        <w:rPr>
          <w:rFonts w:ascii="Times New Roman" w:hAnsi="Times New Roman" w:cs="Times New Roman"/>
          <w:b/>
          <w:bCs/>
        </w:rPr>
        <w:t>Figures 2-5</w:t>
      </w:r>
      <w:r>
        <w:rPr>
          <w:rFonts w:ascii="Times New Roman" w:hAnsi="Times New Roman" w:cs="Times New Roman"/>
        </w:rPr>
        <w:t>. It is clear that CGCNN improves substantially upon the direct prediction of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a</w:t>
      </w:r>
      <w:r>
        <w:rPr>
          <w:rFonts w:ascii="Times New Roman" w:hAnsi="Times New Roman" w:cs="Times New Roman"/>
        </w:rPr>
        <w:t>) and the implicit prediction of Δ</w:t>
      </w:r>
      <w:r>
        <w:rPr>
          <w:rFonts w:ascii="Times New Roman" w:hAnsi="Times New Roman" w:cs="Times New Roman"/>
          <w:i/>
          <w:iCs/>
        </w:rPr>
        <w:t>H</w:t>
      </w:r>
      <w:r>
        <w:rPr>
          <w:rFonts w:ascii="Times New Roman" w:hAnsi="Times New Roman" w:cs="Times New Roman"/>
          <w:vertAlign w:val="subscript"/>
        </w:rPr>
        <w:t xml:space="preserve">d </w:t>
      </w:r>
      <w:r>
        <w:rPr>
          <w:rFonts w:ascii="Times New Roman" w:hAnsi="Times New Roman" w:cs="Times New Roman"/>
        </w:rPr>
        <w:t>(</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b</w:t>
      </w:r>
      <w:r>
        <w:rPr>
          <w:rFonts w:ascii="Times New Roman" w:hAnsi="Times New Roman" w:cs="Times New Roman"/>
        </w:rPr>
        <w:t>), reducing the MAE by ~50% compared with the best performing compositional model (arXiv19). The extent of extremely inaccurate predictions of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also no longer present with CGCNN, as indicated by the lack of a vertical line at Δ</w:t>
      </w:r>
      <w:r>
        <w:rPr>
          <w:rFonts w:ascii="Times New Roman" w:hAnsi="Times New Roman" w:cs="Times New Roman"/>
          <w:i/>
          <w:iCs/>
        </w:rPr>
        <w:t>H</w:t>
      </w:r>
      <w:r>
        <w:rPr>
          <w:rFonts w:ascii="Times New Roman" w:hAnsi="Times New Roman" w:cs="Times New Roman"/>
          <w:vertAlign w:val="subscript"/>
        </w:rPr>
        <w:t>d,pred</w:t>
      </w:r>
      <w:r>
        <w:rPr>
          <w:rFonts w:ascii="Times New Roman" w:hAnsi="Times New Roman" w:cs="Times New Roman"/>
        </w:rPr>
        <w:t xml:space="preserve"> = 0 or a horizontal line at Δ</w:t>
      </w:r>
      <w:r>
        <w:rPr>
          <w:rFonts w:ascii="Times New Roman" w:hAnsi="Times New Roman" w:cs="Times New Roman"/>
          <w:i/>
          <w:iCs/>
        </w:rPr>
        <w:t>H</w:t>
      </w:r>
      <w:r>
        <w:rPr>
          <w:rFonts w:ascii="Times New Roman" w:hAnsi="Times New Roman" w:cs="Times New Roman"/>
          <w:vertAlign w:val="subscript"/>
        </w:rPr>
        <w:t xml:space="preserve">d,MP </w:t>
      </w:r>
      <w:r>
        <w:rPr>
          <w:rFonts w:ascii="Times New Roman" w:hAnsi="Times New Roman" w:cs="Times New Roman"/>
        </w:rPr>
        <w:t>= 0 (</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b</w:t>
      </w:r>
      <w:r>
        <w:rPr>
          <w:rFonts w:ascii="Times New Roman" w:hAnsi="Times New Roman" w:cs="Times New Roman"/>
        </w:rPr>
        <w:t>) and the narrow distribution of incorrect stability predictions, centered around Δ</w:t>
      </w:r>
      <w:r>
        <w:rPr>
          <w:rFonts w:ascii="Times New Roman" w:hAnsi="Times New Roman" w:cs="Times New Roman"/>
          <w:i/>
          <w:iCs/>
        </w:rPr>
        <w:t>H</w:t>
      </w:r>
      <w:r>
        <w:rPr>
          <w:rFonts w:ascii="Times New Roman" w:hAnsi="Times New Roman" w:cs="Times New Roman"/>
          <w:vertAlign w:val="subscript"/>
        </w:rPr>
        <w:t xml:space="preserve">d,MP </w:t>
      </w:r>
      <w:r>
        <w:rPr>
          <w:rFonts w:ascii="Times New Roman" w:hAnsi="Times New Roman" w:cs="Times New Roman"/>
        </w:rPr>
        <w:t xml:space="preserve"> = 0 (</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c</w:t>
      </w:r>
      <w:r>
        <w:rPr>
          <w:rFonts w:ascii="Times New Roman" w:hAnsi="Times New Roman" w:cs="Times New Roman"/>
        </w:rPr>
        <w:t xml:space="preserve">). Most impressively, CGCNN is relatively successful at finding the needles in the excluded Li-Mn-TM-O haystack, recovering </w:t>
      </w:r>
      <w:r w:rsidR="00425F4F">
        <w:rPr>
          <w:rFonts w:ascii="Times New Roman" w:hAnsi="Times New Roman" w:cs="Times New Roman"/>
        </w:rPr>
        <w:t>five of the nine</w:t>
      </w:r>
      <w:r>
        <w:rPr>
          <w:rFonts w:ascii="Times New Roman" w:hAnsi="Times New Roman" w:cs="Times New Roman"/>
        </w:rPr>
        <w:t xml:space="preserve"> stable compounds with only </w:t>
      </w:r>
      <w:r w:rsidR="00425F4F">
        <w:rPr>
          <w:rFonts w:ascii="Times New Roman" w:hAnsi="Times New Roman" w:cs="Times New Roman"/>
        </w:rPr>
        <w:t>six</w:t>
      </w:r>
      <w:r>
        <w:rPr>
          <w:rFonts w:ascii="Times New Roman" w:hAnsi="Times New Roman" w:cs="Times New Roman"/>
        </w:rPr>
        <w:t xml:space="preserve"> false positives (</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d</w:t>
      </w:r>
      <w:r>
        <w:rPr>
          <w:rFonts w:ascii="Times New Roman" w:hAnsi="Times New Roman" w:cs="Times New Roman"/>
        </w:rPr>
        <w:t>). In addition to the improved predictive accuracy, the parity plot for this excluded set looks fundamentally different than for the compositional models. In the compositional models (</w:t>
      </w:r>
      <w:r>
        <w:rPr>
          <w:rFonts w:ascii="Times New Roman" w:hAnsi="Times New Roman" w:cs="Times New Roman"/>
          <w:b/>
          <w:bCs/>
        </w:rPr>
        <w:t>Figure 4</w:t>
      </w:r>
      <w:r>
        <w:rPr>
          <w:rFonts w:ascii="Times New Roman" w:hAnsi="Times New Roman" w:cs="Times New Roman"/>
        </w:rPr>
        <w:t>), the parity plot is scattered</w:t>
      </w:r>
      <w:r w:rsidR="003005EB">
        <w:rPr>
          <w:rFonts w:ascii="Times New Roman" w:hAnsi="Times New Roman" w:cs="Times New Roman"/>
        </w:rPr>
        <w:t>,</w:t>
      </w:r>
      <w:r>
        <w:rPr>
          <w:rFonts w:ascii="Times New Roman" w:hAnsi="Times New Roman" w:cs="Times New Roman"/>
        </w:rPr>
        <w:t xml:space="preserve"> and there is effectively no linear correlation between the actual and predicted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whereas for CGCNN, there is a strong linear correlation, and the parity plot looks almost as though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was predicted directly using the model.</w:t>
      </w:r>
    </w:p>
    <w:p w14:paraId="0CBBD12D" w14:textId="48C0202D" w:rsidR="00C96117" w:rsidRDefault="003A59B5">
      <w:pPr>
        <w:pStyle w:val="Standard"/>
        <w:spacing w:line="360" w:lineRule="auto"/>
        <w:jc w:val="both"/>
      </w:pPr>
      <w:r>
        <w:rPr>
          <w:rFonts w:ascii="Times New Roman" w:hAnsi="Times New Roman" w:cs="Times New Roman"/>
        </w:rPr>
        <w:tab/>
        <w:t xml:space="preserve">The non-incremental improvement in stability predictions that arises from including structure in the representation is a strong endorsement for structural models and also sheds insight into the structural origins of material stability. While the thermodynamic driving force for forming a compound from its elements </w:t>
      </w:r>
      <w:r w:rsidR="00425F4F">
        <w:rPr>
          <w:rFonts w:ascii="Times New Roman" w:hAnsi="Times New Roman" w:cs="Times New Roman"/>
        </w:rPr>
        <w:t xml:space="preserve">(formation energy) </w:t>
      </w:r>
      <w:r>
        <w:rPr>
          <w:rFonts w:ascii="Times New Roman" w:hAnsi="Times New Roman" w:cs="Times New Roman"/>
        </w:rPr>
        <w:t>can be learned with high accuracy from only the composition, the structure dictates the subtle differences in thermodynamic driving force between chemically similar compounds and enables accurate machine learning predictions of material stability</w:t>
      </w:r>
      <w:r w:rsidR="00425F4F">
        <w:rPr>
          <w:rFonts w:ascii="Times New Roman" w:hAnsi="Times New Roman" w:cs="Times New Roman"/>
        </w:rPr>
        <w:t xml:space="preserve"> (decomposition energy)</w:t>
      </w:r>
      <w:r>
        <w:rPr>
          <w:rFonts w:ascii="Times New Roman" w:hAnsi="Times New Roman" w:cs="Times New Roman"/>
        </w:rPr>
        <w:t xml:space="preserve">. However, the glaring limitation of this approach is that it requires the structure as input, and the structure of new materials that are yet to be discovered is not known </w:t>
      </w:r>
      <w:r>
        <w:rPr>
          <w:rFonts w:ascii="Times New Roman" w:hAnsi="Times New Roman" w:cs="Times New Roman"/>
          <w:i/>
          <w:iCs/>
        </w:rPr>
        <w:t>a priori</w:t>
      </w:r>
      <w:r>
        <w:rPr>
          <w:rFonts w:ascii="Times New Roman" w:hAnsi="Times New Roman" w:cs="Times New Roman"/>
        </w:rPr>
        <w:t xml:space="preserve">. </w:t>
      </w:r>
      <w:r w:rsidR="003005EB">
        <w:rPr>
          <w:rFonts w:ascii="Times New Roman" w:hAnsi="Times New Roman" w:cs="Times New Roman"/>
        </w:rPr>
        <w:t>For example, b</w:t>
      </w:r>
      <w:r>
        <w:rPr>
          <w:rFonts w:ascii="Times New Roman" w:hAnsi="Times New Roman" w:cs="Times New Roman"/>
        </w:rPr>
        <w:t xml:space="preserve">ecause we do not know the ground-state structure for an arbitrary composition, we cannot repeat the test where we assess the ability of the ML model to find the stable Li-Mn-TM-O compounds among a large set of candidate compositions. While CGCNN shows substantially improved performance in predicting material stability, these results are obtained using the DFT-optimized ground-state crystal structures as input. The performance of these models on stability predictions for unexplored </w:t>
      </w:r>
      <w:r w:rsidR="00425F4F">
        <w:rPr>
          <w:rFonts w:ascii="Times New Roman" w:hAnsi="Times New Roman" w:cs="Times New Roman"/>
        </w:rPr>
        <w:t>compounds</w:t>
      </w:r>
      <w:r>
        <w:rPr>
          <w:rFonts w:ascii="Times New Roman" w:hAnsi="Times New Roman" w:cs="Times New Roman"/>
        </w:rPr>
        <w:t xml:space="preserve"> has not yet been demonstrated. </w:t>
      </w:r>
    </w:p>
    <w:p w14:paraId="1C546964" w14:textId="77777777" w:rsidR="00C96117" w:rsidRDefault="003A59B5">
      <w:pPr>
        <w:pStyle w:val="Standard"/>
        <w:spacing w:line="360" w:lineRule="auto"/>
        <w:jc w:val="center"/>
      </w:pPr>
      <w:r>
        <w:rPr>
          <w:noProof/>
        </w:rPr>
        <w:lastRenderedPageBreak/>
        <w:drawing>
          <wp:inline distT="0" distB="0" distL="0" distR="0" wp14:anchorId="316F6224" wp14:editId="00F624D4">
            <wp:extent cx="4114738" cy="2705735"/>
            <wp:effectExtent l="0" t="0" r="635"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738" cy="2705735"/>
                    </a:xfrm>
                    <a:prstGeom prst="rect">
                      <a:avLst/>
                    </a:prstGeom>
                  </pic:spPr>
                </pic:pic>
              </a:graphicData>
            </a:graphic>
          </wp:inline>
        </w:drawing>
      </w:r>
    </w:p>
    <w:p w14:paraId="6D5BE416" w14:textId="26898FA7" w:rsidR="00C96117" w:rsidRPr="003005EB" w:rsidRDefault="003A59B5" w:rsidP="003005EB">
      <w:pPr>
        <w:pStyle w:val="Standard"/>
        <w:jc w:val="both"/>
        <w:rPr>
          <w:sz w:val="22"/>
          <w:szCs w:val="22"/>
        </w:rPr>
      </w:pPr>
      <w:r w:rsidRPr="003005EB">
        <w:rPr>
          <w:rFonts w:ascii="Times New Roman" w:hAnsi="Times New Roman" w:cs="Times New Roman"/>
          <w:b/>
          <w:bCs/>
          <w:sz w:val="22"/>
          <w:szCs w:val="22"/>
        </w:rPr>
        <w:t xml:space="preserve">Figure </w:t>
      </w:r>
      <w:r w:rsidR="001026C3" w:rsidRPr="003005EB">
        <w:rPr>
          <w:rFonts w:ascii="Times New Roman" w:hAnsi="Times New Roman" w:cs="Times New Roman"/>
          <w:b/>
          <w:bCs/>
          <w:sz w:val="22"/>
          <w:szCs w:val="22"/>
        </w:rPr>
        <w:t>7</w:t>
      </w:r>
      <w:r w:rsidRPr="003005EB">
        <w:rPr>
          <w:rFonts w:ascii="Times New Roman" w:hAnsi="Times New Roman" w:cs="Times New Roman"/>
          <w:b/>
          <w:bCs/>
          <w:sz w:val="22"/>
          <w:szCs w:val="22"/>
        </w:rPr>
        <w:t xml:space="preserve">. a) </w:t>
      </w:r>
      <w:r w:rsidR="003005EB">
        <w:rPr>
          <w:rFonts w:ascii="Times New Roman" w:hAnsi="Times New Roman" w:cs="Times New Roman"/>
          <w:sz w:val="22"/>
          <w:szCs w:val="22"/>
        </w:rPr>
        <w:t xml:space="preserve">Repeating the analysis shown in </w:t>
      </w:r>
      <w:r w:rsidR="003005EB">
        <w:rPr>
          <w:rFonts w:ascii="Times New Roman" w:hAnsi="Times New Roman" w:cs="Times New Roman"/>
          <w:b/>
          <w:bCs/>
          <w:sz w:val="22"/>
          <w:szCs w:val="22"/>
        </w:rPr>
        <w:t>Figure 2</w:t>
      </w:r>
      <w:r w:rsidR="003005EB">
        <w:rPr>
          <w:rFonts w:ascii="Times New Roman" w:hAnsi="Times New Roman" w:cs="Times New Roman"/>
          <w:sz w:val="22"/>
          <w:szCs w:val="22"/>
        </w:rPr>
        <w:t xml:space="preserve"> using CGCNN. Annotations are the same as in </w:t>
      </w:r>
      <w:r w:rsidR="003005EB">
        <w:rPr>
          <w:rFonts w:ascii="Times New Roman" w:hAnsi="Times New Roman" w:cs="Times New Roman"/>
          <w:b/>
          <w:bCs/>
          <w:sz w:val="22"/>
          <w:szCs w:val="22"/>
        </w:rPr>
        <w:t>Figure 2</w:t>
      </w:r>
      <w:r w:rsidR="003005EB">
        <w:rPr>
          <w:rFonts w:ascii="Times New Roman" w:hAnsi="Times New Roman" w:cs="Times New Roman"/>
          <w:sz w:val="22"/>
          <w:szCs w:val="22"/>
        </w:rPr>
        <w:t>.</w:t>
      </w:r>
      <w:r w:rsidR="003005EB">
        <w:rPr>
          <w:rFonts w:ascii="Times New Roman" w:hAnsi="Times New Roman" w:cs="Times New Roman"/>
          <w:b/>
          <w:bCs/>
          <w:sz w:val="22"/>
          <w:szCs w:val="22"/>
        </w:rPr>
        <w:t xml:space="preserve"> b</w:t>
      </w:r>
      <w:r w:rsidR="003005EB" w:rsidRPr="003005EB">
        <w:rPr>
          <w:rFonts w:ascii="Times New Roman" w:hAnsi="Times New Roman" w:cs="Times New Roman"/>
          <w:b/>
          <w:bCs/>
          <w:sz w:val="22"/>
          <w:szCs w:val="22"/>
        </w:rPr>
        <w:t xml:space="preserve">) </w:t>
      </w:r>
      <w:r w:rsidR="003005EB">
        <w:rPr>
          <w:rFonts w:ascii="Times New Roman" w:hAnsi="Times New Roman" w:cs="Times New Roman"/>
          <w:sz w:val="22"/>
          <w:szCs w:val="22"/>
        </w:rPr>
        <w:t xml:space="preserve">Repeating the analysis shown in </w:t>
      </w:r>
      <w:r w:rsidR="003005EB">
        <w:rPr>
          <w:rFonts w:ascii="Times New Roman" w:hAnsi="Times New Roman" w:cs="Times New Roman"/>
          <w:b/>
          <w:bCs/>
          <w:sz w:val="22"/>
          <w:szCs w:val="22"/>
        </w:rPr>
        <w:t>Figure 3</w:t>
      </w:r>
      <w:r w:rsidR="003005EB">
        <w:rPr>
          <w:rFonts w:ascii="Times New Roman" w:hAnsi="Times New Roman" w:cs="Times New Roman"/>
          <w:sz w:val="22"/>
          <w:szCs w:val="22"/>
        </w:rPr>
        <w:t xml:space="preserve"> using CGCNN. Annotations are the same as in </w:t>
      </w:r>
      <w:r w:rsidR="003005EB">
        <w:rPr>
          <w:rFonts w:ascii="Times New Roman" w:hAnsi="Times New Roman" w:cs="Times New Roman"/>
          <w:b/>
          <w:bCs/>
          <w:sz w:val="22"/>
          <w:szCs w:val="22"/>
        </w:rPr>
        <w:t>Figure 3</w:t>
      </w:r>
      <w:r w:rsidR="003005EB">
        <w:rPr>
          <w:rFonts w:ascii="Times New Roman" w:hAnsi="Times New Roman" w:cs="Times New Roman"/>
          <w:sz w:val="22"/>
          <w:szCs w:val="22"/>
        </w:rPr>
        <w:t>.</w:t>
      </w:r>
      <w:r w:rsidR="003005EB" w:rsidRPr="003005EB">
        <w:rPr>
          <w:rFonts w:ascii="Times New Roman" w:hAnsi="Times New Roman" w:cs="Times New Roman"/>
          <w:b/>
          <w:bCs/>
          <w:sz w:val="22"/>
          <w:szCs w:val="22"/>
        </w:rPr>
        <w:t xml:space="preserve"> </w:t>
      </w:r>
      <w:r w:rsidR="003005EB">
        <w:rPr>
          <w:rFonts w:ascii="Times New Roman" w:hAnsi="Times New Roman" w:cs="Times New Roman"/>
          <w:b/>
          <w:bCs/>
          <w:sz w:val="22"/>
          <w:szCs w:val="22"/>
        </w:rPr>
        <w:t>c</w:t>
      </w:r>
      <w:r w:rsidR="003005EB" w:rsidRPr="003005EB">
        <w:rPr>
          <w:rFonts w:ascii="Times New Roman" w:hAnsi="Times New Roman" w:cs="Times New Roman"/>
          <w:b/>
          <w:bCs/>
          <w:sz w:val="22"/>
          <w:szCs w:val="22"/>
        </w:rPr>
        <w:t xml:space="preserve">) </w:t>
      </w:r>
      <w:r w:rsidR="003005EB">
        <w:rPr>
          <w:rFonts w:ascii="Times New Roman" w:hAnsi="Times New Roman" w:cs="Times New Roman"/>
          <w:sz w:val="22"/>
          <w:szCs w:val="22"/>
        </w:rPr>
        <w:t xml:space="preserve">Repeating the analysis shown in </w:t>
      </w:r>
      <w:r w:rsidR="003005EB">
        <w:rPr>
          <w:rFonts w:ascii="Times New Roman" w:hAnsi="Times New Roman" w:cs="Times New Roman"/>
          <w:b/>
          <w:bCs/>
          <w:sz w:val="22"/>
          <w:szCs w:val="22"/>
        </w:rPr>
        <w:t>Figure 4</w:t>
      </w:r>
      <w:r w:rsidR="003005EB">
        <w:rPr>
          <w:rFonts w:ascii="Times New Roman" w:hAnsi="Times New Roman" w:cs="Times New Roman"/>
          <w:sz w:val="22"/>
          <w:szCs w:val="22"/>
        </w:rPr>
        <w:t xml:space="preserve"> using CGCNN. Annotations are the same as in </w:t>
      </w:r>
      <w:r w:rsidR="003005EB">
        <w:rPr>
          <w:rFonts w:ascii="Times New Roman" w:hAnsi="Times New Roman" w:cs="Times New Roman"/>
          <w:b/>
          <w:bCs/>
          <w:sz w:val="22"/>
          <w:szCs w:val="22"/>
        </w:rPr>
        <w:t>Figure 4</w:t>
      </w:r>
      <w:r w:rsidR="003005EB">
        <w:rPr>
          <w:rFonts w:ascii="Times New Roman" w:hAnsi="Times New Roman" w:cs="Times New Roman"/>
          <w:sz w:val="22"/>
          <w:szCs w:val="22"/>
        </w:rPr>
        <w:t>.</w:t>
      </w:r>
      <w:r w:rsidR="003005EB" w:rsidRPr="003005EB">
        <w:rPr>
          <w:rFonts w:ascii="Times New Roman" w:hAnsi="Times New Roman" w:cs="Times New Roman"/>
          <w:b/>
          <w:bCs/>
          <w:sz w:val="22"/>
          <w:szCs w:val="22"/>
        </w:rPr>
        <w:t xml:space="preserve"> </w:t>
      </w:r>
      <w:r w:rsidR="003005EB">
        <w:rPr>
          <w:rFonts w:ascii="Times New Roman" w:hAnsi="Times New Roman" w:cs="Times New Roman"/>
          <w:b/>
          <w:bCs/>
          <w:sz w:val="22"/>
          <w:szCs w:val="22"/>
        </w:rPr>
        <w:t>d</w:t>
      </w:r>
      <w:r w:rsidR="003005EB" w:rsidRPr="003005EB">
        <w:rPr>
          <w:rFonts w:ascii="Times New Roman" w:hAnsi="Times New Roman" w:cs="Times New Roman"/>
          <w:b/>
          <w:bCs/>
          <w:sz w:val="22"/>
          <w:szCs w:val="22"/>
        </w:rPr>
        <w:t xml:space="preserve">) </w:t>
      </w:r>
      <w:r w:rsidR="003005EB">
        <w:rPr>
          <w:rFonts w:ascii="Times New Roman" w:hAnsi="Times New Roman" w:cs="Times New Roman"/>
          <w:sz w:val="22"/>
          <w:szCs w:val="22"/>
        </w:rPr>
        <w:t xml:space="preserve">Repeating the analysis shown in </w:t>
      </w:r>
      <w:r w:rsidR="003005EB">
        <w:rPr>
          <w:rFonts w:ascii="Times New Roman" w:hAnsi="Times New Roman" w:cs="Times New Roman"/>
          <w:b/>
          <w:bCs/>
          <w:sz w:val="22"/>
          <w:szCs w:val="22"/>
        </w:rPr>
        <w:t>Figure 5</w:t>
      </w:r>
      <w:r w:rsidR="003005EB">
        <w:rPr>
          <w:rFonts w:ascii="Times New Roman" w:hAnsi="Times New Roman" w:cs="Times New Roman"/>
          <w:sz w:val="22"/>
          <w:szCs w:val="22"/>
        </w:rPr>
        <w:t xml:space="preserve"> using CGCNN. Annotations are the same as in </w:t>
      </w:r>
      <w:r w:rsidR="003005EB">
        <w:rPr>
          <w:rFonts w:ascii="Times New Roman" w:hAnsi="Times New Roman" w:cs="Times New Roman"/>
          <w:b/>
          <w:bCs/>
          <w:sz w:val="22"/>
          <w:szCs w:val="22"/>
        </w:rPr>
        <w:t>Figure 5</w:t>
      </w:r>
      <w:r w:rsidR="003005EB">
        <w:rPr>
          <w:rFonts w:ascii="Times New Roman" w:hAnsi="Times New Roman" w:cs="Times New Roman"/>
          <w:sz w:val="22"/>
          <w:szCs w:val="22"/>
        </w:rPr>
        <w:t>.</w:t>
      </w:r>
    </w:p>
    <w:p w14:paraId="794A1A1F" w14:textId="77777777" w:rsidR="00C96117" w:rsidRDefault="00C96117">
      <w:pPr>
        <w:pStyle w:val="Standard"/>
        <w:spacing w:line="360" w:lineRule="auto"/>
        <w:jc w:val="both"/>
        <w:rPr>
          <w:rFonts w:ascii="Times New Roman" w:hAnsi="Times New Roman" w:cs="Times New Roman"/>
          <w:b/>
          <w:bCs/>
          <w:sz w:val="28"/>
          <w:szCs w:val="28"/>
        </w:rPr>
      </w:pPr>
    </w:p>
    <w:p w14:paraId="2AD91A76" w14:textId="77777777" w:rsidR="00C96117" w:rsidRDefault="003A59B5">
      <w:pPr>
        <w:pStyle w:val="Standard"/>
        <w:spacing w:line="360" w:lineRule="auto"/>
        <w:jc w:val="both"/>
      </w:pPr>
      <w:r>
        <w:rPr>
          <w:rFonts w:ascii="Times New Roman" w:hAnsi="Times New Roman" w:cs="Times New Roman"/>
          <w:b/>
          <w:bCs/>
          <w:sz w:val="28"/>
          <w:szCs w:val="28"/>
        </w:rPr>
        <w:t>Outlook</w:t>
      </w:r>
    </w:p>
    <w:p w14:paraId="65D8FCCD" w14:textId="0D1BAA96" w:rsidR="00C96117" w:rsidRDefault="003A59B5">
      <w:pPr>
        <w:pStyle w:val="Standard"/>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There have been a number of recent successes in the application of machine learning for materials science problems. However, the critical question of </w:t>
      </w:r>
      <w:r w:rsidR="00221493">
        <w:rPr>
          <w:rFonts w:ascii="Times New Roman" w:hAnsi="Times New Roman" w:cs="Times New Roman"/>
        </w:rPr>
        <w:t xml:space="preserve">solid-state </w:t>
      </w:r>
      <w:r>
        <w:rPr>
          <w:rFonts w:ascii="Times New Roman" w:hAnsi="Times New Roman" w:cs="Times New Roman"/>
        </w:rPr>
        <w:t>material stability ha</w:t>
      </w:r>
      <w:r w:rsidR="00425F4F">
        <w:rPr>
          <w:rFonts w:ascii="Times New Roman" w:hAnsi="Times New Roman" w:cs="Times New Roman"/>
        </w:rPr>
        <w:t>d</w:t>
      </w:r>
      <w:r>
        <w:rPr>
          <w:rFonts w:ascii="Times New Roman" w:hAnsi="Times New Roman" w:cs="Times New Roman"/>
        </w:rPr>
        <w:t xml:space="preserve"> not been rigorously assessed. In this work, we show that while existing ML models can predict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with relatively high accuracy from the chemical formula, they are insufficient to accurately distinguish stable from unstable compounds within an arbitrary chemical space. The error in predicting DFT-calculated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by ML models is often compared favorably to the error DFT makes in predicting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relative to experimentally obtained values. This comparison neglects the fact that the DFT-calculated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differ</w:t>
      </w:r>
      <w:r w:rsidR="00221493">
        <w:rPr>
          <w:rFonts w:ascii="Times New Roman" w:hAnsi="Times New Roman" w:cs="Times New Roman"/>
        </w:rPr>
        <w:t>s</w:t>
      </w:r>
      <w:r>
        <w:rPr>
          <w:rFonts w:ascii="Times New Roman" w:hAnsi="Times New Roman" w:cs="Times New Roman"/>
        </w:rPr>
        <w:t xml:space="preserve"> systematically with experiment, whereas ML predictions do not. For DFT calculations, this leads to substantially lower errors for stability predictions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than for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A similar fortuitous cancellation of errors does not occur for ML models and the errors in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are comparable to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inhibiting accurate predictions of material stability. As new ML models for formation energy are developed, it is imperative to assess their viability as inputs for stability predictions and, most critically, for problems that resemble how the models would be implemented to address </w:t>
      </w:r>
      <w:r w:rsidR="00221493">
        <w:rPr>
          <w:rFonts w:ascii="Times New Roman" w:hAnsi="Times New Roman" w:cs="Times New Roman"/>
        </w:rPr>
        <w:t xml:space="preserve">emerging </w:t>
      </w:r>
      <w:r>
        <w:rPr>
          <w:rFonts w:ascii="Times New Roman" w:hAnsi="Times New Roman" w:cs="Times New Roman"/>
        </w:rPr>
        <w:t xml:space="preserve">materials science problems. In this work, we present a set of </w:t>
      </w:r>
      <w:r>
        <w:rPr>
          <w:rFonts w:ascii="Times New Roman" w:hAnsi="Times New Roman" w:cs="Times New Roman"/>
        </w:rPr>
        <w:lastRenderedPageBreak/>
        <w:t xml:space="preserve">tests that facilitate this assessment and allow for direct comparison to existing ML models. All data and code required to repeat this </w:t>
      </w:r>
      <w:r w:rsidR="00425F4F">
        <w:rPr>
          <w:rFonts w:ascii="Times New Roman" w:hAnsi="Times New Roman" w:cs="Times New Roman"/>
        </w:rPr>
        <w:t>set of stability analyses</w:t>
      </w:r>
      <w:r>
        <w:rPr>
          <w:rFonts w:ascii="Times New Roman" w:hAnsi="Times New Roman" w:cs="Times New Roman"/>
        </w:rPr>
        <w:t xml:space="preserve"> is available </w:t>
      </w:r>
      <w:r w:rsidR="00D438BC">
        <w:rPr>
          <w:rFonts w:ascii="Times New Roman" w:hAnsi="Times New Roman" w:cs="Times New Roman"/>
        </w:rPr>
        <w:t xml:space="preserve">at </w:t>
      </w:r>
      <w:r w:rsidR="00D438BC" w:rsidRPr="00D438BC">
        <w:rPr>
          <w:rFonts w:ascii="Times New Roman" w:hAnsi="Times New Roman" w:cs="Times New Roman"/>
          <w:b/>
          <w:bCs/>
        </w:rPr>
        <w:t>[public github link]</w:t>
      </w:r>
      <w:r>
        <w:rPr>
          <w:rFonts w:ascii="Times New Roman" w:hAnsi="Times New Roman" w:cs="Times New Roman"/>
        </w:rPr>
        <w:t>.</w:t>
      </w:r>
    </w:p>
    <w:p w14:paraId="50673FCE" w14:textId="77777777" w:rsidR="00C96117" w:rsidRDefault="003A59B5">
      <w:pPr>
        <w:pStyle w:val="Standard"/>
        <w:spacing w:line="360" w:lineRule="auto"/>
        <w:jc w:val="both"/>
      </w:pPr>
      <w:r>
        <w:rPr>
          <w:rFonts w:ascii="Times New Roman" w:hAnsi="Times New Roman" w:cs="Times New Roman"/>
        </w:rPr>
        <w:tab/>
      </w:r>
    </w:p>
    <w:p w14:paraId="60D10056" w14:textId="40BC8815" w:rsidR="00543CBE" w:rsidRDefault="003A59B5">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Methods</w:t>
      </w:r>
    </w:p>
    <w:p w14:paraId="423F2953" w14:textId="5904A921" w:rsidR="00543CBE" w:rsidRDefault="00543CBE">
      <w:pPr>
        <w:pStyle w:val="Standard"/>
        <w:spacing w:line="360" w:lineRule="auto"/>
        <w:jc w:val="both"/>
        <w:rPr>
          <w:rFonts w:ascii="Times New Roman" w:hAnsi="Times New Roman" w:cs="Times New Roman"/>
          <w:b/>
          <w:bCs/>
        </w:rPr>
      </w:pPr>
      <w:r>
        <w:rPr>
          <w:rFonts w:ascii="Times New Roman" w:hAnsi="Times New Roman" w:cs="Times New Roman"/>
          <w:b/>
          <w:bCs/>
        </w:rPr>
        <w:t>Materials Project data</w:t>
      </w:r>
    </w:p>
    <w:p w14:paraId="3C564463" w14:textId="1F0F5BC8" w:rsidR="00543CBE" w:rsidRDefault="00543CBE">
      <w:pPr>
        <w:pStyle w:val="Standard"/>
        <w:spacing w:line="360" w:lineRule="auto"/>
        <w:jc w:val="both"/>
        <w:rPr>
          <w:rFonts w:ascii="Times New Roman" w:hAnsi="Times New Roman" w:cs="Times New Roman"/>
        </w:rPr>
      </w:pPr>
      <w:r>
        <w:rPr>
          <w:rFonts w:ascii="Times New Roman" w:hAnsi="Times New Roman" w:cs="Times New Roman"/>
        </w:rPr>
        <w:tab/>
        <w:t>All entries in the Materials Project</w:t>
      </w:r>
      <w:r w:rsidR="00585742">
        <w:rPr>
          <w:rFonts w:ascii="Times New Roman" w:hAnsi="Times New Roman" w:cs="Times New Roman"/>
        </w:rPr>
        <w:fldChar w:fldCharType="begin"/>
      </w:r>
      <w:r w:rsidR="00585742">
        <w:rPr>
          <w:rFonts w:ascii="Times New Roman" w:hAnsi="Times New Roman" w:cs="Times New Roman"/>
        </w:rPr>
        <w:instrText xml:space="preserve"> ADDIN ZOTERO_ITEM CSL_CITATION {"citationID":"3EEHneLv","properties":{"formattedCitation":"\\super 9\\nosupersub{}","plainCitation":"9","noteIndex":0},"citationItems":[{"id":86,"uris":["http://zotero.org/users/local/UnIW1pB0/items/DFQX9R92"],"uri":["http://zotero.org/users/local/UnIW1pB0/items/DFQX9R92"],"itemData":{"id":86,"type":"article-journal","title":"Commentary: The Materials Project: A materials genome approach to accelerating materials innovation","container-title":"APL Materials","page":"011002","volume":"1","issue":"1","DOI":"10.1063/1.4812323","journalAbbreviation":"APL Materials","author":[{"family":"Jain","given":"Anubhav"},{"family":"Ong","given":"Shyue Ping"},{"family":"Hautier","given":"Geoffroy"},{"family":"Chen","given":"Wei"},{"family":"Richards","given":"William Davidson"},{"family":"Dacek","given":"Stephen"},{"family":"Cholia","given":"Shreyas"},{"family":"Gunter","given":"Dan"},{"family":"Skinner","given":"David"},{"family":"Ceder","given":"Gerbrand"},{"family":"Persson","given":"Kristin A."}],"issued":{"date-parts":[["2013",7,1]]}}}],"schema":"https://github.com/citation-style-language/schema/raw/master/csl-citation.json"} </w:instrText>
      </w:r>
      <w:r w:rsidR="00585742">
        <w:rPr>
          <w:rFonts w:ascii="Times New Roman" w:hAnsi="Times New Roman" w:cs="Times New Roman"/>
        </w:rPr>
        <w:fldChar w:fldCharType="separate"/>
      </w:r>
      <w:r w:rsidR="00585742" w:rsidRPr="00585742">
        <w:rPr>
          <w:rFonts w:ascii="Times New Roman" w:hAnsi="Times New Roman" w:cs="Times New Roman"/>
          <w:color w:val="000080"/>
          <w:vertAlign w:val="superscript"/>
        </w:rPr>
        <w:t>9</w:t>
      </w:r>
      <w:r w:rsidR="00585742">
        <w:rPr>
          <w:rFonts w:ascii="Times New Roman" w:hAnsi="Times New Roman" w:cs="Times New Roman"/>
        </w:rPr>
        <w:fldChar w:fldCharType="end"/>
      </w:r>
      <w:r>
        <w:rPr>
          <w:rFonts w:ascii="Times New Roman" w:hAnsi="Times New Roman" w:cs="Times New Roman"/>
        </w:rPr>
        <w:t xml:space="preserve"> database were queried on July 26, 2019 using the Materials Project API.</w:t>
      </w:r>
      <w:r w:rsidR="00585742">
        <w:rPr>
          <w:rFonts w:ascii="Times New Roman" w:hAnsi="Times New Roman" w:cs="Times New Roman"/>
        </w:rPr>
        <w:fldChar w:fldCharType="begin"/>
      </w:r>
      <w:r w:rsidR="00D81C74">
        <w:rPr>
          <w:rFonts w:ascii="Times New Roman" w:hAnsi="Times New Roman" w:cs="Times New Roman"/>
        </w:rPr>
        <w:instrText xml:space="preserve"> ADDIN ZOTERO_ITEM CSL_CITATION {"citationID":"L1bZSp6f","properties":{"formattedCitation":"\\super 42\\nosupersub{}","plainCitation":"42","noteIndex":0},"citationItems":[{"id":241,"uris":["http://zotero.org/users/local/UnIW1pB0/items/UBTDRHAT"],"uri":["http://zotero.org/users/local/UnIW1pB0/items/UBTDRHAT"],"itemData":{"id":241,"type":"article-journal","title":"The Materials Application Programming Interface (API): A simple, flexible and efficient API for materials data based on REpresentational State Transfer (REST) principles","container-title":"Computational Materials Science","page":"209-215","volume":"97","abstract":"In this paper, we describe the Materials Application Programming Interface (API), a simple, flexible and efficient interface to programmatically query and interact with the Materials Project database based on the REpresentational State Transfer (REST) pattern for the web. Since its creation in Aug 2012, the Materials API has been the Materials Project’s de facto platform for data access, supporting not only the Materials Project’s many collaborative efforts but also enabling new applications and analyses. We will highlight some of these analyses enabled by the Materials API, particularly those requiring consolidation of data on a large number of materials, such as data mining of structural and property trends, and generation of phase diagrams. We will conclude with a discussion of the role of the API in building a community that is developing novel applications and analyses based on Materials Project data.","DOI":"10.1016/j.commatsci.2014.10.037","ISSN":"0927-0256","journalAbbreviation":"Computational Materials Science","author":[{"family":"Ong","given":"Shyue Ping"},{"family":"Cholia","given":"Shreyas"},{"family":"Jain","given":"Anubhav"},{"family":"Brafman","given":"Miriam"},{"family":"Gunter","given":"Dan"},{"family":"Ceder","given":"Gerbrand"},{"family":"Persson","given":"Kristin A."}],"issued":{"date-parts":[["2015",2,1]]}}}],"schema":"https://github.com/citation-style-language/schema/raw/master/csl-citation.json"} </w:instrText>
      </w:r>
      <w:r w:rsidR="00585742">
        <w:rPr>
          <w:rFonts w:ascii="Times New Roman" w:hAnsi="Times New Roman" w:cs="Times New Roman"/>
        </w:rPr>
        <w:fldChar w:fldCharType="separate"/>
      </w:r>
      <w:r w:rsidR="00D81C74" w:rsidRPr="00D81C74">
        <w:rPr>
          <w:rFonts w:ascii="Times New Roman" w:hAnsi="Times New Roman" w:cs="Times New Roman"/>
          <w:color w:val="000080"/>
          <w:vertAlign w:val="superscript"/>
        </w:rPr>
        <w:t>42</w:t>
      </w:r>
      <w:r w:rsidR="00585742">
        <w:rPr>
          <w:rFonts w:ascii="Times New Roman" w:hAnsi="Times New Roman" w:cs="Times New Roman"/>
        </w:rPr>
        <w:fldChar w:fldCharType="end"/>
      </w:r>
      <w:r>
        <w:rPr>
          <w:rFonts w:ascii="Times New Roman" w:hAnsi="Times New Roman" w:cs="Times New Roman"/>
        </w:rPr>
        <w:t xml:space="preserve"> This produced 85,014 unique non-elemental chemical formulas. For each chemical formula, we obtained the formation energy per atom,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for all structure having that formula, and used the most negative (ground-state)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training </w:t>
      </w:r>
      <w:r w:rsidR="00221493">
        <w:rPr>
          <w:rFonts w:ascii="Times New Roman" w:hAnsi="Times New Roman" w:cs="Times New Roman"/>
        </w:rPr>
        <w:t xml:space="preserve">the models and obtaining </w:t>
      </w:r>
      <w:r w:rsidR="00221493">
        <w:rPr>
          <w:rFonts w:ascii="Times New Roman" w:hAnsi="Times New Roman" w:cs="Times New Roman"/>
        </w:rPr>
        <w:t>Δ</w:t>
      </w:r>
      <w:r w:rsidR="00221493">
        <w:rPr>
          <w:rFonts w:ascii="Times New Roman" w:hAnsi="Times New Roman" w:cs="Times New Roman"/>
          <w:i/>
          <w:iCs/>
        </w:rPr>
        <w:t>H</w:t>
      </w:r>
      <w:r w:rsidR="00221493">
        <w:rPr>
          <w:rFonts w:ascii="Times New Roman" w:hAnsi="Times New Roman" w:cs="Times New Roman"/>
          <w:vertAlign w:val="subscript"/>
        </w:rPr>
        <w:t>d</w:t>
      </w:r>
      <w:r w:rsidR="00221493">
        <w:rPr>
          <w:rFonts w:ascii="Times New Roman" w:hAnsi="Times New Roman" w:cs="Times New Roman"/>
        </w:rPr>
        <w:t xml:space="preserve"> by the convex hull construction.</w:t>
      </w:r>
    </w:p>
    <w:p w14:paraId="43FF6336" w14:textId="77777777" w:rsidR="00BC1E80" w:rsidRDefault="00BC1E80">
      <w:pPr>
        <w:pStyle w:val="Standard"/>
        <w:spacing w:line="360" w:lineRule="auto"/>
        <w:jc w:val="both"/>
        <w:rPr>
          <w:rFonts w:ascii="Times New Roman" w:hAnsi="Times New Roman" w:cs="Times New Roman"/>
        </w:rPr>
      </w:pPr>
    </w:p>
    <w:p w14:paraId="39C8E9F6" w14:textId="37AE947D" w:rsidR="00543CBE" w:rsidRDefault="00543CBE">
      <w:pPr>
        <w:pStyle w:val="Standard"/>
        <w:spacing w:line="360" w:lineRule="auto"/>
        <w:jc w:val="both"/>
        <w:rPr>
          <w:rFonts w:ascii="Times New Roman" w:hAnsi="Times New Roman" w:cs="Times New Roman"/>
          <w:b/>
          <w:bCs/>
        </w:rPr>
      </w:pPr>
      <w:r>
        <w:rPr>
          <w:rFonts w:ascii="Times New Roman" w:hAnsi="Times New Roman" w:cs="Times New Roman"/>
          <w:b/>
          <w:bCs/>
        </w:rPr>
        <w:t>General training approach</w:t>
      </w:r>
    </w:p>
    <w:p w14:paraId="3F835D12" w14:textId="7088AAC2" w:rsidR="00543CBE" w:rsidRPr="00221493" w:rsidRDefault="00543CBE">
      <w:pPr>
        <w:pStyle w:val="Standard"/>
        <w:spacing w:line="360" w:lineRule="auto"/>
        <w:jc w:val="both"/>
        <w:rPr>
          <w:rFonts w:ascii="Times New Roman" w:hAnsi="Times New Roman" w:cs="Times New Roman"/>
        </w:rPr>
      </w:pPr>
      <w:r>
        <w:rPr>
          <w:rFonts w:ascii="Times New Roman" w:hAnsi="Times New Roman" w:cs="Times New Roman"/>
        </w:rPr>
        <w:tab/>
        <w:t>5-fold cross validation was used to produce the model-predicted Δ</w:t>
      </w:r>
      <w:r>
        <w:rPr>
          <w:rFonts w:ascii="Times New Roman" w:hAnsi="Times New Roman" w:cs="Times New Roman"/>
          <w:i/>
          <w:iCs/>
        </w:rPr>
        <w:t>H</w:t>
      </w:r>
      <w:r>
        <w:rPr>
          <w:rFonts w:ascii="Times New Roman" w:hAnsi="Times New Roman" w:cs="Times New Roman"/>
          <w:vertAlign w:val="subscript"/>
        </w:rPr>
        <w:t xml:space="preserve">f,pred </w:t>
      </w:r>
      <w:r>
        <w:rPr>
          <w:rFonts w:ascii="Times New Roman" w:hAnsi="Times New Roman" w:cs="Times New Roman"/>
        </w:rPr>
        <w:t xml:space="preserve">shown in </w:t>
      </w:r>
      <w:r>
        <w:rPr>
          <w:rFonts w:ascii="Times New Roman" w:hAnsi="Times New Roman" w:cs="Times New Roman"/>
          <w:b/>
          <w:bCs/>
        </w:rPr>
        <w:t>Figure 2</w:t>
      </w:r>
      <w:r>
        <w:rPr>
          <w:rFonts w:ascii="Times New Roman" w:hAnsi="Times New Roman" w:cs="Times New Roman"/>
        </w:rPr>
        <w:t>. Each predicted value corresponds with the prediction made on that compound when it was in the validation set (i.e., not used for training). These Δ</w:t>
      </w:r>
      <w:r>
        <w:rPr>
          <w:rFonts w:ascii="Times New Roman" w:hAnsi="Times New Roman" w:cs="Times New Roman"/>
          <w:i/>
          <w:iCs/>
        </w:rPr>
        <w:t>H</w:t>
      </w:r>
      <w:r>
        <w:rPr>
          <w:rFonts w:ascii="Times New Roman" w:hAnsi="Times New Roman" w:cs="Times New Roman"/>
          <w:vertAlign w:val="subscript"/>
        </w:rPr>
        <w:t>f,pred</w:t>
      </w:r>
      <w:r>
        <w:rPr>
          <w:rFonts w:ascii="Times New Roman" w:hAnsi="Times New Roman" w:cs="Times New Roman"/>
        </w:rPr>
        <w:t xml:space="preserve"> were used directly in the convex hull analysis to generate Δ</w:t>
      </w:r>
      <w:r>
        <w:rPr>
          <w:rFonts w:ascii="Times New Roman" w:hAnsi="Times New Roman" w:cs="Times New Roman"/>
          <w:i/>
          <w:iCs/>
        </w:rPr>
        <w:t>H</w:t>
      </w:r>
      <w:r>
        <w:rPr>
          <w:rFonts w:ascii="Times New Roman" w:hAnsi="Times New Roman" w:cs="Times New Roman"/>
          <w:vertAlign w:val="subscript"/>
        </w:rPr>
        <w:t>d,pred</w:t>
      </w:r>
      <w:r>
        <w:rPr>
          <w:rFonts w:ascii="Times New Roman" w:hAnsi="Times New Roman" w:cs="Times New Roman"/>
        </w:rPr>
        <w:t xml:space="preserve"> shown in </w:t>
      </w:r>
      <w:r>
        <w:rPr>
          <w:rFonts w:ascii="Times New Roman" w:hAnsi="Times New Roman" w:cs="Times New Roman"/>
          <w:b/>
          <w:bCs/>
        </w:rPr>
        <w:t>Figure 3</w:t>
      </w:r>
      <w:r>
        <w:rPr>
          <w:rFonts w:ascii="Times New Roman" w:hAnsi="Times New Roman" w:cs="Times New Roman"/>
        </w:rPr>
        <w:t xml:space="preserve"> and stability classifications in </w:t>
      </w:r>
      <w:r>
        <w:rPr>
          <w:rFonts w:ascii="Times New Roman" w:hAnsi="Times New Roman" w:cs="Times New Roman"/>
          <w:b/>
          <w:bCs/>
        </w:rPr>
        <w:t>Figure 4</w:t>
      </w:r>
      <w:r>
        <w:rPr>
          <w:rFonts w:ascii="Times New Roman" w:hAnsi="Times New Roman" w:cs="Times New Roman"/>
        </w:rPr>
        <w:t>. For the Li-Mn-TM-O examples (</w:t>
      </w:r>
      <w:r>
        <w:rPr>
          <w:rFonts w:ascii="Times New Roman" w:hAnsi="Times New Roman" w:cs="Times New Roman"/>
          <w:b/>
          <w:bCs/>
        </w:rPr>
        <w:t xml:space="preserve">Figure 5 </w:t>
      </w:r>
      <w:r>
        <w:rPr>
          <w:rFonts w:ascii="Times New Roman" w:hAnsi="Times New Roman" w:cs="Times New Roman"/>
        </w:rPr>
        <w:t xml:space="preserve">and </w:t>
      </w:r>
      <w:r>
        <w:rPr>
          <w:rFonts w:ascii="Times New Roman" w:hAnsi="Times New Roman" w:cs="Times New Roman"/>
          <w:b/>
          <w:bCs/>
        </w:rPr>
        <w:t>Table 1</w:t>
      </w:r>
      <w:r>
        <w:rPr>
          <w:rFonts w:ascii="Times New Roman" w:hAnsi="Times New Roman" w:cs="Times New Roman"/>
        </w:rPr>
        <w:t>), each model was trained on all Materials Project entries except those 267 quaternary compounds belonging to the Li-Mn-TM-O chemical spaces.</w:t>
      </w:r>
      <w:r w:rsidR="00221493">
        <w:rPr>
          <w:rFonts w:ascii="Times New Roman" w:hAnsi="Times New Roman" w:cs="Times New Roman"/>
        </w:rPr>
        <w:t xml:space="preserve"> An analogous approach was used when training on </w:t>
      </w:r>
      <w:r w:rsidR="00221493">
        <w:rPr>
          <w:rFonts w:ascii="Times New Roman" w:hAnsi="Times New Roman" w:cs="Times New Roman"/>
        </w:rPr>
        <w:t>Δ</w:t>
      </w:r>
      <w:r w:rsidR="00221493">
        <w:rPr>
          <w:rFonts w:ascii="Times New Roman" w:hAnsi="Times New Roman" w:cs="Times New Roman"/>
          <w:i/>
          <w:iCs/>
        </w:rPr>
        <w:t>H</w:t>
      </w:r>
      <w:r w:rsidR="00221493">
        <w:rPr>
          <w:rFonts w:ascii="Times New Roman" w:hAnsi="Times New Roman" w:cs="Times New Roman"/>
          <w:vertAlign w:val="subscript"/>
        </w:rPr>
        <w:t xml:space="preserve">d </w:t>
      </w:r>
      <w:r w:rsidR="00221493">
        <w:rPr>
          <w:rFonts w:ascii="Times New Roman" w:hAnsi="Times New Roman" w:cs="Times New Roman"/>
        </w:rPr>
        <w:t xml:space="preserve">instead of </w:t>
      </w:r>
      <w:r w:rsidR="00221493">
        <w:rPr>
          <w:rFonts w:ascii="Times New Roman" w:hAnsi="Times New Roman" w:cs="Times New Roman"/>
        </w:rPr>
        <w:t>Δ</w:t>
      </w:r>
      <w:r w:rsidR="00221493">
        <w:rPr>
          <w:rFonts w:ascii="Times New Roman" w:hAnsi="Times New Roman" w:cs="Times New Roman"/>
          <w:i/>
          <w:iCs/>
        </w:rPr>
        <w:t>H</w:t>
      </w:r>
      <w:r w:rsidR="00221493">
        <w:rPr>
          <w:rFonts w:ascii="Times New Roman" w:hAnsi="Times New Roman" w:cs="Times New Roman"/>
          <w:vertAlign w:val="subscript"/>
        </w:rPr>
        <w:t>f</w:t>
      </w:r>
      <w:r w:rsidR="00221493">
        <w:rPr>
          <w:rFonts w:ascii="Times New Roman" w:hAnsi="Times New Roman" w:cs="Times New Roman"/>
        </w:rPr>
        <w:t xml:space="preserve"> to generate the results shown in </w:t>
      </w:r>
      <w:r w:rsidR="00221493">
        <w:rPr>
          <w:rFonts w:ascii="Times New Roman" w:hAnsi="Times New Roman" w:cs="Times New Roman"/>
          <w:b/>
          <w:bCs/>
        </w:rPr>
        <w:t>Figure 6</w:t>
      </w:r>
      <w:r w:rsidR="00221493" w:rsidRPr="00221493">
        <w:rPr>
          <w:rFonts w:ascii="Times New Roman" w:hAnsi="Times New Roman" w:cs="Times New Roman"/>
        </w:rPr>
        <w:t>,</w:t>
      </w:r>
      <w:r w:rsidR="00221493">
        <w:rPr>
          <w:rFonts w:ascii="Times New Roman" w:hAnsi="Times New Roman" w:cs="Times New Roman"/>
          <w:b/>
          <w:bCs/>
        </w:rPr>
        <w:t xml:space="preserve"> Figure S3-S4</w:t>
      </w:r>
      <w:r w:rsidR="00221493">
        <w:rPr>
          <w:rFonts w:ascii="Times New Roman" w:hAnsi="Times New Roman" w:cs="Times New Roman"/>
        </w:rPr>
        <w:t xml:space="preserve">, and </w:t>
      </w:r>
      <w:r w:rsidR="00221493">
        <w:rPr>
          <w:rFonts w:ascii="Times New Roman" w:hAnsi="Times New Roman" w:cs="Times New Roman"/>
          <w:b/>
          <w:bCs/>
        </w:rPr>
        <w:t>Table S1</w:t>
      </w:r>
      <w:r w:rsidR="00221493">
        <w:rPr>
          <w:rFonts w:ascii="Times New Roman" w:hAnsi="Times New Roman" w:cs="Times New Roman"/>
        </w:rPr>
        <w:t>.</w:t>
      </w:r>
    </w:p>
    <w:p w14:paraId="147E290F" w14:textId="77777777" w:rsidR="003A7316" w:rsidRDefault="003A7316">
      <w:pPr>
        <w:pStyle w:val="Standard"/>
        <w:spacing w:line="360" w:lineRule="auto"/>
        <w:jc w:val="both"/>
        <w:rPr>
          <w:rFonts w:ascii="Times New Roman" w:hAnsi="Times New Roman" w:cs="Times New Roman"/>
          <w:b/>
          <w:bCs/>
        </w:rPr>
      </w:pPr>
    </w:p>
    <w:p w14:paraId="527F2432" w14:textId="70B2C00A" w:rsidR="00543CBE" w:rsidRDefault="003A59B5">
      <w:pPr>
        <w:pStyle w:val="Standard"/>
        <w:spacing w:line="360" w:lineRule="auto"/>
        <w:jc w:val="both"/>
        <w:rPr>
          <w:rFonts w:ascii="Times New Roman" w:hAnsi="Times New Roman" w:cs="Times New Roman"/>
          <w:b/>
          <w:bCs/>
        </w:rPr>
      </w:pPr>
      <w:r>
        <w:rPr>
          <w:rFonts w:ascii="Times New Roman" w:hAnsi="Times New Roman" w:cs="Times New Roman"/>
          <w:b/>
          <w:bCs/>
        </w:rPr>
        <w:t>Compositional model training</w:t>
      </w:r>
    </w:p>
    <w:p w14:paraId="760F5DCC" w14:textId="4F9A76FB" w:rsidR="00C96117" w:rsidRPr="00221493" w:rsidRDefault="000744D7" w:rsidP="003A7316">
      <w:pPr>
        <w:pStyle w:val="Standard"/>
        <w:spacing w:line="360" w:lineRule="auto"/>
        <w:ind w:firstLine="720"/>
        <w:jc w:val="both"/>
        <w:rPr>
          <w:rFonts w:ascii="Cambria Math" w:hAnsi="Cambria Math" w:cs="Times New Roman"/>
        </w:rPr>
      </w:pPr>
      <w:r>
        <w:rPr>
          <w:rFonts w:ascii="Times New Roman" w:hAnsi="Times New Roman" w:cs="Times New Roman"/>
        </w:rPr>
        <w:t>Four of the compositional models—elfrac, prb14,</w:t>
      </w:r>
      <w:r>
        <w:fldChar w:fldCharType="begin"/>
      </w:r>
      <w:r>
        <w:instrText xml:space="preserve"> ADDIN ZOTERO_ITEM CSL_CITATION {"citationID":"FjBee9XX","properties":{"formattedCitation":"\\super 19\\nosupersub{}","plainCitation":"19","noteIndex":0},"citationItems":[{"id":206,"uris":["http://zotero.org/users/local/UnIW1pB0/items/GYTP6UM4"],"uri":["http://zotero.org/users/local/UnIW1pB0/items/GYTP6UM4"],"itemData":{"id":206,"type":"article-journal","title":"Combinatorial screening for new materials in unconstrained composition space with machine learning","container-title":"Physical Review B","page":"094104","volume":"89","issue":"9","DOI":"10.1103/PhysRevB.89.094104","journalAbbreviation":"Phys. Rev. B","author":[{"family":"Meredig","given":"B."},{"family":"Agrawal","given":"A."},{"family":"Kirklin","given":"S."},{"family":"Saal","given":"J. E."},{"family":"Doak","given":"J. W."},{"family":"Thompson","given":"A."},{"family":"Zhang","given":"K."},{"family":"Choudhary","given":"A."},{"family":"Wolverton","given":"C."}],"issued":{"date-parts":[["2014",3,14]]}}}],"schema":"https://github.com/citation-style-language/schema/raw/master/csl-citation.json"} </w:instrText>
      </w:r>
      <w:r>
        <w:fldChar w:fldCharType="separate"/>
      </w:r>
      <w:r>
        <w:rPr>
          <w:rFonts w:ascii="Times New Roman" w:hAnsi="Times New Roman" w:cs="Times New Roman"/>
          <w:color w:val="000080"/>
          <w:vertAlign w:val="superscript"/>
        </w:rPr>
        <w:t>19</w:t>
      </w:r>
      <w:r>
        <w:fldChar w:fldCharType="end"/>
      </w:r>
      <w:r>
        <w:rPr>
          <w:rFonts w:ascii="Times New Roman" w:hAnsi="Times New Roman" w:cs="Times New Roman"/>
        </w:rPr>
        <w:t xml:space="preserve"> prb16,</w:t>
      </w:r>
      <w:r>
        <w:fldChar w:fldCharType="begin"/>
      </w:r>
      <w:r>
        <w:instrText xml:space="preserve"> ADDIN ZOTERO_ITEM CSL_CITATION {"citationID":"0vfLPq0o","properties":{"formattedCitation":"\\super 20\\nosupersub{}","plainCitation":"20","noteIndex":0},"citationItems":[{"id":207,"uris":["http://zotero.org/users/local/UnIW1pB0/items/NUSWPHNZ"],"uri":["http://zotero.org/users/local/UnIW1pB0/items/NUSWPHNZ"],"itemData":{"id":207,"type":"article-journal","title":"Predicting density functional theory total energies and enthalpies of formation of metal-nonmetal compounds by linear regression","container-title":"Physical Review B","page":"085142","volume":"93","issue":"8","DOI":"10.1103/PhysRevB.93.085142","journalAbbreviation":"Phys. Rev. B","author":[{"family":"Deml","given":"Ann M."},{"family":"O’Hayre","given":"Ryan"},{"family":"Wolverton","given":"Chris"},{"family":"Stevanović","given":"Vladan"}],"issued":{"date-parts":[["2016",2,29]]}}}],"schema":"https://github.com/citation-style-language/schema/raw/master/csl-citation.json"} </w:instrText>
      </w:r>
      <w:r>
        <w:fldChar w:fldCharType="separate"/>
      </w:r>
      <w:r>
        <w:rPr>
          <w:rFonts w:ascii="Times New Roman" w:hAnsi="Times New Roman" w:cs="Times New Roman"/>
          <w:color w:val="000080"/>
          <w:vertAlign w:val="superscript"/>
        </w:rPr>
        <w:t>20</w:t>
      </w:r>
      <w:r>
        <w:fldChar w:fldCharType="end"/>
      </w:r>
      <w:r>
        <w:rPr>
          <w:rFonts w:ascii="Times New Roman" w:hAnsi="Times New Roman" w:cs="Times New Roman"/>
        </w:rPr>
        <w:t xml:space="preserve"> and npj16</w:t>
      </w:r>
      <w:r>
        <w:fldChar w:fldCharType="begin"/>
      </w:r>
      <w:r>
        <w:instrText xml:space="preserve"> ADDIN ZOTERO_ITEM CSL_CITATION {"citationID":"DzG2KrNW","properties":{"formattedCitation":"\\super 21\\nosupersub{}","plainCitation":"21","noteIndex":0},"citationItems":[{"id":208,"uris":["http://zotero.org/users/local/UnIW1pB0/items/799KRFHA"],"uri":["http://zotero.org/users/local/UnIW1pB0/items/799KRFHA"],"itemData":{"id":208,"type":"article-journal","title":"A general-purpose machine learning framework for predicting properties of inorganic materials","container-title":"npj Computational Materials","page":"16028","volume":"2","issue":"1","abstract":"A very active area of materials research is to devise methods that use machine learning to automatically extract predictive models from existing materials data. While prior examples have demonstrated successful models for some applications, many more applications exist where machine learning can make a strong impact. To enable faster development of machine-learning-based models for such applications, we have created a framework capable of being applied to a broad range of materials data. Our method works by using a chemically diverse list of attributes, which we demonstrate are suitable for describing a wide variety of properties, and a novel method for partitioning the data set into groups of similar materials to boost the predictive accuracy. In this manuscript, we demonstrate how this new method can be used to predict diverse properties of crystalline and amorphous materials, such as band gap energy and glass-forming ability.","DOI":"10.1038/npjcompumats.2016.28","ISSN":"2057-3960","journalAbbreviation":"npj Computational Materials","author":[{"family":"Ward","given":"Logan"},{"family":"Agrawal","given":"Ankit"},{"family":"Choudhary","given":"Alok"},{"family":"Wolverton","given":"Christopher"}],"issued":{"date-parts":[["2016",8,26]]}}}],"schema":"https://github.com/citation-style-language/schema/raw/master/csl-citation.json"} </w:instrText>
      </w:r>
      <w:r>
        <w:fldChar w:fldCharType="separate"/>
      </w:r>
      <w:r>
        <w:rPr>
          <w:rFonts w:ascii="Times New Roman" w:hAnsi="Times New Roman" w:cs="Times New Roman"/>
          <w:color w:val="000080"/>
          <w:vertAlign w:val="superscript"/>
        </w:rPr>
        <w:t>21</w:t>
      </w:r>
      <w:r>
        <w:fldChar w:fldCharType="end"/>
      </w:r>
      <w:r>
        <w:rPr>
          <w:rFonts w:ascii="Times New Roman" w:hAnsi="Times New Roman" w:cs="Times New Roman"/>
        </w:rPr>
        <w:t>—were implemented using matminer</w:t>
      </w:r>
      <w:r>
        <w:rPr>
          <w:rFonts w:ascii="Times New Roman" w:hAnsi="Times New Roman" w:cs="Times New Roman"/>
        </w:rPr>
        <w:fldChar w:fldCharType="begin"/>
      </w:r>
      <w:r w:rsidR="00D81C74">
        <w:rPr>
          <w:rFonts w:ascii="Times New Roman" w:hAnsi="Times New Roman" w:cs="Times New Roman"/>
        </w:rPr>
        <w:instrText xml:space="preserve"> ADDIN ZOTERO_ITEM CSL_CITATION {"citationID":"8VRO1d7P","properties":{"formattedCitation":"\\super 43\\nosupersub{}","plainCitation":"43","noteIndex":0},"citationItems":[{"id":240,"uris":["http://zotero.org/users/local/UnIW1pB0/items/IK93LV2Y"],"uri":["http://zotero.org/users/local/UnIW1pB0/items/IK93LV2Y"],"itemData":{"id":240,"type":"article-journal","title":"Matminer: An open source toolkit for materials data mining","container-title":"Computational Materials Science","page":"60-69","volume":"152","abstract":"As materials data sets grow in size and scope, the role of data mining and statistical learning methods to analyze these materials data sets and build predictive models is becoming more important. This manuscript introduces matminer, an open-source, Python-based software platform to facilitate data-driven methods of analyzing and predicting materials properties. Matminer provides modules for retrieving large data sets from external databases such as the Materials Project, Citrination, Materials Data Facility, and Materials Platform for Data Science. It also provides implementations for an extensive library of feature extraction routines developed by the materials community, with 47 featurization classes that can generate thousands of individual descriptors and combine them into mathematical functions. Finally, matminer provides a visualization module for producing interactive, shareable plots. These functions are designed in a way that integrates closely with machine learning and data analysis packages already developed and in use by the Python data science community. We explain the structure and logic of matminer, provide a description of its various modules, and showcase several examples of how matminer can be used to collect data, reproduce data mining studies reported in the literature, and test new methodologies.","DOI":"10.1016/j.commatsci.2018.05.018","ISSN":"0927-0256","journalAbbreviation":"Computational Materials Science","author":[{"family":"Ward","given":"Logan"},{"family":"Dunn","given":"Alexander"},{"family":"Faghaninia","given":"Alireza"},{"family":"Zimmermann","given":"Nils E.R."},{"family":"Bajaj","given":"Saurabh"},{"family":"Wang","given":"Qi"},{"family":"Montoya","given":"Joseph"},{"family":"Chen","given":"Jiming"},{"family":"Bystrom","given":"Kyle"},{"family":"Dylla","given":"Maxwell"},{"family":"Chard","given":"Kyle"},{"family":"Asta","given":"Mark"},{"family":"Persson","given":"Kristin A."},{"family":"Snyder","given":"G. Jeffrey"},{"family":"Foster","given":"Ian"},{"family":"Jain","given":"Anubhav"}],"issued":{"date-parts":[["2018",9,1]]}}}],"schema":"https://github.com/citation-style-language/schema/raw/master/csl-citation.json"} </w:instrText>
      </w:r>
      <w:r>
        <w:rPr>
          <w:rFonts w:ascii="Times New Roman" w:hAnsi="Times New Roman" w:cs="Times New Roman"/>
        </w:rPr>
        <w:fldChar w:fldCharType="separate"/>
      </w:r>
      <w:r w:rsidR="00D81C74" w:rsidRPr="00D81C74">
        <w:rPr>
          <w:rFonts w:ascii="Times New Roman" w:hAnsi="Times New Roman" w:cs="Times New Roman"/>
          <w:color w:val="000080"/>
          <w:vertAlign w:val="superscript"/>
        </w:rPr>
        <w:t>43</w:t>
      </w:r>
      <w:r>
        <w:rPr>
          <w:rFonts w:ascii="Times New Roman" w:hAnsi="Times New Roman" w:cs="Times New Roman"/>
        </w:rPr>
        <w:fldChar w:fldCharType="end"/>
      </w:r>
      <w:r>
        <w:rPr>
          <w:rFonts w:ascii="Times New Roman" w:hAnsi="Times New Roman" w:cs="Times New Roman"/>
        </w:rPr>
        <w:t xml:space="preserve"> and trained using gradient boosting as implemented in XGBoost</w:t>
      </w:r>
      <w:r w:rsidR="003A59B5">
        <w:fldChar w:fldCharType="begin"/>
      </w:r>
      <w:r w:rsidR="00D81C74">
        <w:instrText xml:space="preserve"> ADDIN ZOTERO_ITEM CSL_CITATION {"citationID":"ahJ6G4uC","properties":{"formattedCitation":"\\super 44\\nosupersub{}","plainCitation":"44","noteIndex":0},"citationItems":[{"id":119,"uris":["http://zotero.org/users/local/UnIW1pB0/items/Z9ZJH9P5"],"uri":["http://zotero.org/users/local/UnIW1pB0/items/Z9ZJH9P5"],"itemData":{"id":119,"type":"article-journal","title":"XGBoost: A Scalable Tree Boosting System","container-title":"Proceedings of the 22nd ACM SIGKDD International Conference on Knowledge Discovery and Data Mining - KDD '16","page":"785-794","source":"arXiv.org","abstract":"Tree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systems.","DOI":"10.1145/2939672.2939785","note":"arXiv: 1603.02754","title-short":"XGBoost","author":[{"family":"Chen","given":"Tianqi"},{"family":"Guestrin","given":"Carlos"}],"issued":{"date-parts":[["2016"]]}}}],"schema":"https://github.com/citation-style-language/schema/raw/master/csl-citation.json"} </w:instrText>
      </w:r>
      <w:r w:rsidR="003A59B5">
        <w:fldChar w:fldCharType="separate"/>
      </w:r>
      <w:bookmarkStart w:id="29" w:name="__Fieldmark__1532_468041894"/>
      <w:r w:rsidR="00D81C74" w:rsidRPr="00D81C74">
        <w:rPr>
          <w:rFonts w:ascii="Times New Roman" w:hAnsi="Times New Roman" w:cs="Times New Roman"/>
          <w:color w:val="000080"/>
          <w:vertAlign w:val="superscript"/>
        </w:rPr>
        <w:t>44</w:t>
      </w:r>
      <w:r w:rsidR="003A59B5">
        <w:fldChar w:fldCharType="end"/>
      </w:r>
      <w:bookmarkEnd w:id="29"/>
      <w:r w:rsidR="003A59B5">
        <w:rPr>
          <w:rFonts w:ascii="Times New Roman" w:hAnsi="Times New Roman" w:cs="Times New Roman"/>
        </w:rPr>
        <w:t xml:space="preserve"> </w:t>
      </w:r>
      <w:r>
        <w:rPr>
          <w:rFonts w:ascii="Times New Roman" w:hAnsi="Times New Roman" w:cs="Times New Roman"/>
        </w:rPr>
        <w:t xml:space="preserve">with 200 trees and a maximum depth of 5. Preliminary tests showed XGBoost and these hyperparameters </w:t>
      </w:r>
      <w:r w:rsidR="00EF26AB">
        <w:rPr>
          <w:rFonts w:ascii="Times New Roman" w:hAnsi="Times New Roman" w:cs="Times New Roman"/>
        </w:rPr>
        <w:t>lead to the highest accuracy of tested algorithms. auto</w:t>
      </w:r>
      <w:r w:rsidR="00EF26AB">
        <w:rPr>
          <w:rFonts w:ascii="Times New Roman" w:hAnsi="Times New Roman" w:cs="Times New Roman"/>
        </w:rPr>
        <w:fldChar w:fldCharType="begin"/>
      </w:r>
      <w:r w:rsidR="00EF26AB">
        <w:rPr>
          <w:rFonts w:ascii="Times New Roman" w:hAnsi="Times New Roman" w:cs="Times New Roman"/>
        </w:rPr>
        <w:instrText xml:space="preserve"> ADDIN ZOTERO_ITEM CSL_CITATION {"citationID":"aeyuIdd4","properties":{"formattedCitation":"\\super 22\\nosupersub{}","plainCitation":"22","noteIndex":0},"citationItems":[{"id":214,"uris":["http://zotero.org/users/local/UnIW1pB0/items/8YJJFI24"],"uri":["http://zotero.org/users/local/UnIW1pB0/items/8YJJFI24"],"itemData":{"id":214,"type":"article-journal","title":"AutoMatminer","container-title":"https://github.com/hackingmaterials/automatminer"}}],"schema":"https://github.com/citation-style-language/schema/raw/master/csl-citation.json"} </w:instrText>
      </w:r>
      <w:r w:rsidR="00EF26AB">
        <w:rPr>
          <w:rFonts w:ascii="Times New Roman" w:hAnsi="Times New Roman" w:cs="Times New Roman"/>
        </w:rPr>
        <w:fldChar w:fldCharType="separate"/>
      </w:r>
      <w:r w:rsidR="00EF26AB" w:rsidRPr="00EF26AB">
        <w:rPr>
          <w:rFonts w:ascii="Times New Roman" w:hAnsi="Times New Roman" w:cs="Times New Roman"/>
          <w:color w:val="000080"/>
          <w:vertAlign w:val="superscript"/>
        </w:rPr>
        <w:t>22</w:t>
      </w:r>
      <w:r w:rsidR="00EF26AB">
        <w:rPr>
          <w:rFonts w:ascii="Times New Roman" w:hAnsi="Times New Roman" w:cs="Times New Roman"/>
        </w:rPr>
        <w:fldChar w:fldCharType="end"/>
      </w:r>
      <w:r w:rsidR="00EF26AB">
        <w:rPr>
          <w:rFonts w:ascii="Times New Roman" w:hAnsi="Times New Roman" w:cs="Times New Roman"/>
        </w:rPr>
        <w:t xml:space="preserve"> was used as implemented in Ref. </w:t>
      </w:r>
      <w:r w:rsidR="00EF26AB">
        <w:rPr>
          <w:rFonts w:ascii="Times New Roman" w:hAnsi="Times New Roman" w:cs="Times New Roman"/>
        </w:rPr>
        <w:fldChar w:fldCharType="begin"/>
      </w:r>
      <w:r w:rsidR="00EF26AB">
        <w:rPr>
          <w:rFonts w:ascii="Times New Roman" w:hAnsi="Times New Roman" w:cs="Times New Roman"/>
        </w:rPr>
        <w:instrText xml:space="preserve"> ADDIN ZOTERO_ITEM CSL_CITATION {"citationID":"ky4PKTFr","properties":{"formattedCitation":"\\super 22\\nosupersub{}","plainCitation":"22","noteIndex":0},"citationItems":[{"id":214,"uris":["http://zotero.org/users/local/UnIW1pB0/items/8YJJFI24"],"uri":["http://zotero.org/users/local/UnIW1pB0/items/8YJJFI24"],"itemData":{"id":214,"type":"article-journal","title":"AutoMatminer","container-title":"https://github.com/hackingmaterials/automatminer"}}],"schema":"https://github.com/citation-style-language/schema/raw/master/csl-citation.json"} </w:instrText>
      </w:r>
      <w:r w:rsidR="00EF26AB">
        <w:rPr>
          <w:rFonts w:ascii="Times New Roman" w:hAnsi="Times New Roman" w:cs="Times New Roman"/>
        </w:rPr>
        <w:fldChar w:fldCharType="separate"/>
      </w:r>
      <w:r w:rsidR="00EF26AB" w:rsidRPr="00EF26AB">
        <w:rPr>
          <w:rFonts w:ascii="Times New Roman" w:hAnsi="Times New Roman" w:cs="Times New Roman"/>
          <w:color w:val="000080"/>
          <w:vertAlign w:val="superscript"/>
        </w:rPr>
        <w:t>22</w:t>
      </w:r>
      <w:r w:rsidR="00EF26AB">
        <w:rPr>
          <w:rFonts w:ascii="Times New Roman" w:hAnsi="Times New Roman" w:cs="Times New Roman"/>
        </w:rPr>
        <w:fldChar w:fldCharType="end"/>
      </w:r>
      <w:r w:rsidR="00EF26AB">
        <w:rPr>
          <w:rFonts w:ascii="Times New Roman" w:hAnsi="Times New Roman" w:cs="Times New Roman"/>
        </w:rPr>
        <w:t>. a</w:t>
      </w:r>
      <w:r w:rsidR="003A59B5">
        <w:rPr>
          <w:rFonts w:ascii="Times New Roman" w:hAnsi="Times New Roman" w:cs="Times New Roman"/>
        </w:rPr>
        <w:t>rXiv19</w:t>
      </w:r>
      <w:r w:rsidR="00EF26AB">
        <w:rPr>
          <w:rFonts w:ascii="Times New Roman" w:hAnsi="Times New Roman" w:cs="Times New Roman"/>
        </w:rPr>
        <w:fldChar w:fldCharType="begin"/>
      </w:r>
      <w:r w:rsidR="00EF26AB">
        <w:rPr>
          <w:rFonts w:ascii="Times New Roman" w:hAnsi="Times New Roman" w:cs="Times New Roman"/>
        </w:rPr>
        <w:instrText xml:space="preserve"> ADDIN ZOTERO_ITEM CSL_CITATION {"citationID":"CAeRss3H","properties":{"formattedCitation":"\\super 23\\nosupersub{}","plainCitation":"23","noteIndex":0},"citationItems":[{"id":213,"uris":["http://zotero.org/users/local/UnIW1pB0/items/VR37YNKF"],"uri":["http://zotero.org/users/local/UnIW1pB0/items/VR37YNKF"],"itemData":{"id":213,"type":"article-journal","title":"Predicting materials properties without crystal structure: Deep representation learning from stoichiometry","container-title":"arXiv pre-print 1910.00617","author":[{"family":"Goodall, Rhys","given":""},{"family":"Lee, Alpha","given":""}]}}],"schema":"https://github.com/citation-style-language/schema/raw/master/csl-citation.json"} </w:instrText>
      </w:r>
      <w:r w:rsidR="00EF26AB">
        <w:rPr>
          <w:rFonts w:ascii="Times New Roman" w:hAnsi="Times New Roman" w:cs="Times New Roman"/>
        </w:rPr>
        <w:fldChar w:fldCharType="separate"/>
      </w:r>
      <w:r w:rsidR="00EF26AB" w:rsidRPr="00EF26AB">
        <w:rPr>
          <w:rFonts w:ascii="Times New Roman" w:hAnsi="Times New Roman" w:cs="Times New Roman"/>
          <w:color w:val="000080"/>
          <w:vertAlign w:val="superscript"/>
        </w:rPr>
        <w:t>23</w:t>
      </w:r>
      <w:r w:rsidR="00EF26AB">
        <w:rPr>
          <w:rFonts w:ascii="Times New Roman" w:hAnsi="Times New Roman" w:cs="Times New Roman"/>
        </w:rPr>
        <w:fldChar w:fldCharType="end"/>
      </w:r>
      <w:r w:rsidR="003A59B5">
        <w:rPr>
          <w:rFonts w:ascii="Times New Roman" w:hAnsi="Times New Roman" w:cs="Times New Roman"/>
        </w:rPr>
        <w:t xml:space="preserve"> was trained for 500 epochs using an Adam optimizer with an initial learning rate of 5</w:t>
      </w:r>
      <w:r w:rsidR="00221493" w:rsidRPr="00221493">
        <w:rPr>
          <w:rFonts w:ascii="Cambria Math" w:hAnsi="Cambria Math" w:cs="Times New Roman"/>
        </w:rPr>
        <w:t>⨯</w:t>
      </w:r>
      <w:r w:rsidR="003A59B5">
        <w:rPr>
          <w:rFonts w:ascii="Times New Roman" w:hAnsi="Times New Roman" w:cs="Times New Roman"/>
        </w:rPr>
        <w:t>10</w:t>
      </w:r>
      <w:r w:rsidR="003A59B5">
        <w:rPr>
          <w:rFonts w:ascii="Times New Roman" w:hAnsi="Times New Roman" w:cs="Times New Roman"/>
          <w:vertAlign w:val="superscript"/>
        </w:rPr>
        <w:t>-4</w:t>
      </w:r>
      <w:r w:rsidR="003A59B5">
        <w:rPr>
          <w:rFonts w:ascii="Times New Roman" w:hAnsi="Times New Roman" w:cs="Times New Roman"/>
        </w:rPr>
        <w:t xml:space="preserve"> and an L</w:t>
      </w:r>
      <w:r w:rsidR="003A59B5" w:rsidRPr="00EF26AB">
        <w:rPr>
          <w:rFonts w:ascii="Times New Roman" w:hAnsi="Times New Roman" w:cs="Times New Roman"/>
          <w:vertAlign w:val="subscript"/>
        </w:rPr>
        <w:t>1</w:t>
      </w:r>
      <w:r w:rsidR="003A59B5">
        <w:rPr>
          <w:rFonts w:ascii="Times New Roman" w:hAnsi="Times New Roman" w:cs="Times New Roman"/>
        </w:rPr>
        <w:t xml:space="preserve"> loss function.</w:t>
      </w:r>
    </w:p>
    <w:p w14:paraId="468E4BF4" w14:textId="77777777" w:rsidR="00C96117" w:rsidRDefault="00C96117">
      <w:pPr>
        <w:pStyle w:val="Standard"/>
        <w:spacing w:line="360" w:lineRule="auto"/>
        <w:jc w:val="both"/>
        <w:rPr>
          <w:rFonts w:ascii="Times New Roman" w:hAnsi="Times New Roman" w:cs="Times New Roman"/>
          <w:lang w:eastAsia="zh-CN"/>
        </w:rPr>
      </w:pPr>
    </w:p>
    <w:p w14:paraId="5C049865" w14:textId="77777777" w:rsidR="00C96117" w:rsidRDefault="003A59B5">
      <w:pPr>
        <w:pStyle w:val="Standard"/>
        <w:spacing w:line="360" w:lineRule="auto"/>
        <w:jc w:val="both"/>
        <w:rPr>
          <w:rFonts w:ascii="Times New Roman" w:hAnsi="Times New Roman" w:cs="Times New Roman"/>
          <w:b/>
          <w:bCs/>
          <w:lang w:eastAsia="zh-CN"/>
        </w:rPr>
      </w:pPr>
      <w:r>
        <w:rPr>
          <w:rFonts w:ascii="Times New Roman" w:hAnsi="Times New Roman" w:cs="Times New Roman"/>
          <w:b/>
          <w:bCs/>
        </w:rPr>
        <w:t xml:space="preserve">CGCNN </w:t>
      </w:r>
      <w:r>
        <w:rPr>
          <w:rFonts w:ascii="Times New Roman" w:hAnsi="Times New Roman" w:cs="Times New Roman"/>
          <w:b/>
          <w:bCs/>
          <w:lang w:eastAsia="zh-CN"/>
        </w:rPr>
        <w:t>training</w:t>
      </w:r>
    </w:p>
    <w:p w14:paraId="375742D8" w14:textId="1E817A27" w:rsidR="00C96117" w:rsidRDefault="003A59B5">
      <w:pPr>
        <w:pStyle w:val="Standard"/>
        <w:spacing w:line="360" w:lineRule="auto"/>
        <w:ind w:firstLine="720"/>
        <w:jc w:val="both"/>
        <w:rPr>
          <w:rFonts w:ascii="Times New Roman" w:hAnsi="Times New Roman" w:cs="Times New Roman"/>
          <w:lang w:eastAsia="zh-CN"/>
        </w:rPr>
      </w:pPr>
      <w:r>
        <w:rPr>
          <w:rFonts w:ascii="Times New Roman" w:hAnsi="Times New Roman" w:cs="Times New Roman"/>
          <w:lang w:eastAsia="zh-CN"/>
        </w:rPr>
        <w:lastRenderedPageBreak/>
        <w:t>We used a modified 5-fold cross-validation to train the CGCNN</w:t>
      </w:r>
      <w:r w:rsidR="00221493">
        <w:rPr>
          <w:rFonts w:ascii="Times New Roman" w:hAnsi="Times New Roman" w:cs="Times New Roman"/>
          <w:lang w:eastAsia="zh-CN"/>
        </w:rPr>
        <w:fldChar w:fldCharType="begin"/>
      </w:r>
      <w:r w:rsidR="00221493">
        <w:rPr>
          <w:rFonts w:ascii="Times New Roman" w:hAnsi="Times New Roman" w:cs="Times New Roman"/>
          <w:lang w:eastAsia="zh-CN"/>
        </w:rPr>
        <w:instrText xml:space="preserve"> ADDIN ZOTERO_ITEM CSL_CITATION {"citationID":"iOEiD320","properties":{"formattedCitation":"\\super 26\\nosupersub{}","plainCitation":"26","noteIndex":0},"citationItems":[{"id":191,"uris":["http://zotero.org/users/local/UnIW1pB0/items/EFLDVXAV"],"uri":["http://zotero.org/users/local/UnIW1pB0/items/EFLDVXAV"],"itemData":{"id":191,"type":"article-journal","title":"Crystal Graph Convolutional Neural Networks for an Accurate and Interpretable Prediction of Material Properties","container-title":"Physical Review Letters","page":"145301","volume":"120","issue":"14","DOI":"10.1103/PhysRevLett.120.145301","author":[{"family":"Xie","given":"Tian"},{"family":"Grossman","given":"Jeffrey C."}],"issued":{"literal":"June 4"}}}],"schema":"https://github.com/citation-style-language/schema/raw/master/csl-citation.json"} </w:instrText>
      </w:r>
      <w:r w:rsidR="00221493">
        <w:rPr>
          <w:rFonts w:ascii="Times New Roman" w:hAnsi="Times New Roman" w:cs="Times New Roman"/>
          <w:lang w:eastAsia="zh-CN"/>
        </w:rPr>
        <w:fldChar w:fldCharType="separate"/>
      </w:r>
      <w:r w:rsidR="00221493" w:rsidRPr="00221493">
        <w:rPr>
          <w:rFonts w:ascii="Times New Roman" w:hAnsi="Times New Roman" w:cs="Times New Roman"/>
          <w:color w:val="000080"/>
          <w:vertAlign w:val="superscript"/>
        </w:rPr>
        <w:t>26</w:t>
      </w:r>
      <w:r w:rsidR="00221493">
        <w:rPr>
          <w:rFonts w:ascii="Times New Roman" w:hAnsi="Times New Roman" w:cs="Times New Roman"/>
          <w:lang w:eastAsia="zh-CN"/>
        </w:rPr>
        <w:fldChar w:fldCharType="end"/>
      </w:r>
      <w:r>
        <w:rPr>
          <w:rFonts w:ascii="Times New Roman" w:hAnsi="Times New Roman" w:cs="Times New Roman"/>
          <w:lang w:eastAsia="zh-CN"/>
        </w:rPr>
        <w:t xml:space="preserve"> model for the MP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lang w:eastAsia="zh-CN"/>
        </w:rPr>
        <w:t xml:space="preserve"> dataset. As a general procedure for cross-validation, the dataset is split to 5 groups and each group is iteratively taken as a hold-out test set. For each fold, we then split the training set to 75% training and 25% validation, thus the overall size ratio of training, validation, and test is 60%, 20%, and 20%, respectively. The CGCNN model is iteratively updated by minimizing the loss (mean squared error, MSE) on the training set, and the validation score (mean absolute error, MAE) is monitored after each epoch. After 1000 epochs, the model with the best validation score is selected and then evaluated on the hold-out test set. Results of the 5-fold hold-out test sets are accumulated as the final predictions of the dataset. </w:t>
      </w:r>
    </w:p>
    <w:p w14:paraId="29AC1E61" w14:textId="77777777" w:rsidR="00C96117" w:rsidRDefault="003A59B5">
      <w:pPr>
        <w:pStyle w:val="Standard"/>
        <w:spacing w:line="360" w:lineRule="auto"/>
        <w:jc w:val="both"/>
        <w:rPr>
          <w:rFonts w:ascii="Times New Roman" w:hAnsi="Times New Roman" w:cs="Times New Roman"/>
        </w:rPr>
      </w:pPr>
      <w:r>
        <w:rPr>
          <w:rFonts w:ascii="Times New Roman" w:hAnsi="Times New Roman" w:cs="Times New Roman"/>
          <w:lang w:eastAsia="zh-CN"/>
        </w:rPr>
        <w:t xml:space="preserve">        For the </w:t>
      </w:r>
      <w:r>
        <w:rPr>
          <w:rFonts w:ascii="Times New Roman" w:hAnsi="Times New Roman" w:cs="Times New Roman"/>
        </w:rPr>
        <w:t>Li-Mn-TM-O case in which the test set is defined, we split the remaining compounds into 5 groups and iteratively took each group as the validation set (20%) and the remaining as the training set (80%)</w:t>
      </w:r>
      <w:r>
        <w:rPr>
          <w:rFonts w:ascii="Times New Roman" w:hAnsi="Times New Roman" w:cs="Times New Roman"/>
          <w:lang w:eastAsia="zh-CN"/>
        </w:rPr>
        <w:t xml:space="preserve">. The best CGCNN model of each fold was selected as the one with the best validation score (MAE). We then applied the 5 CGCNN models to the 267 </w:t>
      </w:r>
      <w:r>
        <w:rPr>
          <w:rFonts w:ascii="Times New Roman" w:hAnsi="Times New Roman" w:cs="Times New Roman"/>
        </w:rPr>
        <w:t>Li-Mn-TM-O</w:t>
      </w:r>
      <w:r>
        <w:rPr>
          <w:rFonts w:ascii="Times New Roman" w:hAnsi="Times New Roman" w:cs="Times New Roman"/>
          <w:lang w:eastAsia="zh-CN"/>
        </w:rPr>
        <w:t xml:space="preserve"> test compounds and used the average of the predicted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each model.</w:t>
      </w:r>
    </w:p>
    <w:p w14:paraId="4B1634C5" w14:textId="77777777" w:rsidR="00C96117" w:rsidRDefault="00C96117">
      <w:pPr>
        <w:pStyle w:val="Standard"/>
        <w:spacing w:line="360" w:lineRule="auto"/>
        <w:jc w:val="both"/>
        <w:rPr>
          <w:rFonts w:ascii="Times New Roman" w:hAnsi="Times New Roman" w:cs="Times New Roman"/>
          <w:b/>
          <w:bCs/>
          <w:sz w:val="28"/>
          <w:szCs w:val="28"/>
        </w:rPr>
      </w:pPr>
    </w:p>
    <w:p w14:paraId="2DF358FC" w14:textId="77777777" w:rsidR="00C96117" w:rsidRDefault="003A59B5">
      <w:pPr>
        <w:pStyle w:val="Standard"/>
        <w:spacing w:line="360" w:lineRule="auto"/>
        <w:jc w:val="both"/>
      </w:pPr>
      <w:r>
        <w:rPr>
          <w:rFonts w:ascii="Times New Roman" w:hAnsi="Times New Roman" w:cs="Times New Roman"/>
          <w:b/>
          <w:bCs/>
          <w:sz w:val="28"/>
          <w:szCs w:val="28"/>
        </w:rPr>
        <w:t>Acknowledgments</w:t>
      </w:r>
    </w:p>
    <w:p w14:paraId="6BA99934" w14:textId="77777777" w:rsidR="00C96117" w:rsidRDefault="003A59B5">
      <w:pPr>
        <w:pStyle w:val="Standard"/>
        <w:spacing w:line="360" w:lineRule="auto"/>
        <w:jc w:val="both"/>
      </w:pPr>
      <w:r>
        <w:rPr>
          <w:rFonts w:ascii="Times New Roman" w:hAnsi="Times New Roman" w:cs="Times New Roman"/>
        </w:rPr>
        <w:t>[savio], [lawrencium], [eagle], [funding]</w:t>
      </w:r>
    </w:p>
    <w:p w14:paraId="6467620A" w14:textId="77777777" w:rsidR="00C96117" w:rsidRDefault="00C96117">
      <w:pPr>
        <w:pStyle w:val="Standard"/>
        <w:spacing w:line="360" w:lineRule="auto"/>
        <w:jc w:val="both"/>
        <w:rPr>
          <w:rFonts w:ascii="Times New Roman" w:hAnsi="Times New Roman" w:cs="Times New Roman"/>
        </w:rPr>
      </w:pPr>
    </w:p>
    <w:p w14:paraId="6D29071A" w14:textId="77777777" w:rsidR="00C96117" w:rsidRDefault="003A59B5">
      <w:pPr>
        <w:pStyle w:val="Standard"/>
        <w:spacing w:line="360" w:lineRule="auto"/>
        <w:jc w:val="both"/>
      </w:pPr>
      <w:r>
        <w:rPr>
          <w:rFonts w:ascii="Times New Roman" w:hAnsi="Times New Roman" w:cs="Times New Roman"/>
          <w:b/>
          <w:bCs/>
          <w:sz w:val="28"/>
          <w:szCs w:val="28"/>
        </w:rPr>
        <w:t>Author contributions</w:t>
      </w:r>
    </w:p>
    <w:p w14:paraId="5A0258BF" w14:textId="2D8F543E" w:rsidR="00C96117" w:rsidRDefault="003A59B5">
      <w:pPr>
        <w:pStyle w:val="Standard"/>
        <w:spacing w:line="360" w:lineRule="auto"/>
        <w:jc w:val="both"/>
      </w:pPr>
      <w:r>
        <w:rPr>
          <w:rFonts w:ascii="Times New Roman" w:hAnsi="Times New Roman" w:cs="Times New Roman"/>
        </w:rPr>
        <w:t>CJB, AT, and GC conceived the project. CJB, AT, QW, and AD designed the project. AT, QW, and AD implemented the machine learning models. CJB performed the stability analysis</w:t>
      </w:r>
      <w:r w:rsidR="000E398D">
        <w:rPr>
          <w:rFonts w:ascii="Times New Roman" w:hAnsi="Times New Roman" w:cs="Times New Roman"/>
        </w:rPr>
        <w:t>, processed the results,</w:t>
      </w:r>
      <w:r>
        <w:rPr>
          <w:rFonts w:ascii="Times New Roman" w:hAnsi="Times New Roman" w:cs="Times New Roman"/>
        </w:rPr>
        <w:t xml:space="preserve"> and drafted the manuscript. AJ and GC supervised the project. All authors reviewed and edited the manuscript.</w:t>
      </w:r>
    </w:p>
    <w:p w14:paraId="27136B3C" w14:textId="77777777" w:rsidR="00C96117" w:rsidRDefault="00C96117">
      <w:pPr>
        <w:pStyle w:val="Standard"/>
        <w:spacing w:line="360" w:lineRule="auto"/>
        <w:jc w:val="both"/>
        <w:rPr>
          <w:rFonts w:ascii="Times New Roman" w:hAnsi="Times New Roman" w:cs="Times New Roman"/>
        </w:rPr>
      </w:pPr>
    </w:p>
    <w:p w14:paraId="2F059A17" w14:textId="77777777" w:rsidR="00C96117" w:rsidRDefault="003A59B5">
      <w:pPr>
        <w:pStyle w:val="Standard"/>
        <w:spacing w:line="360" w:lineRule="auto"/>
        <w:jc w:val="both"/>
      </w:pPr>
      <w:r>
        <w:rPr>
          <w:rFonts w:ascii="Times New Roman" w:hAnsi="Times New Roman" w:cs="Times New Roman"/>
          <w:b/>
          <w:bCs/>
          <w:sz w:val="28"/>
          <w:szCs w:val="28"/>
        </w:rPr>
        <w:t>Data availability</w:t>
      </w:r>
    </w:p>
    <w:p w14:paraId="04F52E2A" w14:textId="5BCF0F25" w:rsidR="00C96117" w:rsidRDefault="002C00A2">
      <w:pPr>
        <w:pStyle w:val="Standard"/>
        <w:spacing w:line="360" w:lineRule="auto"/>
        <w:jc w:val="both"/>
      </w:pPr>
      <w:r>
        <w:rPr>
          <w:rFonts w:ascii="Times New Roman" w:hAnsi="Times New Roman" w:cs="Times New Roman"/>
        </w:rPr>
        <w:t xml:space="preserve">All </w:t>
      </w:r>
      <w:r w:rsidR="002C7653">
        <w:rPr>
          <w:rFonts w:ascii="Times New Roman" w:hAnsi="Times New Roman" w:cs="Times New Roman"/>
        </w:rPr>
        <w:t>results</w:t>
      </w:r>
      <w:r>
        <w:rPr>
          <w:rFonts w:ascii="Times New Roman" w:hAnsi="Times New Roman" w:cs="Times New Roman"/>
        </w:rPr>
        <w:t xml:space="preserve"> </w:t>
      </w:r>
      <w:r w:rsidR="002C7653">
        <w:rPr>
          <w:rFonts w:ascii="Times New Roman" w:hAnsi="Times New Roman" w:cs="Times New Roman"/>
        </w:rPr>
        <w:t>are</w:t>
      </w:r>
      <w:r>
        <w:rPr>
          <w:rFonts w:ascii="Times New Roman" w:hAnsi="Times New Roman" w:cs="Times New Roman"/>
        </w:rPr>
        <w:t xml:space="preserve"> available at </w:t>
      </w:r>
      <w:r w:rsidRPr="002C7653">
        <w:rPr>
          <w:rFonts w:ascii="Times New Roman" w:hAnsi="Times New Roman" w:cs="Times New Roman"/>
          <w:b/>
          <w:bCs/>
        </w:rPr>
        <w:t>[</w:t>
      </w:r>
      <w:r w:rsidR="002C7653" w:rsidRPr="002C7653">
        <w:rPr>
          <w:rFonts w:ascii="Times New Roman" w:hAnsi="Times New Roman" w:cs="Times New Roman"/>
          <w:b/>
          <w:bCs/>
        </w:rPr>
        <w:t xml:space="preserve">public </w:t>
      </w:r>
      <w:r w:rsidRPr="002C7653">
        <w:rPr>
          <w:rFonts w:ascii="Times New Roman" w:hAnsi="Times New Roman" w:cs="Times New Roman"/>
          <w:b/>
          <w:bCs/>
        </w:rPr>
        <w:t>github link]</w:t>
      </w:r>
      <w:r>
        <w:rPr>
          <w:rFonts w:ascii="Times New Roman" w:hAnsi="Times New Roman" w:cs="Times New Roman"/>
        </w:rPr>
        <w:t xml:space="preserve"> along with Python code for repeating </w:t>
      </w:r>
      <w:r w:rsidR="002C7653">
        <w:rPr>
          <w:rFonts w:ascii="Times New Roman" w:hAnsi="Times New Roman" w:cs="Times New Roman"/>
        </w:rPr>
        <w:t>the stability</w:t>
      </w:r>
      <w:r>
        <w:rPr>
          <w:rFonts w:ascii="Times New Roman" w:hAnsi="Times New Roman" w:cs="Times New Roman"/>
        </w:rPr>
        <w:t xml:space="preserve"> analysis for newly developed models and reproducing all figures shown in the main text and </w:t>
      </w:r>
      <w:r w:rsidRPr="002C7653">
        <w:rPr>
          <w:rFonts w:ascii="Times New Roman" w:hAnsi="Times New Roman" w:cs="Times New Roman"/>
          <w:b/>
          <w:bCs/>
        </w:rPr>
        <w:t>Supporting Information</w:t>
      </w:r>
      <w:r>
        <w:rPr>
          <w:rFonts w:ascii="Times New Roman" w:hAnsi="Times New Roman" w:cs="Times New Roman"/>
        </w:rPr>
        <w:t>.</w:t>
      </w:r>
    </w:p>
    <w:p w14:paraId="5988F9CA" w14:textId="6837F252" w:rsidR="00A526D4" w:rsidRDefault="00A526D4">
      <w:pPr>
        <w:suppressAutoHyphens w:val="0"/>
        <w:textAlignment w:val="auto"/>
        <w:rPr>
          <w:rFonts w:ascii="Times New Roman" w:hAnsi="Times New Roman" w:cs="Times New Roman"/>
          <w:b/>
          <w:bCs/>
          <w:color w:val="00000A"/>
          <w:sz w:val="28"/>
          <w:szCs w:val="28"/>
        </w:rPr>
      </w:pPr>
    </w:p>
    <w:p w14:paraId="6D073156" w14:textId="77777777" w:rsidR="00221493" w:rsidRDefault="00221493">
      <w:pPr>
        <w:suppressAutoHyphens w:val="0"/>
        <w:textAlignment w:val="auto"/>
        <w:rPr>
          <w:rFonts w:ascii="Times New Roman" w:hAnsi="Times New Roman" w:cs="Times New Roman"/>
          <w:b/>
          <w:bCs/>
          <w:color w:val="00000A"/>
          <w:sz w:val="28"/>
          <w:szCs w:val="28"/>
        </w:rPr>
      </w:pPr>
      <w:r>
        <w:rPr>
          <w:rFonts w:ascii="Times New Roman" w:hAnsi="Times New Roman" w:cs="Times New Roman"/>
          <w:b/>
          <w:bCs/>
          <w:sz w:val="28"/>
          <w:szCs w:val="28"/>
        </w:rPr>
        <w:br w:type="page"/>
      </w:r>
    </w:p>
    <w:p w14:paraId="2B6A4A7E" w14:textId="3E981FC2" w:rsidR="00C96117" w:rsidRPr="002C7653" w:rsidRDefault="003A59B5">
      <w:pPr>
        <w:pStyle w:val="Standard"/>
        <w:spacing w:line="360" w:lineRule="auto"/>
        <w:jc w:val="both"/>
      </w:pPr>
      <w:r>
        <w:rPr>
          <w:rFonts w:ascii="Times New Roman" w:hAnsi="Times New Roman" w:cs="Times New Roman"/>
          <w:b/>
          <w:bCs/>
          <w:sz w:val="28"/>
          <w:szCs w:val="28"/>
        </w:rPr>
        <w:lastRenderedPageBreak/>
        <w:t>Supporting Information</w:t>
      </w:r>
    </w:p>
    <w:p w14:paraId="6EDCD4B7" w14:textId="77777777" w:rsidR="00C96117" w:rsidRDefault="00C96117">
      <w:pPr>
        <w:pStyle w:val="Standard"/>
        <w:spacing w:line="360" w:lineRule="auto"/>
        <w:jc w:val="both"/>
        <w:rPr>
          <w:rFonts w:ascii="Times New Roman" w:hAnsi="Times New Roman" w:cs="Times New Roman"/>
        </w:rPr>
      </w:pPr>
    </w:p>
    <w:p w14:paraId="28D96838" w14:textId="77777777" w:rsidR="00C96117" w:rsidRDefault="003A59B5">
      <w:pPr>
        <w:pStyle w:val="Standard"/>
        <w:spacing w:line="360" w:lineRule="auto"/>
        <w:jc w:val="center"/>
      </w:pPr>
      <w:r>
        <w:rPr>
          <w:noProof/>
        </w:rPr>
        <w:drawing>
          <wp:inline distT="0" distB="3175" distL="0" distR="0" wp14:anchorId="508798E5" wp14:editId="04E4C603">
            <wp:extent cx="2743200" cy="2078611"/>
            <wp:effectExtent l="0" t="0" r="0" b="4445"/>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43200" cy="2078611"/>
                    </a:xfrm>
                    <a:prstGeom prst="rect">
                      <a:avLst/>
                    </a:prstGeom>
                  </pic:spPr>
                </pic:pic>
              </a:graphicData>
            </a:graphic>
          </wp:inline>
        </w:drawing>
      </w:r>
    </w:p>
    <w:p w14:paraId="41413B5F" w14:textId="30B8D7BF" w:rsidR="00C96117" w:rsidRPr="00E76FD6" w:rsidRDefault="003A59B5" w:rsidP="00E76FD6">
      <w:pPr>
        <w:pStyle w:val="Standard"/>
        <w:rPr>
          <w:rFonts w:ascii="Times New Roman" w:hAnsi="Times New Roman" w:cs="Times New Roman"/>
          <w:sz w:val="22"/>
          <w:szCs w:val="22"/>
        </w:rPr>
      </w:pPr>
      <w:r>
        <w:rPr>
          <w:rFonts w:ascii="Times New Roman" w:hAnsi="Times New Roman" w:cs="Times New Roman"/>
          <w:b/>
          <w:bCs/>
          <w:sz w:val="22"/>
          <w:szCs w:val="22"/>
        </w:rPr>
        <w:t xml:space="preserve">Figure S1. </w:t>
      </w:r>
      <w:r>
        <w:rPr>
          <w:rFonts w:ascii="Times New Roman" w:hAnsi="Times New Roman" w:cs="Times New Roman"/>
          <w:sz w:val="22"/>
          <w:szCs w:val="22"/>
        </w:rPr>
        <w:t>Distribution of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 xml:space="preserve"> and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xml:space="preserve"> in Materials Project, with 85 bins and normalized such that the integral of the distribution is equal to 1. </w:t>
      </w:r>
    </w:p>
    <w:p w14:paraId="7E8F93E2" w14:textId="77777777" w:rsidR="00C96117" w:rsidRDefault="00C96117">
      <w:pPr>
        <w:pStyle w:val="Standard"/>
        <w:spacing w:line="360" w:lineRule="auto"/>
        <w:jc w:val="both"/>
        <w:rPr>
          <w:rFonts w:ascii="Times New Roman" w:hAnsi="Times New Roman" w:cs="Times New Roman"/>
          <w:b/>
          <w:bCs/>
        </w:rPr>
      </w:pPr>
    </w:p>
    <w:p w14:paraId="65294647" w14:textId="77777777" w:rsidR="00C96117" w:rsidRDefault="003A59B5">
      <w:pPr>
        <w:pStyle w:val="Standard"/>
        <w:spacing w:line="360" w:lineRule="auto"/>
        <w:jc w:val="center"/>
      </w:pPr>
      <w:r>
        <w:rPr>
          <w:noProof/>
        </w:rPr>
        <w:drawing>
          <wp:inline distT="0" distB="635" distL="0" distR="0" wp14:anchorId="3A85CCF7" wp14:editId="78BBE8B5">
            <wp:extent cx="4110359" cy="3767328"/>
            <wp:effectExtent l="0" t="0" r="4445"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10359" cy="3767328"/>
                    </a:xfrm>
                    <a:prstGeom prst="rect">
                      <a:avLst/>
                    </a:prstGeom>
                  </pic:spPr>
                </pic:pic>
              </a:graphicData>
            </a:graphic>
          </wp:inline>
        </w:drawing>
      </w:r>
    </w:p>
    <w:p w14:paraId="7B79F153" w14:textId="742B9DD0" w:rsidR="00C96117" w:rsidRPr="00AE0C92" w:rsidRDefault="003A59B5">
      <w:pPr>
        <w:pStyle w:val="Standard"/>
        <w:jc w:val="both"/>
        <w:rPr>
          <w:rFonts w:ascii="Times New Roman" w:hAnsi="Times New Roman" w:cs="Times New Roman"/>
          <w:color w:val="000000"/>
          <w:sz w:val="22"/>
          <w:szCs w:val="22"/>
        </w:rPr>
      </w:pPr>
      <w:r>
        <w:rPr>
          <w:rFonts w:ascii="Times New Roman" w:hAnsi="Times New Roman" w:cs="Times New Roman"/>
          <w:b/>
          <w:bCs/>
          <w:sz w:val="22"/>
          <w:szCs w:val="22"/>
        </w:rPr>
        <w:t xml:space="preserve">Figure S2. </w:t>
      </w:r>
      <w:r>
        <w:rPr>
          <w:rFonts w:ascii="Times New Roman" w:hAnsi="Times New Roman" w:cs="Times New Roman"/>
          <w:sz w:val="22"/>
          <w:szCs w:val="22"/>
        </w:rPr>
        <w:t xml:space="preserve">Re-training each model on all of MP minus 267 quaternary compounds in the Li-Mn-TM-O chemical space (TM </w:t>
      </w:r>
      <w:r>
        <w:rPr>
          <w:rFonts w:ascii="Cambria Math" w:hAnsi="Cambria Math" w:cs="Cambria Math"/>
          <w:color w:val="000000"/>
          <w:sz w:val="22"/>
          <w:szCs w:val="22"/>
        </w:rPr>
        <w:t>∈</w:t>
      </w:r>
      <w:r>
        <w:rPr>
          <w:rFonts w:ascii="Times New Roman" w:hAnsi="Times New Roman" w:cs="Times New Roman"/>
          <w:sz w:val="22"/>
          <w:szCs w:val="22"/>
        </w:rPr>
        <w:t xml:space="preserve"> {</w:t>
      </w:r>
      <w:r>
        <w:rPr>
          <w:rFonts w:ascii="Times New Roman" w:hAnsi="Times New Roman" w:cs="Times New Roman"/>
          <w:color w:val="000000"/>
          <w:sz w:val="22"/>
          <w:szCs w:val="22"/>
        </w:rPr>
        <w:t>Ti, V, Cr, Fe, Co, Ni, Cu}) and predicting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f</w:t>
      </w:r>
      <w:r>
        <w:rPr>
          <w:rFonts w:ascii="Times New Roman" w:hAnsi="Times New Roman" w:cs="Times New Roman"/>
          <w:color w:val="000000"/>
          <w:sz w:val="22"/>
          <w:szCs w:val="22"/>
        </w:rPr>
        <w:t xml:space="preserve"> for each of the excluded compounds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f,pred</w:t>
      </w:r>
      <w:r>
        <w:rPr>
          <w:rFonts w:ascii="Times New Roman" w:hAnsi="Times New Roman" w:cs="Times New Roman"/>
          <w:color w:val="000000"/>
          <w:sz w:val="22"/>
          <w:szCs w:val="22"/>
        </w:rPr>
        <w:t>) and comparing to MP,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f,MP</w:t>
      </w:r>
      <w:r>
        <w:rPr>
          <w:rFonts w:ascii="Times New Roman" w:hAnsi="Times New Roman" w:cs="Times New Roman"/>
          <w:color w:val="000000"/>
          <w:sz w:val="22"/>
          <w:szCs w:val="22"/>
        </w:rPr>
        <w:t>.</w:t>
      </w:r>
      <w:r w:rsidR="00AE0C92">
        <w:rPr>
          <w:rFonts w:ascii="Times New Roman" w:hAnsi="Times New Roman" w:cs="Times New Roman"/>
          <w:color w:val="000000"/>
          <w:sz w:val="22"/>
          <w:szCs w:val="22"/>
        </w:rPr>
        <w:t xml:space="preserve"> All </w:t>
      </w:r>
      <w:r w:rsidR="003005EB">
        <w:rPr>
          <w:rFonts w:ascii="Times New Roman" w:hAnsi="Times New Roman" w:cs="Times New Roman"/>
          <w:color w:val="000000"/>
          <w:sz w:val="22"/>
          <w:szCs w:val="22"/>
        </w:rPr>
        <w:t>annotations are the same as in</w:t>
      </w:r>
      <w:r w:rsidR="00AE0C92">
        <w:rPr>
          <w:rFonts w:ascii="Times New Roman" w:hAnsi="Times New Roman" w:cs="Times New Roman"/>
          <w:color w:val="000000"/>
          <w:sz w:val="22"/>
          <w:szCs w:val="22"/>
        </w:rPr>
        <w:t xml:space="preserve"> </w:t>
      </w:r>
      <w:r w:rsidR="00AE0C92">
        <w:rPr>
          <w:rFonts w:ascii="Times New Roman" w:hAnsi="Times New Roman" w:cs="Times New Roman"/>
          <w:b/>
          <w:bCs/>
          <w:color w:val="000000"/>
          <w:sz w:val="22"/>
          <w:szCs w:val="22"/>
        </w:rPr>
        <w:t>Figure 2</w:t>
      </w:r>
      <w:r w:rsidR="00AE0C92">
        <w:rPr>
          <w:rFonts w:ascii="Times New Roman" w:hAnsi="Times New Roman" w:cs="Times New Roman"/>
          <w:color w:val="000000"/>
          <w:sz w:val="22"/>
          <w:szCs w:val="22"/>
        </w:rPr>
        <w:t>.</w:t>
      </w:r>
    </w:p>
    <w:p w14:paraId="43F48DE8" w14:textId="17F4E6DC" w:rsidR="00A526D4" w:rsidRDefault="00A526D4">
      <w:pPr>
        <w:pStyle w:val="Standard"/>
        <w:jc w:val="both"/>
        <w:rPr>
          <w:rFonts w:ascii="Times New Roman" w:hAnsi="Times New Roman" w:cs="Times New Roman"/>
          <w:color w:val="000000"/>
          <w:sz w:val="22"/>
          <w:szCs w:val="22"/>
        </w:rPr>
      </w:pPr>
    </w:p>
    <w:p w14:paraId="294936C7" w14:textId="6C8B0636" w:rsidR="00A526D4" w:rsidRDefault="00A526D4" w:rsidP="00A526D4">
      <w:pPr>
        <w:pStyle w:val="Standard"/>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lastRenderedPageBreak/>
        <w:drawing>
          <wp:inline distT="0" distB="0" distL="0" distR="0" wp14:anchorId="7D1613A4" wp14:editId="12C00BA2">
            <wp:extent cx="4114800" cy="377146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3771460"/>
                    </a:xfrm>
                    <a:prstGeom prst="rect">
                      <a:avLst/>
                    </a:prstGeom>
                  </pic:spPr>
                </pic:pic>
              </a:graphicData>
            </a:graphic>
          </wp:inline>
        </w:drawing>
      </w:r>
    </w:p>
    <w:p w14:paraId="2C7A46F2" w14:textId="12692FDA" w:rsidR="00A526D4" w:rsidRPr="00A526D4" w:rsidRDefault="00A526D4" w:rsidP="00A62A66">
      <w:pPr>
        <w:pStyle w:val="Standard"/>
        <w:rPr>
          <w:rFonts w:ascii="Times New Roman" w:hAnsi="Times New Roman" w:cs="Times New Roman"/>
          <w:color w:val="000000"/>
          <w:sz w:val="22"/>
          <w:szCs w:val="22"/>
        </w:rPr>
      </w:pPr>
      <w:r>
        <w:rPr>
          <w:rFonts w:ascii="Times New Roman" w:hAnsi="Times New Roman" w:cs="Times New Roman"/>
          <w:b/>
          <w:bCs/>
          <w:color w:val="000000"/>
          <w:sz w:val="22"/>
          <w:szCs w:val="22"/>
        </w:rPr>
        <w:t xml:space="preserve">Figure S3. </w:t>
      </w:r>
      <w:r>
        <w:rPr>
          <w:rFonts w:ascii="Times New Roman" w:hAnsi="Times New Roman" w:cs="Times New Roman"/>
          <w:color w:val="000000"/>
          <w:sz w:val="22"/>
          <w:szCs w:val="22"/>
        </w:rPr>
        <w:t xml:space="preserve">Reproducing </w:t>
      </w:r>
      <w:r>
        <w:rPr>
          <w:rFonts w:ascii="Times New Roman" w:hAnsi="Times New Roman" w:cs="Times New Roman"/>
          <w:b/>
          <w:bCs/>
          <w:color w:val="000000"/>
          <w:sz w:val="22"/>
          <w:szCs w:val="22"/>
        </w:rPr>
        <w:t>Figure 3</w:t>
      </w:r>
      <w:r w:rsidR="00D438BC">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but training on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d</w:t>
      </w:r>
      <w:r w:rsidR="00391C45">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instead of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Pr>
          <w:rFonts w:ascii="Times New Roman" w:hAnsi="Times New Roman" w:cs="Times New Roman"/>
          <w:color w:val="000000"/>
          <w:sz w:val="22"/>
          <w:szCs w:val="22"/>
        </w:rPr>
        <w:t xml:space="preserve">. </w:t>
      </w:r>
      <w:r w:rsidR="00AE0C92">
        <w:rPr>
          <w:rFonts w:ascii="Times New Roman" w:hAnsi="Times New Roman" w:cs="Times New Roman"/>
          <w:color w:val="000000"/>
          <w:sz w:val="22"/>
          <w:szCs w:val="22"/>
        </w:rPr>
        <w:t xml:space="preserve">All </w:t>
      </w:r>
      <w:r w:rsidR="003005EB">
        <w:rPr>
          <w:rFonts w:ascii="Times New Roman" w:hAnsi="Times New Roman" w:cs="Times New Roman"/>
          <w:color w:val="000000"/>
          <w:sz w:val="22"/>
          <w:szCs w:val="22"/>
        </w:rPr>
        <w:t>annotations are the same as in</w:t>
      </w:r>
      <w:r w:rsidR="00AE0C92">
        <w:rPr>
          <w:rFonts w:ascii="Times New Roman" w:hAnsi="Times New Roman" w:cs="Times New Roman"/>
          <w:color w:val="000000"/>
          <w:sz w:val="22"/>
          <w:szCs w:val="22"/>
        </w:rPr>
        <w:t xml:space="preserve"> </w:t>
      </w:r>
      <w:r w:rsidR="00AE0C92">
        <w:rPr>
          <w:rFonts w:ascii="Times New Roman" w:hAnsi="Times New Roman" w:cs="Times New Roman"/>
          <w:b/>
          <w:bCs/>
          <w:color w:val="000000"/>
          <w:sz w:val="22"/>
          <w:szCs w:val="22"/>
        </w:rPr>
        <w:t>Figure 3</w:t>
      </w:r>
      <w:r w:rsidR="00AE0C92">
        <w:rPr>
          <w:rFonts w:ascii="Times New Roman" w:hAnsi="Times New Roman" w:cs="Times New Roman"/>
          <w:color w:val="000000"/>
          <w:sz w:val="22"/>
          <w:szCs w:val="22"/>
        </w:rPr>
        <w:t>.</w:t>
      </w:r>
      <w:r w:rsidR="00AE0C92">
        <w:rPr>
          <w:rFonts w:ascii="Times New Roman" w:hAnsi="Times New Roman" w:cs="Times New Roman"/>
          <w:b/>
          <w:bCs/>
          <w:color w:val="000000"/>
          <w:sz w:val="22"/>
          <w:szCs w:val="22"/>
        </w:rPr>
        <w:t xml:space="preserve"> </w:t>
      </w:r>
      <w:r>
        <w:rPr>
          <w:rFonts w:ascii="Times New Roman" w:hAnsi="Times New Roman" w:cs="Times New Roman"/>
          <w:color w:val="000000"/>
          <w:sz w:val="22"/>
          <w:szCs w:val="22"/>
        </w:rPr>
        <w:t>*** NOTE: “auto” data is not yet generated – placeholder with arXiv19 data ***</w:t>
      </w:r>
    </w:p>
    <w:p w14:paraId="102BEDB3" w14:textId="3A301DFF" w:rsidR="00C96117" w:rsidRDefault="00C96117" w:rsidP="00A62A66">
      <w:pPr>
        <w:pStyle w:val="Standard"/>
        <w:jc w:val="both"/>
      </w:pPr>
    </w:p>
    <w:p w14:paraId="62FB919B" w14:textId="2A3DBED5" w:rsidR="00A62A66" w:rsidRDefault="00A62A66" w:rsidP="00A62A66">
      <w:pPr>
        <w:pStyle w:val="Standard"/>
        <w:jc w:val="center"/>
      </w:pPr>
      <w:r>
        <w:rPr>
          <w:noProof/>
        </w:rPr>
        <w:lastRenderedPageBreak/>
        <w:drawing>
          <wp:inline distT="0" distB="0" distL="0" distR="0" wp14:anchorId="1DCECDB1" wp14:editId="5DA26B76">
            <wp:extent cx="4114800" cy="41816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S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4181622"/>
                    </a:xfrm>
                    <a:prstGeom prst="rect">
                      <a:avLst/>
                    </a:prstGeom>
                  </pic:spPr>
                </pic:pic>
              </a:graphicData>
            </a:graphic>
          </wp:inline>
        </w:drawing>
      </w:r>
    </w:p>
    <w:p w14:paraId="1632284E" w14:textId="66D2A324" w:rsidR="00A526D4" w:rsidRPr="00A526D4" w:rsidRDefault="00A526D4" w:rsidP="00A62A66">
      <w:pPr>
        <w:pStyle w:val="Standard"/>
        <w:rPr>
          <w:rFonts w:ascii="Times New Roman" w:hAnsi="Times New Roman" w:cs="Times New Roman"/>
          <w:color w:val="000000"/>
          <w:sz w:val="22"/>
          <w:szCs w:val="22"/>
        </w:rPr>
      </w:pPr>
      <w:r>
        <w:rPr>
          <w:rFonts w:ascii="Times New Roman" w:hAnsi="Times New Roman" w:cs="Times New Roman"/>
          <w:b/>
          <w:bCs/>
          <w:color w:val="000000"/>
          <w:sz w:val="22"/>
          <w:szCs w:val="22"/>
        </w:rPr>
        <w:t xml:space="preserve">Figure S4. </w:t>
      </w:r>
      <w:r>
        <w:rPr>
          <w:rFonts w:ascii="Times New Roman" w:hAnsi="Times New Roman" w:cs="Times New Roman"/>
          <w:color w:val="000000"/>
          <w:sz w:val="22"/>
          <w:szCs w:val="22"/>
        </w:rPr>
        <w:t xml:space="preserve">Reproducing </w:t>
      </w:r>
      <w:r>
        <w:rPr>
          <w:rFonts w:ascii="Times New Roman" w:hAnsi="Times New Roman" w:cs="Times New Roman"/>
          <w:b/>
          <w:bCs/>
          <w:color w:val="000000"/>
          <w:sz w:val="22"/>
          <w:szCs w:val="22"/>
        </w:rPr>
        <w:t>Figure 4</w:t>
      </w:r>
      <w:r>
        <w:rPr>
          <w:rFonts w:ascii="Times New Roman" w:hAnsi="Times New Roman" w:cs="Times New Roman"/>
          <w:color w:val="000000"/>
          <w:sz w:val="22"/>
          <w:szCs w:val="22"/>
        </w:rPr>
        <w:t xml:space="preserve">, but training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instead of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Pr>
          <w:rFonts w:ascii="Times New Roman" w:hAnsi="Times New Roman" w:cs="Times New Roman"/>
          <w:color w:val="000000"/>
          <w:sz w:val="22"/>
          <w:szCs w:val="22"/>
        </w:rPr>
        <w:t xml:space="preserve">. </w:t>
      </w:r>
      <w:r w:rsidR="00AE0C92">
        <w:rPr>
          <w:rFonts w:ascii="Times New Roman" w:hAnsi="Times New Roman" w:cs="Times New Roman"/>
          <w:color w:val="000000"/>
          <w:sz w:val="22"/>
          <w:szCs w:val="22"/>
        </w:rPr>
        <w:t xml:space="preserve">All </w:t>
      </w:r>
      <w:r w:rsidR="003005EB">
        <w:rPr>
          <w:rFonts w:ascii="Times New Roman" w:hAnsi="Times New Roman" w:cs="Times New Roman"/>
          <w:color w:val="000000"/>
          <w:sz w:val="22"/>
          <w:szCs w:val="22"/>
        </w:rPr>
        <w:t>annotations are the same as in</w:t>
      </w:r>
      <w:r w:rsidR="00AE0C92">
        <w:rPr>
          <w:rFonts w:ascii="Times New Roman" w:hAnsi="Times New Roman" w:cs="Times New Roman"/>
          <w:color w:val="000000"/>
          <w:sz w:val="22"/>
          <w:szCs w:val="22"/>
        </w:rPr>
        <w:t xml:space="preserve"> </w:t>
      </w:r>
      <w:r w:rsidR="00AE0C92">
        <w:rPr>
          <w:rFonts w:ascii="Times New Roman" w:hAnsi="Times New Roman" w:cs="Times New Roman"/>
          <w:b/>
          <w:bCs/>
          <w:color w:val="000000"/>
          <w:sz w:val="22"/>
          <w:szCs w:val="22"/>
        </w:rPr>
        <w:t>Figure 4</w:t>
      </w:r>
      <w:r w:rsidR="00AE0C92">
        <w:rPr>
          <w:rFonts w:ascii="Times New Roman" w:hAnsi="Times New Roman" w:cs="Times New Roman"/>
          <w:color w:val="000000"/>
          <w:sz w:val="22"/>
          <w:szCs w:val="22"/>
        </w:rPr>
        <w:t>.</w:t>
      </w:r>
      <w:r w:rsidR="00AE0C92">
        <w:rPr>
          <w:rFonts w:ascii="Times New Roman" w:hAnsi="Times New Roman" w:cs="Times New Roman"/>
          <w:b/>
          <w:bCs/>
          <w:color w:val="000000"/>
          <w:sz w:val="22"/>
          <w:szCs w:val="22"/>
        </w:rPr>
        <w:t xml:space="preserve"> </w:t>
      </w:r>
      <w:r>
        <w:rPr>
          <w:rFonts w:ascii="Times New Roman" w:hAnsi="Times New Roman" w:cs="Times New Roman"/>
          <w:color w:val="000000"/>
          <w:sz w:val="22"/>
          <w:szCs w:val="22"/>
        </w:rPr>
        <w:t>*** NOTE: “auto” data is not yet generated – placeholder with arXiv19 data ***</w:t>
      </w:r>
    </w:p>
    <w:p w14:paraId="10420F0E" w14:textId="77777777" w:rsidR="00D30466" w:rsidRDefault="00D30466" w:rsidP="00A62A66">
      <w:pPr>
        <w:pStyle w:val="Standard"/>
        <w:rPr>
          <w:rFonts w:ascii="Times New Roman" w:hAnsi="Times New Roman" w:cs="Times New Roman"/>
          <w:color w:val="000000"/>
          <w:sz w:val="22"/>
          <w:szCs w:val="22"/>
        </w:rPr>
      </w:pPr>
    </w:p>
    <w:p w14:paraId="28EC3506" w14:textId="1E363083" w:rsidR="00D30466" w:rsidRPr="00D30466" w:rsidRDefault="00D30466" w:rsidP="00A62A66">
      <w:pPr>
        <w:pStyle w:val="Standard"/>
        <w:rPr>
          <w:rFonts w:ascii="Times New Roman" w:hAnsi="Times New Roman" w:cs="Times New Roman"/>
          <w:color w:val="000000"/>
          <w:sz w:val="22"/>
          <w:szCs w:val="22"/>
        </w:rPr>
      </w:pPr>
      <w:r>
        <w:rPr>
          <w:rFonts w:ascii="Times New Roman" w:hAnsi="Times New Roman" w:cs="Times New Roman"/>
          <w:b/>
          <w:bCs/>
          <w:color w:val="000000"/>
          <w:sz w:val="22"/>
          <w:szCs w:val="22"/>
        </w:rPr>
        <w:t xml:space="preserve">Table S1. </w:t>
      </w:r>
      <w:r>
        <w:rPr>
          <w:rFonts w:ascii="Times New Roman" w:hAnsi="Times New Roman" w:cs="Times New Roman"/>
          <w:color w:val="000000"/>
          <w:sz w:val="22"/>
          <w:szCs w:val="22"/>
        </w:rPr>
        <w:t xml:space="preserve">Reproducing </w:t>
      </w:r>
      <w:r>
        <w:rPr>
          <w:rFonts w:ascii="Times New Roman" w:hAnsi="Times New Roman" w:cs="Times New Roman"/>
          <w:b/>
          <w:bCs/>
          <w:color w:val="000000"/>
          <w:sz w:val="22"/>
          <w:szCs w:val="22"/>
        </w:rPr>
        <w:t>Table 1</w:t>
      </w:r>
      <w:r>
        <w:rPr>
          <w:rFonts w:ascii="Times New Roman" w:hAnsi="Times New Roman" w:cs="Times New Roman"/>
          <w:color w:val="000000"/>
          <w:sz w:val="22"/>
          <w:szCs w:val="22"/>
        </w:rPr>
        <w:t xml:space="preserve"> but training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instead of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p>
    <w:tbl>
      <w:tblPr>
        <w:tblW w:w="9100" w:type="dxa"/>
        <w:tblBorders>
          <w:top w:val="single" w:sz="4" w:space="0" w:color="00000A"/>
          <w:left w:val="single" w:sz="4" w:space="0" w:color="00000A"/>
          <w:bottom w:val="double" w:sz="6" w:space="0" w:color="00000A"/>
          <w:right w:val="double" w:sz="6" w:space="0" w:color="00000A"/>
          <w:insideH w:val="double" w:sz="6" w:space="0" w:color="00000A"/>
          <w:insideV w:val="double" w:sz="6" w:space="0" w:color="00000A"/>
        </w:tblBorders>
        <w:tblCellMar>
          <w:left w:w="103" w:type="dxa"/>
        </w:tblCellMar>
        <w:tblLook w:val="04A0" w:firstRow="1" w:lastRow="0" w:firstColumn="1" w:lastColumn="0" w:noHBand="0" w:noVBand="1"/>
      </w:tblPr>
      <w:tblGrid>
        <w:gridCol w:w="3266"/>
        <w:gridCol w:w="971"/>
        <w:gridCol w:w="991"/>
        <w:gridCol w:w="991"/>
        <w:gridCol w:w="971"/>
        <w:gridCol w:w="872"/>
        <w:gridCol w:w="1038"/>
      </w:tblGrid>
      <w:tr w:rsidR="00D30466" w14:paraId="4C1E1DC0" w14:textId="77777777" w:rsidTr="003005EB">
        <w:trPr>
          <w:trHeight w:val="340"/>
        </w:trPr>
        <w:tc>
          <w:tcPr>
            <w:tcW w:w="3266" w:type="dxa"/>
            <w:tcBorders>
              <w:top w:val="single" w:sz="4" w:space="0" w:color="00000A"/>
              <w:left w:val="single" w:sz="4" w:space="0" w:color="00000A"/>
              <w:bottom w:val="double" w:sz="6" w:space="0" w:color="00000A"/>
              <w:right w:val="double" w:sz="6" w:space="0" w:color="00000A"/>
            </w:tcBorders>
            <w:shd w:val="clear" w:color="auto" w:fill="auto"/>
            <w:tcMar>
              <w:left w:w="103" w:type="dxa"/>
            </w:tcMar>
            <w:vAlign w:val="bottom"/>
          </w:tcPr>
          <w:p w14:paraId="7502338F" w14:textId="77777777" w:rsidR="00D30466" w:rsidRDefault="00D30466" w:rsidP="003005EB">
            <w:pPr>
              <w:suppressAutoHyphens w:val="0"/>
              <w:textAlignment w:val="auto"/>
              <w:rPr>
                <w:rFonts w:eastAsia="Times New Roman" w:cs="Times New Roman"/>
                <w:color w:val="000000"/>
              </w:rPr>
            </w:pPr>
            <w:r>
              <w:rPr>
                <w:rFonts w:eastAsia="Times New Roman" w:cs="Times New Roman"/>
                <w:color w:val="000000"/>
              </w:rPr>
              <w:t> </w:t>
            </w:r>
          </w:p>
        </w:tc>
        <w:tc>
          <w:tcPr>
            <w:tcW w:w="971" w:type="dxa"/>
            <w:tcBorders>
              <w:top w:val="single" w:sz="4" w:space="0" w:color="00000A"/>
              <w:bottom w:val="double" w:sz="6" w:space="0" w:color="00000A"/>
              <w:right w:val="single" w:sz="4" w:space="0" w:color="00000A"/>
            </w:tcBorders>
            <w:shd w:val="clear" w:color="auto" w:fill="auto"/>
            <w:vAlign w:val="bottom"/>
          </w:tcPr>
          <w:p w14:paraId="7080DD52"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elfrac</w:t>
            </w:r>
          </w:p>
        </w:tc>
        <w:tc>
          <w:tcPr>
            <w:tcW w:w="991" w:type="dxa"/>
            <w:tcBorders>
              <w:top w:val="single" w:sz="4" w:space="0" w:color="00000A"/>
              <w:bottom w:val="double" w:sz="6" w:space="0" w:color="00000A"/>
              <w:right w:val="single" w:sz="4" w:space="0" w:color="00000A"/>
            </w:tcBorders>
            <w:shd w:val="clear" w:color="auto" w:fill="auto"/>
            <w:vAlign w:val="bottom"/>
          </w:tcPr>
          <w:p w14:paraId="1AB7940B"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prb14</w:t>
            </w:r>
          </w:p>
        </w:tc>
        <w:tc>
          <w:tcPr>
            <w:tcW w:w="991" w:type="dxa"/>
            <w:tcBorders>
              <w:top w:val="single" w:sz="4" w:space="0" w:color="00000A"/>
              <w:bottom w:val="double" w:sz="6" w:space="0" w:color="00000A"/>
              <w:right w:val="single" w:sz="4" w:space="0" w:color="00000A"/>
            </w:tcBorders>
            <w:shd w:val="clear" w:color="auto" w:fill="auto"/>
            <w:vAlign w:val="bottom"/>
          </w:tcPr>
          <w:p w14:paraId="0FB72A37"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prb16</w:t>
            </w:r>
          </w:p>
        </w:tc>
        <w:tc>
          <w:tcPr>
            <w:tcW w:w="971" w:type="dxa"/>
            <w:tcBorders>
              <w:top w:val="single" w:sz="4" w:space="0" w:color="00000A"/>
              <w:bottom w:val="double" w:sz="6" w:space="0" w:color="00000A"/>
              <w:right w:val="single" w:sz="4" w:space="0" w:color="00000A"/>
            </w:tcBorders>
            <w:shd w:val="clear" w:color="auto" w:fill="auto"/>
            <w:vAlign w:val="bottom"/>
          </w:tcPr>
          <w:p w14:paraId="00DB26A6"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npj16</w:t>
            </w:r>
          </w:p>
        </w:tc>
        <w:tc>
          <w:tcPr>
            <w:tcW w:w="872" w:type="dxa"/>
            <w:tcBorders>
              <w:top w:val="single" w:sz="4" w:space="0" w:color="00000A"/>
              <w:bottom w:val="double" w:sz="6" w:space="0" w:color="00000A"/>
              <w:right w:val="single" w:sz="4" w:space="0" w:color="00000A"/>
            </w:tcBorders>
            <w:shd w:val="clear" w:color="auto" w:fill="auto"/>
            <w:vAlign w:val="bottom"/>
          </w:tcPr>
          <w:p w14:paraId="7266574A"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auto</w:t>
            </w:r>
          </w:p>
        </w:tc>
        <w:tc>
          <w:tcPr>
            <w:tcW w:w="1038" w:type="dxa"/>
            <w:tcBorders>
              <w:top w:val="single" w:sz="4" w:space="0" w:color="00000A"/>
              <w:bottom w:val="double" w:sz="6" w:space="0" w:color="00000A"/>
              <w:right w:val="single" w:sz="4" w:space="0" w:color="00000A"/>
            </w:tcBorders>
            <w:shd w:val="clear" w:color="auto" w:fill="auto"/>
            <w:vAlign w:val="bottom"/>
          </w:tcPr>
          <w:p w14:paraId="5B2F996F"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arXiv19</w:t>
            </w:r>
          </w:p>
        </w:tc>
      </w:tr>
      <w:tr w:rsidR="00D30466" w14:paraId="35FFCDE0" w14:textId="77777777" w:rsidTr="003005EB">
        <w:trPr>
          <w:trHeight w:val="34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3A683434"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candidate compounds</w:t>
            </w:r>
          </w:p>
        </w:tc>
        <w:tc>
          <w:tcPr>
            <w:tcW w:w="971" w:type="dxa"/>
            <w:tcBorders>
              <w:bottom w:val="single" w:sz="4" w:space="0" w:color="00000A"/>
              <w:right w:val="single" w:sz="4" w:space="0" w:color="00000A"/>
            </w:tcBorders>
            <w:shd w:val="clear" w:color="D9D9D9" w:fill="FFFFFF"/>
            <w:vAlign w:val="bottom"/>
          </w:tcPr>
          <w:p w14:paraId="4AA7867B"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91" w:type="dxa"/>
            <w:tcBorders>
              <w:bottom w:val="single" w:sz="4" w:space="0" w:color="00000A"/>
              <w:right w:val="single" w:sz="4" w:space="0" w:color="00000A"/>
            </w:tcBorders>
            <w:shd w:val="clear" w:color="D9D9D9" w:fill="FFFFFF"/>
            <w:vAlign w:val="bottom"/>
          </w:tcPr>
          <w:p w14:paraId="17DF037D"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91" w:type="dxa"/>
            <w:tcBorders>
              <w:bottom w:val="single" w:sz="4" w:space="0" w:color="00000A"/>
              <w:right w:val="single" w:sz="4" w:space="0" w:color="00000A"/>
            </w:tcBorders>
            <w:shd w:val="clear" w:color="D9D9D9" w:fill="FFFFFF"/>
            <w:vAlign w:val="bottom"/>
          </w:tcPr>
          <w:p w14:paraId="61958DFA"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71" w:type="dxa"/>
            <w:tcBorders>
              <w:bottom w:val="single" w:sz="4" w:space="0" w:color="00000A"/>
              <w:right w:val="single" w:sz="4" w:space="0" w:color="00000A"/>
            </w:tcBorders>
            <w:shd w:val="clear" w:color="D9D9D9" w:fill="FFFFFF"/>
            <w:vAlign w:val="bottom"/>
          </w:tcPr>
          <w:p w14:paraId="4174992B"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872" w:type="dxa"/>
            <w:tcBorders>
              <w:bottom w:val="single" w:sz="4" w:space="0" w:color="00000A"/>
              <w:right w:val="single" w:sz="4" w:space="0" w:color="00000A"/>
            </w:tcBorders>
            <w:shd w:val="clear" w:color="D9D9D9" w:fill="FFFFFF"/>
            <w:vAlign w:val="bottom"/>
          </w:tcPr>
          <w:p w14:paraId="3124EF4C"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1038" w:type="dxa"/>
            <w:tcBorders>
              <w:bottom w:val="single" w:sz="4" w:space="0" w:color="00000A"/>
              <w:right w:val="single" w:sz="4" w:space="0" w:color="00000A"/>
            </w:tcBorders>
            <w:shd w:val="clear" w:color="D9D9D9" w:fill="FFFFFF"/>
            <w:vAlign w:val="bottom"/>
          </w:tcPr>
          <w:p w14:paraId="70FD06EE"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r>
      <w:tr w:rsidR="00D30466" w14:paraId="42AFA11E" w14:textId="77777777" w:rsidTr="003005EB">
        <w:trPr>
          <w:trHeight w:val="320"/>
        </w:trPr>
        <w:tc>
          <w:tcPr>
            <w:tcW w:w="3266" w:type="dxa"/>
            <w:tcBorders>
              <w:left w:val="single" w:sz="4" w:space="0" w:color="00000A"/>
              <w:bottom w:val="single" w:sz="4" w:space="0" w:color="00000A"/>
              <w:right w:val="double" w:sz="6" w:space="0" w:color="00000A"/>
            </w:tcBorders>
            <w:shd w:val="clear" w:color="000000" w:fill="FFFFFF"/>
            <w:tcMar>
              <w:left w:w="103" w:type="dxa"/>
            </w:tcMar>
            <w:vAlign w:val="bottom"/>
          </w:tcPr>
          <w:p w14:paraId="3189D621"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stable compounds in MP</w:t>
            </w:r>
          </w:p>
        </w:tc>
        <w:tc>
          <w:tcPr>
            <w:tcW w:w="971" w:type="dxa"/>
            <w:tcBorders>
              <w:bottom w:val="single" w:sz="4" w:space="0" w:color="00000A"/>
              <w:right w:val="single" w:sz="4" w:space="0" w:color="00000A"/>
            </w:tcBorders>
            <w:shd w:val="clear" w:color="000000" w:fill="FFFFFF"/>
            <w:vAlign w:val="bottom"/>
          </w:tcPr>
          <w:p w14:paraId="0FE87BF8"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91" w:type="dxa"/>
            <w:tcBorders>
              <w:bottom w:val="single" w:sz="4" w:space="0" w:color="00000A"/>
              <w:right w:val="single" w:sz="4" w:space="0" w:color="00000A"/>
            </w:tcBorders>
            <w:shd w:val="clear" w:color="000000" w:fill="FFFFFF"/>
            <w:vAlign w:val="bottom"/>
          </w:tcPr>
          <w:p w14:paraId="64E8939C"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91" w:type="dxa"/>
            <w:tcBorders>
              <w:bottom w:val="single" w:sz="4" w:space="0" w:color="00000A"/>
              <w:right w:val="single" w:sz="4" w:space="0" w:color="00000A"/>
            </w:tcBorders>
            <w:shd w:val="clear" w:color="000000" w:fill="FFFFFF"/>
            <w:vAlign w:val="bottom"/>
          </w:tcPr>
          <w:p w14:paraId="4973C28E"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71" w:type="dxa"/>
            <w:tcBorders>
              <w:bottom w:val="single" w:sz="4" w:space="0" w:color="00000A"/>
              <w:right w:val="single" w:sz="4" w:space="0" w:color="00000A"/>
            </w:tcBorders>
            <w:shd w:val="clear" w:color="000000" w:fill="FFFFFF"/>
            <w:vAlign w:val="bottom"/>
          </w:tcPr>
          <w:p w14:paraId="78FB973A"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872" w:type="dxa"/>
            <w:tcBorders>
              <w:bottom w:val="single" w:sz="4" w:space="0" w:color="00000A"/>
              <w:right w:val="single" w:sz="4" w:space="0" w:color="00000A"/>
            </w:tcBorders>
            <w:shd w:val="clear" w:color="000000" w:fill="FFFFFF"/>
            <w:vAlign w:val="bottom"/>
          </w:tcPr>
          <w:p w14:paraId="66E57D82"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038" w:type="dxa"/>
            <w:tcBorders>
              <w:bottom w:val="single" w:sz="4" w:space="0" w:color="00000A"/>
              <w:right w:val="single" w:sz="4" w:space="0" w:color="00000A"/>
            </w:tcBorders>
            <w:shd w:val="clear" w:color="000000" w:fill="FFFFFF"/>
            <w:vAlign w:val="bottom"/>
          </w:tcPr>
          <w:p w14:paraId="0D0CE4BB"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r>
      <w:tr w:rsidR="00D30466" w14:paraId="65B46049" w14:textId="77777777" w:rsidTr="003005EB">
        <w:trPr>
          <w:trHeight w:val="32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66C4C4CD"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compounds predicted stable</w:t>
            </w:r>
          </w:p>
        </w:tc>
        <w:tc>
          <w:tcPr>
            <w:tcW w:w="971" w:type="dxa"/>
            <w:tcBorders>
              <w:bottom w:val="single" w:sz="4" w:space="0" w:color="00000A"/>
              <w:right w:val="single" w:sz="4" w:space="0" w:color="00000A"/>
            </w:tcBorders>
            <w:shd w:val="clear" w:color="D9D9D9" w:fill="FFFFFF"/>
            <w:vAlign w:val="bottom"/>
          </w:tcPr>
          <w:p w14:paraId="25BEE290" w14:textId="3A530515"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Borders>
              <w:bottom w:val="single" w:sz="4" w:space="0" w:color="00000A"/>
              <w:right w:val="single" w:sz="4" w:space="0" w:color="00000A"/>
            </w:tcBorders>
            <w:shd w:val="clear" w:color="D9D9D9" w:fill="FFFFFF"/>
            <w:vAlign w:val="bottom"/>
          </w:tcPr>
          <w:p w14:paraId="27066BFB" w14:textId="21A27204"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Borders>
              <w:bottom w:val="single" w:sz="4" w:space="0" w:color="00000A"/>
              <w:right w:val="single" w:sz="4" w:space="0" w:color="00000A"/>
            </w:tcBorders>
            <w:shd w:val="clear" w:color="D9D9D9" w:fill="FFFFFF"/>
            <w:vAlign w:val="bottom"/>
          </w:tcPr>
          <w:p w14:paraId="3C694278" w14:textId="50B44F95"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71" w:type="dxa"/>
            <w:tcBorders>
              <w:bottom w:val="single" w:sz="4" w:space="0" w:color="00000A"/>
              <w:right w:val="single" w:sz="4" w:space="0" w:color="00000A"/>
            </w:tcBorders>
            <w:shd w:val="clear" w:color="D9D9D9" w:fill="FFFFFF"/>
            <w:vAlign w:val="bottom"/>
          </w:tcPr>
          <w:p w14:paraId="2D27B79B" w14:textId="2046B0D5"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872" w:type="dxa"/>
            <w:tcBorders>
              <w:bottom w:val="single" w:sz="4" w:space="0" w:color="00000A"/>
              <w:right w:val="single" w:sz="4" w:space="0" w:color="00000A"/>
            </w:tcBorders>
            <w:shd w:val="clear" w:color="D9D9D9" w:fill="FFFFFF"/>
            <w:vAlign w:val="bottom"/>
          </w:tcPr>
          <w:p w14:paraId="67BB901F" w14:textId="732463C2"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038" w:type="dxa"/>
            <w:tcBorders>
              <w:bottom w:val="single" w:sz="4" w:space="0" w:color="00000A"/>
              <w:right w:val="single" w:sz="4" w:space="0" w:color="00000A"/>
            </w:tcBorders>
            <w:shd w:val="clear" w:color="D9D9D9" w:fill="FFFFFF"/>
            <w:vAlign w:val="bottom"/>
          </w:tcPr>
          <w:p w14:paraId="2194D4CC" w14:textId="44AAD61C"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299</w:t>
            </w:r>
          </w:p>
        </w:tc>
      </w:tr>
      <w:tr w:rsidR="00D30466" w14:paraId="179D9881" w14:textId="77777777" w:rsidTr="003005EB">
        <w:trPr>
          <w:trHeight w:val="320"/>
        </w:trPr>
        <w:tc>
          <w:tcPr>
            <w:tcW w:w="3266" w:type="dxa"/>
            <w:tcBorders>
              <w:left w:val="single" w:sz="4" w:space="0" w:color="00000A"/>
              <w:bottom w:val="single" w:sz="4" w:space="0" w:color="00000A"/>
              <w:right w:val="double" w:sz="6" w:space="0" w:color="00000A"/>
            </w:tcBorders>
            <w:shd w:val="clear" w:color="000000" w:fill="FFFFFF"/>
            <w:tcMar>
              <w:left w:w="103" w:type="dxa"/>
            </w:tcMar>
            <w:vAlign w:val="bottom"/>
          </w:tcPr>
          <w:p w14:paraId="53DEC9FA"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predicted stable</w:t>
            </w:r>
          </w:p>
        </w:tc>
        <w:tc>
          <w:tcPr>
            <w:tcW w:w="971" w:type="dxa"/>
            <w:tcBorders>
              <w:bottom w:val="single" w:sz="4" w:space="0" w:color="00000A"/>
              <w:right w:val="single" w:sz="4" w:space="0" w:color="00000A"/>
            </w:tcBorders>
            <w:shd w:val="clear" w:color="000000" w:fill="FFFFFF"/>
            <w:vAlign w:val="bottom"/>
          </w:tcPr>
          <w:p w14:paraId="24F76685" w14:textId="2DDE72FA"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Borders>
              <w:bottom w:val="single" w:sz="4" w:space="0" w:color="00000A"/>
              <w:right w:val="single" w:sz="4" w:space="0" w:color="00000A"/>
            </w:tcBorders>
            <w:shd w:val="clear" w:color="000000" w:fill="FFFFFF"/>
            <w:vAlign w:val="bottom"/>
          </w:tcPr>
          <w:p w14:paraId="4224C8F8" w14:textId="3D8C74AF"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Borders>
              <w:bottom w:val="single" w:sz="4" w:space="0" w:color="00000A"/>
              <w:right w:val="single" w:sz="4" w:space="0" w:color="00000A"/>
            </w:tcBorders>
            <w:shd w:val="clear" w:color="000000" w:fill="FFFFFF"/>
            <w:vAlign w:val="bottom"/>
          </w:tcPr>
          <w:p w14:paraId="183EA4F8" w14:textId="53AD2A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71" w:type="dxa"/>
            <w:tcBorders>
              <w:bottom w:val="single" w:sz="4" w:space="0" w:color="00000A"/>
              <w:right w:val="single" w:sz="4" w:space="0" w:color="00000A"/>
            </w:tcBorders>
            <w:shd w:val="clear" w:color="000000" w:fill="FFFFFF"/>
            <w:vAlign w:val="bottom"/>
          </w:tcPr>
          <w:p w14:paraId="364B6D86" w14:textId="67EA05E2"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872" w:type="dxa"/>
            <w:tcBorders>
              <w:bottom w:val="single" w:sz="4" w:space="0" w:color="00000A"/>
              <w:right w:val="single" w:sz="4" w:space="0" w:color="00000A"/>
            </w:tcBorders>
            <w:shd w:val="clear" w:color="000000" w:fill="FFFFFF"/>
            <w:vAlign w:val="bottom"/>
          </w:tcPr>
          <w:p w14:paraId="06B586B3" w14:textId="0784F4E2"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038" w:type="dxa"/>
            <w:tcBorders>
              <w:bottom w:val="single" w:sz="4" w:space="0" w:color="00000A"/>
              <w:right w:val="single" w:sz="4" w:space="0" w:color="00000A"/>
            </w:tcBorders>
            <w:shd w:val="clear" w:color="000000" w:fill="FFFFFF"/>
            <w:vAlign w:val="bottom"/>
          </w:tcPr>
          <w:p w14:paraId="7CFD2C68" w14:textId="06D74DBB"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2.2</w:t>
            </w:r>
          </w:p>
        </w:tc>
      </w:tr>
      <w:tr w:rsidR="00D30466" w14:paraId="4BE4100E" w14:textId="77777777" w:rsidTr="003005EB">
        <w:trPr>
          <w:trHeight w:val="32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13F0571F"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pred. stable and stable in MP</w:t>
            </w:r>
          </w:p>
        </w:tc>
        <w:tc>
          <w:tcPr>
            <w:tcW w:w="971" w:type="dxa"/>
            <w:tcBorders>
              <w:bottom w:val="single" w:sz="4" w:space="0" w:color="00000A"/>
              <w:right w:val="single" w:sz="4" w:space="0" w:color="00000A"/>
            </w:tcBorders>
            <w:shd w:val="clear" w:color="auto" w:fill="auto"/>
            <w:vAlign w:val="bottom"/>
          </w:tcPr>
          <w:p w14:paraId="064AF3F7" w14:textId="4B700A3D"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991" w:type="dxa"/>
            <w:tcBorders>
              <w:bottom w:val="single" w:sz="4" w:space="0" w:color="00000A"/>
              <w:right w:val="single" w:sz="4" w:space="0" w:color="00000A"/>
            </w:tcBorders>
            <w:shd w:val="clear" w:color="auto" w:fill="auto"/>
            <w:vAlign w:val="bottom"/>
          </w:tcPr>
          <w:p w14:paraId="047E0AF3" w14:textId="1C6BA4F2"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991" w:type="dxa"/>
            <w:tcBorders>
              <w:bottom w:val="single" w:sz="4" w:space="0" w:color="00000A"/>
              <w:right w:val="single" w:sz="4" w:space="0" w:color="00000A"/>
            </w:tcBorders>
            <w:shd w:val="clear" w:color="auto" w:fill="auto"/>
            <w:vAlign w:val="bottom"/>
          </w:tcPr>
          <w:p w14:paraId="7276B2F0" w14:textId="651EAD63"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971" w:type="dxa"/>
            <w:tcBorders>
              <w:bottom w:val="single" w:sz="4" w:space="0" w:color="00000A"/>
              <w:right w:val="single" w:sz="4" w:space="0" w:color="00000A"/>
            </w:tcBorders>
            <w:shd w:val="clear" w:color="auto" w:fill="auto"/>
            <w:vAlign w:val="bottom"/>
          </w:tcPr>
          <w:p w14:paraId="4EBB96E6" w14:textId="2FCC23F2"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872" w:type="dxa"/>
            <w:tcBorders>
              <w:bottom w:val="single" w:sz="4" w:space="0" w:color="00000A"/>
              <w:right w:val="single" w:sz="4" w:space="0" w:color="00000A"/>
            </w:tcBorders>
            <w:shd w:val="clear" w:color="auto" w:fill="auto"/>
            <w:vAlign w:val="bottom"/>
          </w:tcPr>
          <w:p w14:paraId="0D98DD2F" w14:textId="1FE6A7DE"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1038" w:type="dxa"/>
            <w:tcBorders>
              <w:bottom w:val="single" w:sz="4" w:space="0" w:color="00000A"/>
              <w:right w:val="single" w:sz="4" w:space="0" w:color="00000A"/>
            </w:tcBorders>
            <w:shd w:val="clear" w:color="auto" w:fill="auto"/>
            <w:vAlign w:val="bottom"/>
          </w:tcPr>
          <w:p w14:paraId="3C6A0F91" w14:textId="3D13C1BA" w:rsidR="00D30466" w:rsidRPr="00D30466" w:rsidRDefault="00D30466" w:rsidP="00D30466">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r>
    </w:tbl>
    <w:p w14:paraId="004A98EA" w14:textId="77777777" w:rsidR="00C96117" w:rsidRDefault="00C96117">
      <w:pPr>
        <w:pStyle w:val="Standard"/>
        <w:spacing w:line="360" w:lineRule="auto"/>
        <w:jc w:val="both"/>
        <w:rPr>
          <w:rFonts w:ascii="Times New Roman" w:hAnsi="Times New Roman" w:cs="Times New Roman"/>
          <w:b/>
          <w:bCs/>
        </w:rPr>
      </w:pPr>
    </w:p>
    <w:p w14:paraId="4243AB98" w14:textId="77777777" w:rsidR="00221493" w:rsidRDefault="00221493">
      <w:pPr>
        <w:suppressAutoHyphens w:val="0"/>
        <w:textAlignment w:val="auto"/>
        <w:rPr>
          <w:rFonts w:ascii="Times New Roman" w:hAnsi="Times New Roman" w:cs="Times New Roman"/>
          <w:b/>
          <w:bCs/>
          <w:color w:val="00000A"/>
          <w:sz w:val="28"/>
          <w:szCs w:val="28"/>
        </w:rPr>
      </w:pPr>
      <w:r>
        <w:rPr>
          <w:rFonts w:ascii="Times New Roman" w:hAnsi="Times New Roman" w:cs="Times New Roman"/>
          <w:b/>
          <w:bCs/>
          <w:sz w:val="28"/>
          <w:szCs w:val="28"/>
        </w:rPr>
        <w:br w:type="page"/>
      </w:r>
    </w:p>
    <w:p w14:paraId="48D8F4EA" w14:textId="47FCA49B" w:rsidR="00C96117" w:rsidRDefault="003A59B5">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79121156" w14:textId="77777777" w:rsidR="00221493" w:rsidRPr="00221493" w:rsidRDefault="003A59B5" w:rsidP="00221493">
      <w:pPr>
        <w:pStyle w:val="Bibliography"/>
        <w:rPr>
          <w:rFonts w:ascii="Times New Roman" w:hAnsi="Times New Roman" w:cs="Times New Roman"/>
          <w:color w:val="000000"/>
          <w:sz w:val="20"/>
        </w:rPr>
      </w:pPr>
      <w:r>
        <w:fldChar w:fldCharType="begin"/>
      </w:r>
      <w:r w:rsidR="00585742">
        <w:instrText xml:space="preserve"> ADDIN ZOTERO_BIBL {"uncited":[],"omitted":[],"custom":[]} CSL_BIBLIOGRAPHY </w:instrText>
      </w:r>
      <w:r>
        <w:fldChar w:fldCharType="separate"/>
      </w:r>
      <w:r w:rsidR="00221493" w:rsidRPr="00221493">
        <w:rPr>
          <w:rFonts w:ascii="Times New Roman" w:hAnsi="Times New Roman" w:cs="Times New Roman"/>
          <w:color w:val="000000"/>
          <w:sz w:val="20"/>
        </w:rPr>
        <w:t>1.</w:t>
      </w:r>
      <w:r w:rsidR="00221493" w:rsidRPr="00221493">
        <w:rPr>
          <w:rFonts w:ascii="Times New Roman" w:hAnsi="Times New Roman" w:cs="Times New Roman"/>
          <w:color w:val="000000"/>
          <w:sz w:val="20"/>
        </w:rPr>
        <w:tab/>
        <w:t xml:space="preserve">Himanen, L., Geurts, A., Foster, A. S. &amp; Rinke, P. Data-Driven Materials Science: Status, Challenges, and Perspectives. </w:t>
      </w:r>
      <w:r w:rsidR="00221493" w:rsidRPr="00221493">
        <w:rPr>
          <w:rFonts w:ascii="Times New Roman" w:hAnsi="Times New Roman" w:cs="Times New Roman"/>
          <w:i/>
          <w:iCs/>
          <w:color w:val="000000"/>
          <w:sz w:val="20"/>
        </w:rPr>
        <w:t>Advanced Science</w:t>
      </w:r>
      <w:r w:rsidR="00221493" w:rsidRPr="00221493">
        <w:rPr>
          <w:rFonts w:ascii="Times New Roman" w:hAnsi="Times New Roman" w:cs="Times New Roman"/>
          <w:color w:val="000000"/>
          <w:sz w:val="20"/>
        </w:rPr>
        <w:t xml:space="preserve"> </w:t>
      </w:r>
      <w:r w:rsidR="00221493" w:rsidRPr="00221493">
        <w:rPr>
          <w:rFonts w:ascii="Times New Roman" w:hAnsi="Times New Roman" w:cs="Times New Roman"/>
          <w:b/>
          <w:bCs/>
          <w:color w:val="000000"/>
          <w:sz w:val="20"/>
        </w:rPr>
        <w:t>0</w:t>
      </w:r>
      <w:r w:rsidR="00221493" w:rsidRPr="00221493">
        <w:rPr>
          <w:rFonts w:ascii="Times New Roman" w:hAnsi="Times New Roman" w:cs="Times New Roman"/>
          <w:color w:val="000000"/>
          <w:sz w:val="20"/>
        </w:rPr>
        <w:t>, 1900808 (2019).</w:t>
      </w:r>
    </w:p>
    <w:p w14:paraId="453010F8"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w:t>
      </w:r>
      <w:r w:rsidRPr="00221493">
        <w:rPr>
          <w:rFonts w:ascii="Times New Roman" w:hAnsi="Times New Roman" w:cs="Times New Roman"/>
          <w:color w:val="000000"/>
          <w:sz w:val="20"/>
        </w:rPr>
        <w:tab/>
        <w:t xml:space="preserve">Schleder, G. R., Padilha, A. C. M., Acosta, C. M., Costa, M. &amp; Fazzio, A. From DFT to machine learning: recent approaches to materials science–a review. </w:t>
      </w:r>
      <w:r w:rsidRPr="00221493">
        <w:rPr>
          <w:rFonts w:ascii="Times New Roman" w:hAnsi="Times New Roman" w:cs="Times New Roman"/>
          <w:i/>
          <w:iCs/>
          <w:color w:val="000000"/>
          <w:sz w:val="20"/>
        </w:rPr>
        <w:t>Journal of Physics: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w:t>
      </w:r>
      <w:r w:rsidRPr="00221493">
        <w:rPr>
          <w:rFonts w:ascii="Times New Roman" w:hAnsi="Times New Roman" w:cs="Times New Roman"/>
          <w:color w:val="000000"/>
          <w:sz w:val="20"/>
        </w:rPr>
        <w:t>, 032001 (2019).</w:t>
      </w:r>
    </w:p>
    <w:p w14:paraId="6007D654"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w:t>
      </w:r>
      <w:r w:rsidRPr="00221493">
        <w:rPr>
          <w:rFonts w:ascii="Times New Roman" w:hAnsi="Times New Roman" w:cs="Times New Roman"/>
          <w:color w:val="000000"/>
          <w:sz w:val="20"/>
        </w:rPr>
        <w:tab/>
        <w:t xml:space="preserve">Goldsmith, B. R., Esterhuizen, J., Liu, J.-X., Bartel, C. J. &amp; Sutton, C. A. Machine learning for heterogeneous catalyst design and discovery. </w:t>
      </w:r>
      <w:r w:rsidRPr="00221493">
        <w:rPr>
          <w:rFonts w:ascii="Times New Roman" w:hAnsi="Times New Roman" w:cs="Times New Roman"/>
          <w:i/>
          <w:iCs/>
          <w:color w:val="000000"/>
          <w:sz w:val="20"/>
        </w:rPr>
        <w:t>AIChE-Journal</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64</w:t>
      </w:r>
      <w:r w:rsidRPr="00221493">
        <w:rPr>
          <w:rFonts w:ascii="Times New Roman" w:hAnsi="Times New Roman" w:cs="Times New Roman"/>
          <w:color w:val="000000"/>
          <w:sz w:val="20"/>
        </w:rPr>
        <w:t>, 2311–2323 (2018).</w:t>
      </w:r>
    </w:p>
    <w:p w14:paraId="27B6455C"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w:t>
      </w:r>
      <w:r w:rsidRPr="00221493">
        <w:rPr>
          <w:rFonts w:ascii="Times New Roman" w:hAnsi="Times New Roman" w:cs="Times New Roman"/>
          <w:color w:val="000000"/>
          <w:sz w:val="20"/>
        </w:rPr>
        <w:tab/>
        <w:t xml:space="preserve">Butler, K. T., Davies, D. W., Cartwright, H., Isayev, O. &amp; Walsh, A. Machine learning for molecular and materials science. </w:t>
      </w:r>
      <w:r w:rsidRPr="00221493">
        <w:rPr>
          <w:rFonts w:ascii="Times New Roman" w:hAnsi="Times New Roman" w:cs="Times New Roman"/>
          <w:i/>
          <w:iCs/>
          <w:color w:val="000000"/>
          <w:sz w:val="20"/>
        </w:rPr>
        <w:t>Nature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559</w:t>
      </w:r>
      <w:r w:rsidRPr="00221493">
        <w:rPr>
          <w:rFonts w:ascii="Times New Roman" w:hAnsi="Times New Roman" w:cs="Times New Roman"/>
          <w:color w:val="000000"/>
          <w:sz w:val="20"/>
        </w:rPr>
        <w:t>, 547–555 (2018).</w:t>
      </w:r>
    </w:p>
    <w:p w14:paraId="168FA308"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5.</w:t>
      </w:r>
      <w:r w:rsidRPr="00221493">
        <w:rPr>
          <w:rFonts w:ascii="Times New Roman" w:hAnsi="Times New Roman" w:cs="Times New Roman"/>
          <w:color w:val="000000"/>
          <w:sz w:val="20"/>
        </w:rPr>
        <w:tab/>
        <w:t xml:space="preserve">Ramprasad, R., Batra, R., Pilania, G., Mannodi-Kanakkithodi, A. &amp; Kim, C. Machine learning in materials informatics: recent applications and prospects.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3</w:t>
      </w:r>
      <w:r w:rsidRPr="00221493">
        <w:rPr>
          <w:rFonts w:ascii="Times New Roman" w:hAnsi="Times New Roman" w:cs="Times New Roman"/>
          <w:color w:val="000000"/>
          <w:sz w:val="20"/>
        </w:rPr>
        <w:t>, 54 (2017).</w:t>
      </w:r>
    </w:p>
    <w:p w14:paraId="1F6E1DC2"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6.</w:t>
      </w:r>
      <w:r w:rsidRPr="00221493">
        <w:rPr>
          <w:rFonts w:ascii="Times New Roman" w:hAnsi="Times New Roman" w:cs="Times New Roman"/>
          <w:color w:val="000000"/>
          <w:sz w:val="20"/>
        </w:rPr>
        <w:tab/>
        <w:t xml:space="preserve">Schmidt, J., Marques, M. R. G., Botti, S. &amp; Marques, M. A. L. Recent advances and applications of machine learning in solid-state materials science.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w:t>
      </w:r>
      <w:r w:rsidRPr="00221493">
        <w:rPr>
          <w:rFonts w:ascii="Times New Roman" w:hAnsi="Times New Roman" w:cs="Times New Roman"/>
          <w:color w:val="000000"/>
          <w:sz w:val="20"/>
        </w:rPr>
        <w:t>, 83 (2019).</w:t>
      </w:r>
    </w:p>
    <w:p w14:paraId="5E7869A0"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7.</w:t>
      </w:r>
      <w:r w:rsidRPr="00221493">
        <w:rPr>
          <w:rFonts w:ascii="Times New Roman" w:hAnsi="Times New Roman" w:cs="Times New Roman"/>
          <w:color w:val="000000"/>
          <w:sz w:val="20"/>
        </w:rPr>
        <w:tab/>
        <w:t xml:space="preserve">Pizzi, G., Cepellotti, A., Sabatini, R., Marzari, N. &amp; Kozinsky, B. AiiDA: automated interactive infrastructure and database for computational science. </w:t>
      </w:r>
      <w:r w:rsidRPr="00221493">
        <w:rPr>
          <w:rFonts w:ascii="Times New Roman" w:hAnsi="Times New Roman" w:cs="Times New Roman"/>
          <w:i/>
          <w:iCs/>
          <w:color w:val="000000"/>
          <w:sz w:val="20"/>
        </w:rPr>
        <w:t>Computational Materials Science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111</w:t>
      </w:r>
      <w:r w:rsidRPr="00221493">
        <w:rPr>
          <w:rFonts w:ascii="Times New Roman" w:hAnsi="Times New Roman" w:cs="Times New Roman"/>
          <w:color w:val="000000"/>
          <w:sz w:val="20"/>
        </w:rPr>
        <w:t>, 218–230 (2016).</w:t>
      </w:r>
    </w:p>
    <w:p w14:paraId="4C790A46"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8.</w:t>
      </w:r>
      <w:r w:rsidRPr="00221493">
        <w:rPr>
          <w:rFonts w:ascii="Times New Roman" w:hAnsi="Times New Roman" w:cs="Times New Roman"/>
          <w:color w:val="000000"/>
          <w:sz w:val="20"/>
        </w:rPr>
        <w:tab/>
        <w:t xml:space="preserve">Kirklin, S.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The Open Quantum Materials Database (OQMD): assessing the accuracy of DFT formation energies.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w:t>
      </w:r>
      <w:r w:rsidRPr="00221493">
        <w:rPr>
          <w:rFonts w:ascii="Times New Roman" w:hAnsi="Times New Roman" w:cs="Times New Roman"/>
          <w:color w:val="000000"/>
          <w:sz w:val="20"/>
        </w:rPr>
        <w:t>, 15010 (2015).</w:t>
      </w:r>
    </w:p>
    <w:p w14:paraId="5A8BEF87"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9.</w:t>
      </w:r>
      <w:r w:rsidRPr="00221493">
        <w:rPr>
          <w:rFonts w:ascii="Times New Roman" w:hAnsi="Times New Roman" w:cs="Times New Roman"/>
          <w:color w:val="000000"/>
          <w:sz w:val="20"/>
        </w:rPr>
        <w:tab/>
        <w:t xml:space="preserve">Jain, A.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Commentary: The Materials Project: A materials genome approach to accelerating materials innovation. </w:t>
      </w:r>
      <w:r w:rsidRPr="00221493">
        <w:rPr>
          <w:rFonts w:ascii="Times New Roman" w:hAnsi="Times New Roman" w:cs="Times New Roman"/>
          <w:i/>
          <w:iCs/>
          <w:color w:val="000000"/>
          <w:sz w:val="20"/>
        </w:rPr>
        <w:t>APL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w:t>
      </w:r>
      <w:r w:rsidRPr="00221493">
        <w:rPr>
          <w:rFonts w:ascii="Times New Roman" w:hAnsi="Times New Roman" w:cs="Times New Roman"/>
          <w:color w:val="000000"/>
          <w:sz w:val="20"/>
        </w:rPr>
        <w:t>, 011002 (2013).</w:t>
      </w:r>
    </w:p>
    <w:p w14:paraId="4570EE8D"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10.</w:t>
      </w:r>
      <w:r w:rsidRPr="00221493">
        <w:rPr>
          <w:rFonts w:ascii="Times New Roman" w:hAnsi="Times New Roman" w:cs="Times New Roman"/>
          <w:color w:val="000000"/>
          <w:sz w:val="20"/>
        </w:rPr>
        <w:tab/>
        <w:t xml:space="preserve">Draxl, C. &amp; Scheffler, M. NOMAD: The FAIR concept for big data-driven materials science. </w:t>
      </w:r>
      <w:r w:rsidRPr="00221493">
        <w:rPr>
          <w:rFonts w:ascii="Times New Roman" w:hAnsi="Times New Roman" w:cs="Times New Roman"/>
          <w:i/>
          <w:iCs/>
          <w:color w:val="000000"/>
          <w:sz w:val="20"/>
        </w:rPr>
        <w:t>MRS Bulletin</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43</w:t>
      </w:r>
      <w:r w:rsidRPr="00221493">
        <w:rPr>
          <w:rFonts w:ascii="Times New Roman" w:hAnsi="Times New Roman" w:cs="Times New Roman"/>
          <w:color w:val="000000"/>
          <w:sz w:val="20"/>
        </w:rPr>
        <w:t>, 676–682 (2018).</w:t>
      </w:r>
    </w:p>
    <w:p w14:paraId="187C6F44"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11.</w:t>
      </w:r>
      <w:r w:rsidRPr="00221493">
        <w:rPr>
          <w:rFonts w:ascii="Times New Roman" w:hAnsi="Times New Roman" w:cs="Times New Roman"/>
          <w:color w:val="000000"/>
          <w:sz w:val="20"/>
        </w:rPr>
        <w:tab/>
        <w:t xml:space="preserve">Curtarolo, S.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AFLOW: An automatic framework for high-throughput materials discovery. </w:t>
      </w:r>
      <w:r w:rsidRPr="00221493">
        <w:rPr>
          <w:rFonts w:ascii="Times New Roman" w:hAnsi="Times New Roman" w:cs="Times New Roman"/>
          <w:i/>
          <w:iCs/>
          <w:color w:val="000000"/>
          <w:sz w:val="20"/>
        </w:rPr>
        <w:t>Computational Materials Science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58</w:t>
      </w:r>
      <w:r w:rsidRPr="00221493">
        <w:rPr>
          <w:rFonts w:ascii="Times New Roman" w:hAnsi="Times New Roman" w:cs="Times New Roman"/>
          <w:color w:val="000000"/>
          <w:sz w:val="20"/>
        </w:rPr>
        <w:t>, 218–226 (2012).</w:t>
      </w:r>
    </w:p>
    <w:p w14:paraId="78C54796"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12.</w:t>
      </w:r>
      <w:r w:rsidRPr="00221493">
        <w:rPr>
          <w:rFonts w:ascii="Times New Roman" w:hAnsi="Times New Roman" w:cs="Times New Roman"/>
          <w:color w:val="000000"/>
          <w:sz w:val="20"/>
        </w:rPr>
        <w:tab/>
        <w:t xml:space="preserve">Hellenbrandt, M. The Inorganic Crystal Structure Database (ICSD)—Present and Future. </w:t>
      </w:r>
      <w:r w:rsidRPr="00221493">
        <w:rPr>
          <w:rFonts w:ascii="Times New Roman" w:hAnsi="Times New Roman" w:cs="Times New Roman"/>
          <w:i/>
          <w:iCs/>
          <w:color w:val="000000"/>
          <w:sz w:val="20"/>
        </w:rPr>
        <w:t>Crystallography Reviews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10</w:t>
      </w:r>
      <w:r w:rsidRPr="00221493">
        <w:rPr>
          <w:rFonts w:ascii="Times New Roman" w:hAnsi="Times New Roman" w:cs="Times New Roman"/>
          <w:color w:val="000000"/>
          <w:sz w:val="20"/>
        </w:rPr>
        <w:t>, 17–22 (2004).</w:t>
      </w:r>
    </w:p>
    <w:p w14:paraId="4358350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13.</w:t>
      </w:r>
      <w:r w:rsidRPr="00221493">
        <w:rPr>
          <w:rFonts w:ascii="Times New Roman" w:hAnsi="Times New Roman" w:cs="Times New Roman"/>
          <w:color w:val="000000"/>
          <w:sz w:val="20"/>
        </w:rPr>
        <w:tab/>
        <w:t xml:space="preserve">Davies, D. W.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Computational Screening of All Stoichiometric Inorganic Materials. </w:t>
      </w:r>
      <w:r w:rsidRPr="00221493">
        <w:rPr>
          <w:rFonts w:ascii="Times New Roman" w:hAnsi="Times New Roman" w:cs="Times New Roman"/>
          <w:i/>
          <w:iCs/>
          <w:color w:val="000000"/>
          <w:sz w:val="20"/>
        </w:rPr>
        <w:t>Chem</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w:t>
      </w:r>
      <w:r w:rsidRPr="00221493">
        <w:rPr>
          <w:rFonts w:ascii="Times New Roman" w:hAnsi="Times New Roman" w:cs="Times New Roman"/>
          <w:color w:val="000000"/>
          <w:sz w:val="20"/>
        </w:rPr>
        <w:t>, 617–627 (2016).</w:t>
      </w:r>
    </w:p>
    <w:p w14:paraId="29F86C1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lastRenderedPageBreak/>
        <w:t>14.</w:t>
      </w:r>
      <w:r w:rsidRPr="00221493">
        <w:rPr>
          <w:rFonts w:ascii="Times New Roman" w:hAnsi="Times New Roman" w:cs="Times New Roman"/>
          <w:color w:val="000000"/>
          <w:sz w:val="20"/>
        </w:rPr>
        <w:tab/>
        <w:t xml:space="preserve">Bartel, C. J.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Physical descriptor for the Gibbs energy of inorganic crystalline solids and temperature-dependent materials chemistry. </w:t>
      </w:r>
      <w:r w:rsidRPr="00221493">
        <w:rPr>
          <w:rFonts w:ascii="Times New Roman" w:hAnsi="Times New Roman" w:cs="Times New Roman"/>
          <w:i/>
          <w:iCs/>
          <w:color w:val="000000"/>
          <w:sz w:val="20"/>
        </w:rPr>
        <w:t>Nature communications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w:t>
      </w:r>
      <w:r w:rsidRPr="00221493">
        <w:rPr>
          <w:rFonts w:ascii="Times New Roman" w:hAnsi="Times New Roman" w:cs="Times New Roman"/>
          <w:color w:val="000000"/>
          <w:sz w:val="20"/>
        </w:rPr>
        <w:t>, 4168 (2018).</w:t>
      </w:r>
    </w:p>
    <w:p w14:paraId="3A58BBC7"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15.</w:t>
      </w:r>
      <w:r w:rsidRPr="00221493">
        <w:rPr>
          <w:rFonts w:ascii="Times New Roman" w:hAnsi="Times New Roman" w:cs="Times New Roman"/>
          <w:color w:val="000000"/>
          <w:sz w:val="20"/>
        </w:rPr>
        <w:tab/>
        <w:t xml:space="preserve">Bartel, C. J., Weimer, A. W., Lany, S., Musgrave, C. B. &amp; Holder, A. M. The role of decomposition reactions in assessing first-principles predictions of solid stability.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w:t>
      </w:r>
      <w:r w:rsidRPr="00221493">
        <w:rPr>
          <w:rFonts w:ascii="Times New Roman" w:hAnsi="Times New Roman" w:cs="Times New Roman"/>
          <w:color w:val="000000"/>
          <w:sz w:val="20"/>
        </w:rPr>
        <w:t>, 4 (2019).</w:t>
      </w:r>
    </w:p>
    <w:p w14:paraId="792884F3"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16.</w:t>
      </w:r>
      <w:r w:rsidRPr="00221493">
        <w:rPr>
          <w:rFonts w:ascii="Times New Roman" w:hAnsi="Times New Roman" w:cs="Times New Roman"/>
          <w:color w:val="000000"/>
          <w:sz w:val="20"/>
        </w:rPr>
        <w:tab/>
        <w:t xml:space="preserve">Hautier, G., Ong, S. P., Jain, A., Moore, C. J. &amp; Ceder, G. Accuracy of density functional theory in predicting formation energies of ternary oxides from binary oxides and its implication on phase stability.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85</w:t>
      </w:r>
      <w:r w:rsidRPr="00221493">
        <w:rPr>
          <w:rFonts w:ascii="Times New Roman" w:hAnsi="Times New Roman" w:cs="Times New Roman"/>
          <w:color w:val="000000"/>
          <w:sz w:val="20"/>
        </w:rPr>
        <w:t>, 155208 (2012).</w:t>
      </w:r>
    </w:p>
    <w:p w14:paraId="22815F4E"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17.</w:t>
      </w:r>
      <w:r w:rsidRPr="00221493">
        <w:rPr>
          <w:rFonts w:ascii="Times New Roman" w:hAnsi="Times New Roman" w:cs="Times New Roman"/>
          <w:color w:val="000000"/>
          <w:sz w:val="20"/>
        </w:rPr>
        <w:tab/>
        <w:t xml:space="preserve">Ong, S. P., Wang, L., Kang, B. &amp; Ceder, G. Li−Fe−P−O2 Phase Diagram from First Principles Calculations. </w:t>
      </w:r>
      <w:r w:rsidRPr="00221493">
        <w:rPr>
          <w:rFonts w:ascii="Times New Roman" w:hAnsi="Times New Roman" w:cs="Times New Roman"/>
          <w:i/>
          <w:iCs/>
          <w:color w:val="000000"/>
          <w:sz w:val="20"/>
        </w:rPr>
        <w:t>Chem. Mater.</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20</w:t>
      </w:r>
      <w:r w:rsidRPr="00221493">
        <w:rPr>
          <w:rFonts w:ascii="Times New Roman" w:hAnsi="Times New Roman" w:cs="Times New Roman"/>
          <w:color w:val="000000"/>
          <w:sz w:val="20"/>
        </w:rPr>
        <w:t>, 1798–1807 (2008).</w:t>
      </w:r>
    </w:p>
    <w:p w14:paraId="5832051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18.</w:t>
      </w:r>
      <w:r w:rsidRPr="00221493">
        <w:rPr>
          <w:rFonts w:ascii="Times New Roman" w:hAnsi="Times New Roman" w:cs="Times New Roman"/>
          <w:color w:val="000000"/>
          <w:sz w:val="20"/>
        </w:rPr>
        <w:tab/>
        <w:t xml:space="preserve">Zunger, A. Inverse design in search of materials with target functionalities. </w:t>
      </w:r>
      <w:r w:rsidRPr="00221493">
        <w:rPr>
          <w:rFonts w:ascii="Times New Roman" w:hAnsi="Times New Roman" w:cs="Times New Roman"/>
          <w:i/>
          <w:iCs/>
          <w:color w:val="000000"/>
          <w:sz w:val="20"/>
        </w:rPr>
        <w:t>Nature Reviews Chemistry</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w:t>
      </w:r>
      <w:r w:rsidRPr="00221493">
        <w:rPr>
          <w:rFonts w:ascii="Times New Roman" w:hAnsi="Times New Roman" w:cs="Times New Roman"/>
          <w:color w:val="000000"/>
          <w:sz w:val="20"/>
        </w:rPr>
        <w:t>, 0121 (2018).</w:t>
      </w:r>
    </w:p>
    <w:p w14:paraId="11F9D6FD"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19.</w:t>
      </w:r>
      <w:r w:rsidRPr="00221493">
        <w:rPr>
          <w:rFonts w:ascii="Times New Roman" w:hAnsi="Times New Roman" w:cs="Times New Roman"/>
          <w:color w:val="000000"/>
          <w:sz w:val="20"/>
        </w:rPr>
        <w:tab/>
        <w:t xml:space="preserve">Meredig, B.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Combinatorial screening for new materials in unconstrained composition space with machine learning.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89</w:t>
      </w:r>
      <w:r w:rsidRPr="00221493">
        <w:rPr>
          <w:rFonts w:ascii="Times New Roman" w:hAnsi="Times New Roman" w:cs="Times New Roman"/>
          <w:color w:val="000000"/>
          <w:sz w:val="20"/>
        </w:rPr>
        <w:t>, 094104 (2014).</w:t>
      </w:r>
    </w:p>
    <w:p w14:paraId="38B97204"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20.</w:t>
      </w:r>
      <w:r w:rsidRPr="00221493">
        <w:rPr>
          <w:rFonts w:ascii="Times New Roman" w:hAnsi="Times New Roman" w:cs="Times New Roman"/>
          <w:color w:val="000000"/>
          <w:sz w:val="20"/>
        </w:rPr>
        <w:tab/>
        <w:t xml:space="preserve">Deml, A. M., O’Hayre, R., Wolverton, C. &amp; Stevanović, V. Predicting density functional theory total energies and enthalpies of formation of metal-nonmetal compounds by linear regression.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93</w:t>
      </w:r>
      <w:r w:rsidRPr="00221493">
        <w:rPr>
          <w:rFonts w:ascii="Times New Roman" w:hAnsi="Times New Roman" w:cs="Times New Roman"/>
          <w:color w:val="000000"/>
          <w:sz w:val="20"/>
        </w:rPr>
        <w:t>, 085142 (2016).</w:t>
      </w:r>
    </w:p>
    <w:p w14:paraId="3D57CF9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21.</w:t>
      </w:r>
      <w:r w:rsidRPr="00221493">
        <w:rPr>
          <w:rFonts w:ascii="Times New Roman" w:hAnsi="Times New Roman" w:cs="Times New Roman"/>
          <w:color w:val="000000"/>
          <w:sz w:val="20"/>
        </w:rPr>
        <w:tab/>
        <w:t xml:space="preserve">Ward, L., Agrawal, A., Choudhary, A. &amp; Wolverton, C. A general-purpose machine learning framework for predicting properties of inorganic materials.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w:t>
      </w:r>
      <w:r w:rsidRPr="00221493">
        <w:rPr>
          <w:rFonts w:ascii="Times New Roman" w:hAnsi="Times New Roman" w:cs="Times New Roman"/>
          <w:color w:val="000000"/>
          <w:sz w:val="20"/>
        </w:rPr>
        <w:t>, 16028 (2016).</w:t>
      </w:r>
    </w:p>
    <w:p w14:paraId="6CC34F9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22.</w:t>
      </w:r>
      <w:r w:rsidRPr="00221493">
        <w:rPr>
          <w:rFonts w:ascii="Times New Roman" w:hAnsi="Times New Roman" w:cs="Times New Roman"/>
          <w:color w:val="000000"/>
          <w:sz w:val="20"/>
        </w:rPr>
        <w:tab/>
        <w:t xml:space="preserve">AutoMatminer. </w:t>
      </w:r>
      <w:r w:rsidRPr="00221493">
        <w:rPr>
          <w:rFonts w:ascii="Times New Roman" w:hAnsi="Times New Roman" w:cs="Times New Roman"/>
          <w:i/>
          <w:iCs/>
          <w:color w:val="000000"/>
          <w:sz w:val="20"/>
        </w:rPr>
        <w:t>https://github.com/hackingmaterials/automatminer</w:t>
      </w:r>
      <w:r w:rsidRPr="00221493">
        <w:rPr>
          <w:rFonts w:ascii="Times New Roman" w:hAnsi="Times New Roman" w:cs="Times New Roman"/>
          <w:color w:val="000000"/>
          <w:sz w:val="20"/>
        </w:rPr>
        <w:t>.</w:t>
      </w:r>
    </w:p>
    <w:p w14:paraId="1BD0F9C6"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23.</w:t>
      </w:r>
      <w:r w:rsidRPr="00221493">
        <w:rPr>
          <w:rFonts w:ascii="Times New Roman" w:hAnsi="Times New Roman" w:cs="Times New Roman"/>
          <w:color w:val="000000"/>
          <w:sz w:val="20"/>
        </w:rPr>
        <w:tab/>
        <w:t xml:space="preserve">Goodall, Rhys &amp; Lee, Alpha. Predicting materials properties without crystal structure: Deep representation learning from stoichiometry. </w:t>
      </w:r>
      <w:r w:rsidRPr="00221493">
        <w:rPr>
          <w:rFonts w:ascii="Times New Roman" w:hAnsi="Times New Roman" w:cs="Times New Roman"/>
          <w:i/>
          <w:iCs/>
          <w:color w:val="000000"/>
          <w:sz w:val="20"/>
        </w:rPr>
        <w:t>arXiv pre-print 1910.00617</w:t>
      </w:r>
      <w:r w:rsidRPr="00221493">
        <w:rPr>
          <w:rFonts w:ascii="Times New Roman" w:hAnsi="Times New Roman" w:cs="Times New Roman"/>
          <w:color w:val="000000"/>
          <w:sz w:val="20"/>
        </w:rPr>
        <w:t>.</w:t>
      </w:r>
    </w:p>
    <w:p w14:paraId="3B0AD11C"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24.</w:t>
      </w:r>
      <w:r w:rsidRPr="00221493">
        <w:rPr>
          <w:rFonts w:ascii="Times New Roman" w:hAnsi="Times New Roman" w:cs="Times New Roman"/>
          <w:color w:val="000000"/>
          <w:sz w:val="20"/>
        </w:rPr>
        <w:tab/>
        <w:t xml:space="preserve">Faber, F. A., Lindmaa, A., von Lilienfeld, O. A. &amp; Armiento, R. Machine Learning Energies of 2 Million Elpasolite ABC2D6 Crystals. </w:t>
      </w:r>
      <w:r w:rsidRPr="00221493">
        <w:rPr>
          <w:rFonts w:ascii="Times New Roman" w:hAnsi="Times New Roman" w:cs="Times New Roman"/>
          <w:i/>
          <w:iCs/>
          <w:color w:val="000000"/>
          <w:sz w:val="20"/>
        </w:rPr>
        <w:t>Physical Review Letters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117</w:t>
      </w:r>
      <w:r w:rsidRPr="00221493">
        <w:rPr>
          <w:rFonts w:ascii="Times New Roman" w:hAnsi="Times New Roman" w:cs="Times New Roman"/>
          <w:color w:val="000000"/>
          <w:sz w:val="20"/>
        </w:rPr>
        <w:t>, 135502 (9).</w:t>
      </w:r>
    </w:p>
    <w:p w14:paraId="2904F12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25.</w:t>
      </w:r>
      <w:r w:rsidRPr="00221493">
        <w:rPr>
          <w:rFonts w:ascii="Times New Roman" w:hAnsi="Times New Roman" w:cs="Times New Roman"/>
          <w:color w:val="000000"/>
          <w:sz w:val="20"/>
        </w:rPr>
        <w:tab/>
        <w:t xml:space="preserve">Ward, L.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Including crystal structure attributes in machine learning models of formation energies via Voronoi tessellations.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96</w:t>
      </w:r>
      <w:r w:rsidRPr="00221493">
        <w:rPr>
          <w:rFonts w:ascii="Times New Roman" w:hAnsi="Times New Roman" w:cs="Times New Roman"/>
          <w:color w:val="000000"/>
          <w:sz w:val="20"/>
        </w:rPr>
        <w:t>, 024104 (2017).</w:t>
      </w:r>
    </w:p>
    <w:p w14:paraId="3DA3E757"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26.</w:t>
      </w:r>
      <w:r w:rsidRPr="00221493">
        <w:rPr>
          <w:rFonts w:ascii="Times New Roman" w:hAnsi="Times New Roman" w:cs="Times New Roman"/>
          <w:color w:val="000000"/>
          <w:sz w:val="20"/>
        </w:rPr>
        <w:tab/>
        <w:t xml:space="preserve">Xie, T. &amp; Grossman, J. C. Crystal Graph Convolutional Neural Networks for an Accurate and Interpretable Prediction of Material Properties. </w:t>
      </w:r>
      <w:r w:rsidRPr="00221493">
        <w:rPr>
          <w:rFonts w:ascii="Times New Roman" w:hAnsi="Times New Roman" w:cs="Times New Roman"/>
          <w:i/>
          <w:iCs/>
          <w:color w:val="000000"/>
          <w:sz w:val="20"/>
        </w:rPr>
        <w:t>Physical Review Letters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120</w:t>
      </w:r>
      <w:r w:rsidRPr="00221493">
        <w:rPr>
          <w:rFonts w:ascii="Times New Roman" w:hAnsi="Times New Roman" w:cs="Times New Roman"/>
          <w:color w:val="000000"/>
          <w:sz w:val="20"/>
        </w:rPr>
        <w:t>, 145301 (June 4).</w:t>
      </w:r>
    </w:p>
    <w:p w14:paraId="53EED8B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27.</w:t>
      </w:r>
      <w:r w:rsidRPr="00221493">
        <w:rPr>
          <w:rFonts w:ascii="Times New Roman" w:hAnsi="Times New Roman" w:cs="Times New Roman"/>
          <w:color w:val="000000"/>
          <w:sz w:val="20"/>
        </w:rPr>
        <w:tab/>
        <w:t xml:space="preserve">Chen, C., Ye, W., Zuo, Y., Zheng, C. &amp; Ong, S. P. Graph Networks as a Universal Machine Learning Framework for Molecules and Crystals. </w:t>
      </w:r>
      <w:r w:rsidRPr="00221493">
        <w:rPr>
          <w:rFonts w:ascii="Times New Roman" w:hAnsi="Times New Roman" w:cs="Times New Roman"/>
          <w:i/>
          <w:iCs/>
          <w:color w:val="000000"/>
          <w:sz w:val="20"/>
        </w:rPr>
        <w:t>Chem. Mater.</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31</w:t>
      </w:r>
      <w:r w:rsidRPr="00221493">
        <w:rPr>
          <w:rFonts w:ascii="Times New Roman" w:hAnsi="Times New Roman" w:cs="Times New Roman"/>
          <w:color w:val="000000"/>
          <w:sz w:val="20"/>
        </w:rPr>
        <w:t>, 3564–3572 (2019).</w:t>
      </w:r>
    </w:p>
    <w:p w14:paraId="0CFC8B5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lastRenderedPageBreak/>
        <w:t>28.</w:t>
      </w:r>
      <w:r w:rsidRPr="00221493">
        <w:rPr>
          <w:rFonts w:ascii="Times New Roman" w:hAnsi="Times New Roman" w:cs="Times New Roman"/>
          <w:color w:val="000000"/>
          <w:sz w:val="20"/>
        </w:rPr>
        <w:tab/>
        <w:t xml:space="preserve">Stevanović, V., Lany, S., Zhang, X. &amp; Zunger, A. Correcting density functional theory for accurate predictions of compound enthalpies of formation: Fitted elemental-phase reference energies.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85</w:t>
      </w:r>
      <w:r w:rsidRPr="00221493">
        <w:rPr>
          <w:rFonts w:ascii="Times New Roman" w:hAnsi="Times New Roman" w:cs="Times New Roman"/>
          <w:color w:val="000000"/>
          <w:sz w:val="20"/>
        </w:rPr>
        <w:t>, 115104 (2012).</w:t>
      </w:r>
    </w:p>
    <w:p w14:paraId="4F7B7967"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29.</w:t>
      </w:r>
      <w:r w:rsidRPr="00221493">
        <w:rPr>
          <w:rFonts w:ascii="Times New Roman" w:hAnsi="Times New Roman" w:cs="Times New Roman"/>
          <w:color w:val="000000"/>
          <w:sz w:val="20"/>
        </w:rPr>
        <w:tab/>
        <w:t xml:space="preserve">Pandey, M. &amp; Jacobsen, K. W. Heats of formation of solids with error estimation: The mBEEF functional with and without fitted reference energies.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91</w:t>
      </w:r>
      <w:r w:rsidRPr="00221493">
        <w:rPr>
          <w:rFonts w:ascii="Times New Roman" w:hAnsi="Times New Roman" w:cs="Times New Roman"/>
          <w:color w:val="000000"/>
          <w:sz w:val="20"/>
        </w:rPr>
        <w:t>, 235201 (2015).</w:t>
      </w:r>
    </w:p>
    <w:p w14:paraId="4EED3F9B"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30.</w:t>
      </w:r>
      <w:r w:rsidRPr="00221493">
        <w:rPr>
          <w:rFonts w:ascii="Times New Roman" w:hAnsi="Times New Roman" w:cs="Times New Roman"/>
          <w:color w:val="000000"/>
          <w:sz w:val="20"/>
        </w:rPr>
        <w:tab/>
        <w:t xml:space="preserve">Zhang, Y.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Efficient first-principles prediction of solid stability: Towards chemical accuracy.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4</w:t>
      </w:r>
      <w:r w:rsidRPr="00221493">
        <w:rPr>
          <w:rFonts w:ascii="Times New Roman" w:hAnsi="Times New Roman" w:cs="Times New Roman"/>
          <w:color w:val="000000"/>
          <w:sz w:val="20"/>
        </w:rPr>
        <w:t>, 9 (2018).</w:t>
      </w:r>
    </w:p>
    <w:p w14:paraId="7EADF95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31.</w:t>
      </w:r>
      <w:r w:rsidRPr="00221493">
        <w:rPr>
          <w:rFonts w:ascii="Times New Roman" w:hAnsi="Times New Roman" w:cs="Times New Roman"/>
          <w:color w:val="000000"/>
          <w:sz w:val="20"/>
        </w:rPr>
        <w:tab/>
        <w:t xml:space="preserve">Miedema, A. R. Simple model for alloys. </w:t>
      </w:r>
      <w:r w:rsidRPr="00221493">
        <w:rPr>
          <w:rFonts w:ascii="Times New Roman" w:hAnsi="Times New Roman" w:cs="Times New Roman"/>
          <w:i/>
          <w:iCs/>
          <w:color w:val="000000"/>
          <w:sz w:val="20"/>
        </w:rPr>
        <w:t>Philips Tech. Rev., v. 33, no. 6, pp. 149-160</w:t>
      </w:r>
      <w:r w:rsidRPr="00221493">
        <w:rPr>
          <w:rFonts w:ascii="Times New Roman" w:hAnsi="Times New Roman" w:cs="Times New Roman"/>
          <w:color w:val="000000"/>
          <w:sz w:val="20"/>
        </w:rPr>
        <w:t xml:space="preserve"> (1973).</w:t>
      </w:r>
    </w:p>
    <w:p w14:paraId="73429AB9"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32.</w:t>
      </w:r>
      <w:r w:rsidRPr="00221493">
        <w:rPr>
          <w:rFonts w:ascii="Times New Roman" w:hAnsi="Times New Roman" w:cs="Times New Roman"/>
          <w:color w:val="000000"/>
          <w:sz w:val="20"/>
        </w:rPr>
        <w:tab/>
        <w:t xml:space="preserve">Isaacs, E. B. &amp; Wolverton, C. Performance of the strongly constrained and appropriately normed density functional for solid-state materials. </w:t>
      </w:r>
      <w:r w:rsidRPr="00221493">
        <w:rPr>
          <w:rFonts w:ascii="Times New Roman" w:hAnsi="Times New Roman" w:cs="Times New Roman"/>
          <w:i/>
          <w:iCs/>
          <w:color w:val="000000"/>
          <w:sz w:val="20"/>
        </w:rPr>
        <w:t>Phys. Rev.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w:t>
      </w:r>
      <w:r w:rsidRPr="00221493">
        <w:rPr>
          <w:rFonts w:ascii="Times New Roman" w:hAnsi="Times New Roman" w:cs="Times New Roman"/>
          <w:color w:val="000000"/>
          <w:sz w:val="20"/>
        </w:rPr>
        <w:t>, 063801 (2018).</w:t>
      </w:r>
    </w:p>
    <w:p w14:paraId="5D36A69D"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33.</w:t>
      </w:r>
      <w:r w:rsidRPr="00221493">
        <w:rPr>
          <w:rFonts w:ascii="Times New Roman" w:hAnsi="Times New Roman" w:cs="Times New Roman"/>
          <w:color w:val="000000"/>
          <w:sz w:val="20"/>
        </w:rPr>
        <w:tab/>
        <w:t xml:space="preserve">Xu, K.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Show, Attend and Tell: Neural Image Caption Generation with Visual Attention. </w:t>
      </w:r>
      <w:r w:rsidRPr="00221493">
        <w:rPr>
          <w:rFonts w:ascii="Times New Roman" w:hAnsi="Times New Roman" w:cs="Times New Roman"/>
          <w:i/>
          <w:iCs/>
          <w:color w:val="000000"/>
          <w:sz w:val="20"/>
        </w:rPr>
        <w:t>preprint at https://arxiv.org/abs/1502.03044</w:t>
      </w:r>
      <w:r w:rsidRPr="00221493">
        <w:rPr>
          <w:rFonts w:ascii="Times New Roman" w:hAnsi="Times New Roman" w:cs="Times New Roman"/>
          <w:color w:val="000000"/>
          <w:sz w:val="20"/>
        </w:rPr>
        <w:t>.</w:t>
      </w:r>
    </w:p>
    <w:p w14:paraId="14A2B52C"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34.</w:t>
      </w:r>
      <w:r w:rsidRPr="00221493">
        <w:rPr>
          <w:rFonts w:ascii="Times New Roman" w:hAnsi="Times New Roman" w:cs="Times New Roman"/>
          <w:color w:val="000000"/>
          <w:sz w:val="20"/>
        </w:rPr>
        <w:tab/>
        <w:t xml:space="preserve">Thackeray, M. M., David, W. I. F., Bruce, P. G. &amp; Goodenough, J. B. Lithium insertion into manganese spinels. </w:t>
      </w:r>
      <w:r w:rsidRPr="00221493">
        <w:rPr>
          <w:rFonts w:ascii="Times New Roman" w:hAnsi="Times New Roman" w:cs="Times New Roman"/>
          <w:i/>
          <w:iCs/>
          <w:color w:val="000000"/>
          <w:sz w:val="20"/>
        </w:rPr>
        <w:t>Materials Research Bulletin</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18</w:t>
      </w:r>
      <w:r w:rsidRPr="00221493">
        <w:rPr>
          <w:rFonts w:ascii="Times New Roman" w:hAnsi="Times New Roman" w:cs="Times New Roman"/>
          <w:color w:val="000000"/>
          <w:sz w:val="20"/>
        </w:rPr>
        <w:t>, 461–472 (1983).</w:t>
      </w:r>
    </w:p>
    <w:p w14:paraId="410D0E2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35.</w:t>
      </w:r>
      <w:r w:rsidRPr="00221493">
        <w:rPr>
          <w:rFonts w:ascii="Times New Roman" w:hAnsi="Times New Roman" w:cs="Times New Roman"/>
          <w:color w:val="000000"/>
          <w:sz w:val="20"/>
        </w:rPr>
        <w:tab/>
        <w:t xml:space="preserve">Armstrong, A. R. &amp; Bruce, P. G. Synthesis of layered LiMnO2 as an electrode for rechargeable lithium batteries. </w:t>
      </w:r>
      <w:r w:rsidRPr="00221493">
        <w:rPr>
          <w:rFonts w:ascii="Times New Roman" w:hAnsi="Times New Roman" w:cs="Times New Roman"/>
          <w:i/>
          <w:iCs/>
          <w:color w:val="000000"/>
          <w:sz w:val="20"/>
        </w:rPr>
        <w:t>Nature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381</w:t>
      </w:r>
      <w:r w:rsidRPr="00221493">
        <w:rPr>
          <w:rFonts w:ascii="Times New Roman" w:hAnsi="Times New Roman" w:cs="Times New Roman"/>
          <w:color w:val="000000"/>
          <w:sz w:val="20"/>
        </w:rPr>
        <w:t>, 499–500 (1996).</w:t>
      </w:r>
    </w:p>
    <w:p w14:paraId="2CE5F99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36.</w:t>
      </w:r>
      <w:r w:rsidRPr="00221493">
        <w:rPr>
          <w:rFonts w:ascii="Times New Roman" w:hAnsi="Times New Roman" w:cs="Times New Roman"/>
          <w:color w:val="000000"/>
          <w:sz w:val="20"/>
        </w:rPr>
        <w:tab/>
        <w:t xml:space="preserve">Thackeray, M. M.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Li2MnO3-stabilized LiMO2 (M = Mn, Ni, Co) electrodes for lithium-ion batteries. </w:t>
      </w:r>
      <w:r w:rsidRPr="00221493">
        <w:rPr>
          <w:rFonts w:ascii="Times New Roman" w:hAnsi="Times New Roman" w:cs="Times New Roman"/>
          <w:i/>
          <w:iCs/>
          <w:color w:val="000000"/>
          <w:sz w:val="20"/>
        </w:rPr>
        <w:t>J. Mater. Chem.</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17</w:t>
      </w:r>
      <w:r w:rsidRPr="00221493">
        <w:rPr>
          <w:rFonts w:ascii="Times New Roman" w:hAnsi="Times New Roman" w:cs="Times New Roman"/>
          <w:color w:val="000000"/>
          <w:sz w:val="20"/>
        </w:rPr>
        <w:t>, 3112–3125 (2007).</w:t>
      </w:r>
    </w:p>
    <w:p w14:paraId="0DA3F703"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37.</w:t>
      </w:r>
      <w:r w:rsidRPr="00221493">
        <w:rPr>
          <w:rFonts w:ascii="Times New Roman" w:hAnsi="Times New Roman" w:cs="Times New Roman"/>
          <w:color w:val="000000"/>
          <w:sz w:val="20"/>
        </w:rPr>
        <w:tab/>
        <w:t xml:space="preserve">Lee, J.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Reversible Mn2+/Mn4+ double redox in lithium-excess cathode materials. </w:t>
      </w:r>
      <w:r w:rsidRPr="00221493">
        <w:rPr>
          <w:rFonts w:ascii="Times New Roman" w:hAnsi="Times New Roman" w:cs="Times New Roman"/>
          <w:i/>
          <w:iCs/>
          <w:color w:val="000000"/>
          <w:sz w:val="20"/>
        </w:rPr>
        <w:t>Nature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556</w:t>
      </w:r>
      <w:r w:rsidRPr="00221493">
        <w:rPr>
          <w:rFonts w:ascii="Times New Roman" w:hAnsi="Times New Roman" w:cs="Times New Roman"/>
          <w:color w:val="000000"/>
          <w:sz w:val="20"/>
        </w:rPr>
        <w:t>, 185–190 (2018).</w:t>
      </w:r>
    </w:p>
    <w:p w14:paraId="6647DE9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38.</w:t>
      </w:r>
      <w:r w:rsidRPr="00221493">
        <w:rPr>
          <w:rFonts w:ascii="Times New Roman" w:hAnsi="Times New Roman" w:cs="Times New Roman"/>
          <w:color w:val="000000"/>
          <w:sz w:val="20"/>
        </w:rPr>
        <w:tab/>
        <w:t xml:space="preserve">Oganov, A. R., Pickard, C. J., Zhu, Q. &amp; Needs, R. J. Structure prediction drives materials discovery. </w:t>
      </w:r>
      <w:r w:rsidRPr="00221493">
        <w:rPr>
          <w:rFonts w:ascii="Times New Roman" w:hAnsi="Times New Roman" w:cs="Times New Roman"/>
          <w:i/>
          <w:iCs/>
          <w:color w:val="000000"/>
          <w:sz w:val="20"/>
        </w:rPr>
        <w:t>Nature Reviews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4</w:t>
      </w:r>
      <w:r w:rsidRPr="00221493">
        <w:rPr>
          <w:rFonts w:ascii="Times New Roman" w:hAnsi="Times New Roman" w:cs="Times New Roman"/>
          <w:color w:val="000000"/>
          <w:sz w:val="20"/>
        </w:rPr>
        <w:t>, 331–348 (2019).</w:t>
      </w:r>
    </w:p>
    <w:p w14:paraId="6E324E8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39.</w:t>
      </w:r>
      <w:r w:rsidRPr="00221493">
        <w:rPr>
          <w:rFonts w:ascii="Times New Roman" w:hAnsi="Times New Roman" w:cs="Times New Roman"/>
          <w:color w:val="000000"/>
          <w:sz w:val="20"/>
        </w:rPr>
        <w:tab/>
        <w:t xml:space="preserve">Noh, J.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Inverse Design of Solid-State Materials via a Continuous Representation. </w:t>
      </w:r>
      <w:r w:rsidRPr="00221493">
        <w:rPr>
          <w:rFonts w:ascii="Times New Roman" w:hAnsi="Times New Roman" w:cs="Times New Roman"/>
          <w:i/>
          <w:iCs/>
          <w:color w:val="000000"/>
          <w:sz w:val="20"/>
        </w:rPr>
        <w:t>Matter</w:t>
      </w:r>
      <w:r w:rsidRPr="00221493">
        <w:rPr>
          <w:rFonts w:ascii="Times New Roman" w:hAnsi="Times New Roman" w:cs="Times New Roman"/>
          <w:color w:val="000000"/>
          <w:sz w:val="20"/>
        </w:rPr>
        <w:t xml:space="preserve"> doi:10.1016/j.matt.2019.08.017.</w:t>
      </w:r>
    </w:p>
    <w:p w14:paraId="1AFB2919"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40.</w:t>
      </w:r>
      <w:r w:rsidRPr="00221493">
        <w:rPr>
          <w:rFonts w:ascii="Times New Roman" w:hAnsi="Times New Roman" w:cs="Times New Roman"/>
          <w:color w:val="000000"/>
          <w:sz w:val="20"/>
        </w:rPr>
        <w:tab/>
        <w:t xml:space="preserve">Isayev, O.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Universal fragment descriptors for predicting properties of inorganic crystals. </w:t>
      </w:r>
      <w:r w:rsidRPr="00221493">
        <w:rPr>
          <w:rFonts w:ascii="Times New Roman" w:hAnsi="Times New Roman" w:cs="Times New Roman"/>
          <w:i/>
          <w:iCs/>
          <w:color w:val="000000"/>
          <w:sz w:val="20"/>
        </w:rPr>
        <w:t>Nature Communications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w:t>
      </w:r>
      <w:r w:rsidRPr="00221493">
        <w:rPr>
          <w:rFonts w:ascii="Times New Roman" w:hAnsi="Times New Roman" w:cs="Times New Roman"/>
          <w:color w:val="000000"/>
          <w:sz w:val="20"/>
        </w:rPr>
        <w:t>, 15679 (2017).</w:t>
      </w:r>
    </w:p>
    <w:p w14:paraId="30646366"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41.</w:t>
      </w:r>
      <w:r w:rsidRPr="00221493">
        <w:rPr>
          <w:rFonts w:ascii="Times New Roman" w:hAnsi="Times New Roman" w:cs="Times New Roman"/>
          <w:color w:val="000000"/>
          <w:sz w:val="20"/>
        </w:rPr>
        <w:tab/>
        <w:t xml:space="preserve">Bartók, A. P., Kondor, R. &amp; Csányi, G. On representing chemical environments.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87</w:t>
      </w:r>
      <w:r w:rsidRPr="00221493">
        <w:rPr>
          <w:rFonts w:ascii="Times New Roman" w:hAnsi="Times New Roman" w:cs="Times New Roman"/>
          <w:color w:val="000000"/>
          <w:sz w:val="20"/>
        </w:rPr>
        <w:t>, 184115 (2013).</w:t>
      </w:r>
    </w:p>
    <w:p w14:paraId="1646063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lastRenderedPageBreak/>
        <w:t>42.</w:t>
      </w:r>
      <w:r w:rsidRPr="00221493">
        <w:rPr>
          <w:rFonts w:ascii="Times New Roman" w:hAnsi="Times New Roman" w:cs="Times New Roman"/>
          <w:color w:val="000000"/>
          <w:sz w:val="20"/>
        </w:rPr>
        <w:tab/>
        <w:t xml:space="preserve">Ong, S. P.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The Materials Application Programming Interface (API): A simple, flexible and efficient API for materials data based on REpresentational State Transfer (REST) principles. </w:t>
      </w:r>
      <w:r w:rsidRPr="00221493">
        <w:rPr>
          <w:rFonts w:ascii="Times New Roman" w:hAnsi="Times New Roman" w:cs="Times New Roman"/>
          <w:i/>
          <w:iCs/>
          <w:color w:val="000000"/>
          <w:sz w:val="20"/>
        </w:rPr>
        <w:t>Computational Materials Science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97</w:t>
      </w:r>
      <w:r w:rsidRPr="00221493">
        <w:rPr>
          <w:rFonts w:ascii="Times New Roman" w:hAnsi="Times New Roman" w:cs="Times New Roman"/>
          <w:color w:val="000000"/>
          <w:sz w:val="20"/>
        </w:rPr>
        <w:t>, 209–215 (2015).</w:t>
      </w:r>
    </w:p>
    <w:p w14:paraId="176839E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43.</w:t>
      </w:r>
      <w:r w:rsidRPr="00221493">
        <w:rPr>
          <w:rFonts w:ascii="Times New Roman" w:hAnsi="Times New Roman" w:cs="Times New Roman"/>
          <w:color w:val="000000"/>
          <w:sz w:val="20"/>
        </w:rPr>
        <w:tab/>
        <w:t xml:space="preserve">Ward, L.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Matminer: An open source toolkit for materials data mining. </w:t>
      </w:r>
      <w:r w:rsidRPr="00221493">
        <w:rPr>
          <w:rFonts w:ascii="Times New Roman" w:hAnsi="Times New Roman" w:cs="Times New Roman"/>
          <w:i/>
          <w:iCs/>
          <w:color w:val="000000"/>
          <w:sz w:val="20"/>
        </w:rPr>
        <w:t>Computational Materials Science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152</w:t>
      </w:r>
      <w:r w:rsidRPr="00221493">
        <w:rPr>
          <w:rFonts w:ascii="Times New Roman" w:hAnsi="Times New Roman" w:cs="Times New Roman"/>
          <w:color w:val="000000"/>
          <w:sz w:val="20"/>
        </w:rPr>
        <w:t>, 60–69 (2018).</w:t>
      </w:r>
    </w:p>
    <w:p w14:paraId="1481296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44.</w:t>
      </w:r>
      <w:r w:rsidRPr="00221493">
        <w:rPr>
          <w:rFonts w:ascii="Times New Roman" w:hAnsi="Times New Roman" w:cs="Times New Roman"/>
          <w:color w:val="000000"/>
          <w:sz w:val="20"/>
        </w:rPr>
        <w:tab/>
        <w:t xml:space="preserve">Chen, T. &amp; Guestrin, C. XGBoost: A Scalable Tree Boosting System. </w:t>
      </w:r>
      <w:r w:rsidRPr="00221493">
        <w:rPr>
          <w:rFonts w:ascii="Times New Roman" w:hAnsi="Times New Roman" w:cs="Times New Roman"/>
          <w:i/>
          <w:iCs/>
          <w:color w:val="000000"/>
          <w:sz w:val="20"/>
        </w:rPr>
        <w:t>Proceedings of the 22nd ACM SIGKDD International Conference on Knowledge Discovery and Data Mining - KDD ’16</w:t>
      </w:r>
      <w:r w:rsidRPr="00221493">
        <w:rPr>
          <w:rFonts w:ascii="Times New Roman" w:hAnsi="Times New Roman" w:cs="Times New Roman"/>
          <w:color w:val="000000"/>
          <w:sz w:val="20"/>
        </w:rPr>
        <w:t xml:space="preserve"> 785–794 (2016) doi:10.1145/2939672.2939785.</w:t>
      </w:r>
    </w:p>
    <w:p w14:paraId="385DF105" w14:textId="391AC587" w:rsidR="00C96117" w:rsidRDefault="003A59B5" w:rsidP="00585742">
      <w:pPr>
        <w:pStyle w:val="Bibliography"/>
        <w:ind w:left="0" w:firstLine="0"/>
      </w:pPr>
      <w:r>
        <w:fldChar w:fldCharType="end"/>
      </w:r>
    </w:p>
    <w:p w14:paraId="73E59DAB" w14:textId="77777777" w:rsidR="00221493" w:rsidRDefault="00221493" w:rsidP="00221493">
      <w:pPr>
        <w:pStyle w:val="Standard"/>
        <w:spacing w:line="360" w:lineRule="auto"/>
        <w:jc w:val="both"/>
      </w:pPr>
      <w:r>
        <w:rPr>
          <w:rFonts w:ascii="Times New Roman" w:hAnsi="Times New Roman" w:cs="Times New Roman"/>
          <w:b/>
          <w:bCs/>
          <w:sz w:val="28"/>
          <w:szCs w:val="28"/>
        </w:rPr>
        <w:t>Suggested reviewers</w:t>
      </w:r>
    </w:p>
    <w:p w14:paraId="4ADE92B2" w14:textId="77777777" w:rsidR="00221493" w:rsidRDefault="00221493" w:rsidP="00221493">
      <w:pPr>
        <w:pStyle w:val="Standard"/>
        <w:spacing w:line="360" w:lineRule="auto"/>
        <w:jc w:val="both"/>
        <w:rPr>
          <w:rFonts w:ascii="Times New Roman" w:hAnsi="Times New Roman" w:cs="Times New Roman"/>
        </w:rPr>
      </w:pPr>
      <w:r>
        <w:rPr>
          <w:rFonts w:ascii="Times New Roman" w:hAnsi="Times New Roman" w:cs="Times New Roman"/>
        </w:rPr>
        <w:t>Keith Butler</w:t>
      </w:r>
    </w:p>
    <w:p w14:paraId="57AE8DF4" w14:textId="77777777" w:rsidR="00221493" w:rsidRDefault="00221493" w:rsidP="00221493">
      <w:pPr>
        <w:pStyle w:val="Standard"/>
        <w:spacing w:line="360" w:lineRule="auto"/>
        <w:jc w:val="both"/>
        <w:rPr>
          <w:rFonts w:ascii="Times New Roman" w:hAnsi="Times New Roman" w:cs="Times New Roman"/>
        </w:rPr>
      </w:pPr>
      <w:r>
        <w:rPr>
          <w:rFonts w:ascii="Times New Roman" w:hAnsi="Times New Roman" w:cs="Times New Roman"/>
        </w:rPr>
        <w:t>Jeff Grossman</w:t>
      </w:r>
    </w:p>
    <w:p w14:paraId="5E88BAEE" w14:textId="77777777" w:rsidR="00221493" w:rsidRDefault="00221493" w:rsidP="00221493">
      <w:pPr>
        <w:pStyle w:val="Standard"/>
        <w:spacing w:line="360" w:lineRule="auto"/>
        <w:jc w:val="both"/>
      </w:pPr>
      <w:r>
        <w:rPr>
          <w:rFonts w:ascii="Times New Roman" w:hAnsi="Times New Roman" w:cs="Times New Roman"/>
        </w:rPr>
        <w:t>Alpha Lee</w:t>
      </w:r>
    </w:p>
    <w:p w14:paraId="3E782EE0" w14:textId="77777777" w:rsidR="00221493" w:rsidRDefault="00221493" w:rsidP="00221493">
      <w:pPr>
        <w:pStyle w:val="Standard"/>
        <w:spacing w:line="360" w:lineRule="auto"/>
        <w:jc w:val="both"/>
        <w:rPr>
          <w:rFonts w:ascii="Times New Roman" w:hAnsi="Times New Roman" w:cs="Times New Roman"/>
        </w:rPr>
      </w:pPr>
      <w:r>
        <w:rPr>
          <w:rFonts w:ascii="Times New Roman" w:hAnsi="Times New Roman" w:cs="Times New Roman"/>
        </w:rPr>
        <w:t>Bryce Meredig</w:t>
      </w:r>
    </w:p>
    <w:p w14:paraId="23AB2F3A" w14:textId="77777777" w:rsidR="00221493" w:rsidRDefault="00221493" w:rsidP="00221493">
      <w:pPr>
        <w:pStyle w:val="Standard"/>
        <w:spacing w:line="360" w:lineRule="auto"/>
        <w:jc w:val="both"/>
      </w:pPr>
      <w:r>
        <w:rPr>
          <w:rFonts w:ascii="Times New Roman" w:hAnsi="Times New Roman" w:cs="Times New Roman"/>
        </w:rPr>
        <w:t>Chris Wolverton</w:t>
      </w:r>
    </w:p>
    <w:p w14:paraId="5318A7AE" w14:textId="77777777" w:rsidR="00221493" w:rsidRPr="00221493" w:rsidRDefault="00221493" w:rsidP="00221493">
      <w:pPr>
        <w:pStyle w:val="Standard"/>
      </w:pPr>
    </w:p>
    <w:sectPr w:rsidR="00221493" w:rsidRPr="00221493">
      <w:footerReference w:type="default" r:id="rId18"/>
      <w:pgSz w:w="12240" w:h="15840"/>
      <w:pgMar w:top="1440" w:right="1440" w:bottom="1440" w:left="1440" w:header="0" w:footer="72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7F977" w14:textId="77777777" w:rsidR="00000F6C" w:rsidRDefault="00000F6C">
      <w:r>
        <w:separator/>
      </w:r>
    </w:p>
  </w:endnote>
  <w:endnote w:type="continuationSeparator" w:id="0">
    <w:p w14:paraId="22BD9B81" w14:textId="77777777" w:rsidR="00000F6C" w:rsidRDefault="00000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panose1 w:val="020B0604020202020204"/>
    <w:charset w:val="00"/>
    <w:family w:val="auto"/>
    <w:pitch w:val="variable"/>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41DF2" w14:textId="77777777" w:rsidR="003005EB" w:rsidRPr="00425F4F" w:rsidRDefault="003005EB">
    <w:pPr>
      <w:pStyle w:val="Footer"/>
      <w:jc w:val="center"/>
      <w:rPr>
        <w:rFonts w:ascii="Times New Roman" w:hAnsi="Times New Roman" w:cs="Times New Roman"/>
        <w:sz w:val="22"/>
        <w:szCs w:val="22"/>
      </w:rPr>
    </w:pPr>
    <w:r w:rsidRPr="00425F4F">
      <w:rPr>
        <w:rFonts w:ascii="Times New Roman" w:hAnsi="Times New Roman" w:cs="Times New Roman"/>
        <w:sz w:val="22"/>
        <w:szCs w:val="22"/>
      </w:rPr>
      <w:fldChar w:fldCharType="begin"/>
    </w:r>
    <w:r w:rsidRPr="00425F4F">
      <w:rPr>
        <w:rFonts w:ascii="Times New Roman" w:hAnsi="Times New Roman" w:cs="Times New Roman"/>
        <w:sz w:val="22"/>
        <w:szCs w:val="22"/>
      </w:rPr>
      <w:instrText>PAGE</w:instrText>
    </w:r>
    <w:r w:rsidRPr="00425F4F">
      <w:rPr>
        <w:rFonts w:ascii="Times New Roman" w:hAnsi="Times New Roman" w:cs="Times New Roman"/>
        <w:sz w:val="22"/>
        <w:szCs w:val="22"/>
      </w:rPr>
      <w:fldChar w:fldCharType="separate"/>
    </w:r>
    <w:r w:rsidRPr="00425F4F">
      <w:rPr>
        <w:rFonts w:ascii="Times New Roman" w:hAnsi="Times New Roman" w:cs="Times New Roman"/>
        <w:sz w:val="22"/>
        <w:szCs w:val="22"/>
      </w:rPr>
      <w:t>22</w:t>
    </w:r>
    <w:r w:rsidRPr="00425F4F">
      <w:rPr>
        <w:rFonts w:ascii="Times New Roman" w:hAnsi="Times New Roman" w:cs="Times New Roman"/>
        <w:sz w:val="22"/>
        <w:szCs w:val="22"/>
      </w:rPr>
      <w:fldChar w:fldCharType="end"/>
    </w:r>
  </w:p>
  <w:p w14:paraId="109DD49D" w14:textId="77777777" w:rsidR="003005EB" w:rsidRDefault="003005EB">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371E2" w14:textId="77777777" w:rsidR="00000F6C" w:rsidRDefault="00000F6C">
      <w:r>
        <w:separator/>
      </w:r>
    </w:p>
  </w:footnote>
  <w:footnote w:type="continuationSeparator" w:id="0">
    <w:p w14:paraId="50FBE508" w14:textId="77777777" w:rsidR="00000F6C" w:rsidRDefault="00000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1C07AD"/>
    <w:multiLevelType w:val="hybridMultilevel"/>
    <w:tmpl w:val="58726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8E0AB4"/>
    <w:multiLevelType w:val="multilevel"/>
    <w:tmpl w:val="80A848A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6F2D5E84"/>
    <w:multiLevelType w:val="multilevel"/>
    <w:tmpl w:val="6302BE9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117"/>
    <w:rsid w:val="00000F6C"/>
    <w:rsid w:val="00070105"/>
    <w:rsid w:val="000744D7"/>
    <w:rsid w:val="000C6D8E"/>
    <w:rsid w:val="000E398D"/>
    <w:rsid w:val="001026C3"/>
    <w:rsid w:val="00122122"/>
    <w:rsid w:val="00176AF5"/>
    <w:rsid w:val="00221493"/>
    <w:rsid w:val="00246CCA"/>
    <w:rsid w:val="00277FB4"/>
    <w:rsid w:val="0029373B"/>
    <w:rsid w:val="00297395"/>
    <w:rsid w:val="002C00A2"/>
    <w:rsid w:val="002C7653"/>
    <w:rsid w:val="003005EB"/>
    <w:rsid w:val="00391C45"/>
    <w:rsid w:val="003A4FCE"/>
    <w:rsid w:val="003A59B5"/>
    <w:rsid w:val="003A7316"/>
    <w:rsid w:val="003C3E03"/>
    <w:rsid w:val="00425F4F"/>
    <w:rsid w:val="0044086E"/>
    <w:rsid w:val="004E5D71"/>
    <w:rsid w:val="00532727"/>
    <w:rsid w:val="00543CBE"/>
    <w:rsid w:val="00555CD4"/>
    <w:rsid w:val="00585742"/>
    <w:rsid w:val="00627D81"/>
    <w:rsid w:val="00657A7A"/>
    <w:rsid w:val="007A6D42"/>
    <w:rsid w:val="008873D1"/>
    <w:rsid w:val="0095245C"/>
    <w:rsid w:val="00952C8F"/>
    <w:rsid w:val="009E6612"/>
    <w:rsid w:val="009F3FBD"/>
    <w:rsid w:val="00A526D4"/>
    <w:rsid w:val="00A62A66"/>
    <w:rsid w:val="00AE0C92"/>
    <w:rsid w:val="00AF6315"/>
    <w:rsid w:val="00B23009"/>
    <w:rsid w:val="00B349F4"/>
    <w:rsid w:val="00BA030D"/>
    <w:rsid w:val="00BB252D"/>
    <w:rsid w:val="00BB74DB"/>
    <w:rsid w:val="00BC1E80"/>
    <w:rsid w:val="00BF20A1"/>
    <w:rsid w:val="00C4185D"/>
    <w:rsid w:val="00C96117"/>
    <w:rsid w:val="00CA4025"/>
    <w:rsid w:val="00CB5E22"/>
    <w:rsid w:val="00D30466"/>
    <w:rsid w:val="00D438BC"/>
    <w:rsid w:val="00D81C74"/>
    <w:rsid w:val="00DF0E87"/>
    <w:rsid w:val="00E318DC"/>
    <w:rsid w:val="00E76FD6"/>
    <w:rsid w:val="00EF26AB"/>
    <w:rsid w:val="00F07F39"/>
    <w:rsid w:val="00F47986"/>
    <w:rsid w:val="00F821AB"/>
    <w:rsid w:val="00FC20E1"/>
    <w:rsid w:val="00FE44DF"/>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decimalSymbol w:val="."/>
  <w:listSeparator w:val=","/>
  <w14:docId w14:val="4B90474B"/>
  <w15:docId w15:val="{38E368CF-8AAC-7A43-A871-0D9227D50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qFormat/>
  </w:style>
  <w:style w:type="character" w:styleId="PageNumber">
    <w:name w:val="page number"/>
    <w:basedOn w:val="DefaultParagraphFont"/>
    <w:qFormat/>
  </w:style>
  <w:style w:type="character" w:customStyle="1" w:styleId="HeaderChar">
    <w:name w:val="Header Char"/>
    <w:basedOn w:val="DefaultParagraphFont"/>
    <w:qFormat/>
  </w:style>
  <w:style w:type="character" w:customStyle="1" w:styleId="Internetlink">
    <w:name w:val="Internet link"/>
    <w:basedOn w:val="DefaultParagraphFont"/>
    <w:qFormat/>
    <w:rPr>
      <w:color w:val="0563C1"/>
      <w:u w:val="single"/>
    </w:rPr>
  </w:style>
  <w:style w:type="character" w:styleId="UnresolvedMention">
    <w:name w:val="Unresolved Mention"/>
    <w:basedOn w:val="DefaultParagraphFont"/>
    <w:qFormat/>
    <w:rPr>
      <w:color w:val="605E5C"/>
      <w:shd w:val="clear" w:color="auto" w:fill="E1DFDD"/>
    </w:rPr>
  </w:style>
  <w:style w:type="character" w:customStyle="1" w:styleId="BalloonTextChar">
    <w:name w:val="Balloon Text Char"/>
    <w:basedOn w:val="DefaultParagraphFont"/>
    <w:qFormat/>
    <w:rPr>
      <w:rFonts w:ascii="Times New Roman" w:eastAsia="Times New Roman" w:hAnsi="Times New Roman" w:cs="Times New Roman"/>
      <w:sz w:val="18"/>
      <w:szCs w:val="18"/>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ascii="Times New Roman" w:eastAsia="Times New Roman" w:hAnsi="Times New Roman"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paragraph" w:customStyle="1" w:styleId="Heading">
    <w:name w:val="Heading"/>
    <w:basedOn w:val="Standard"/>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Textbody"/>
    <w:rPr>
      <w:rFonts w:cs="FreeSans"/>
    </w:rPr>
  </w:style>
  <w:style w:type="paragraph" w:styleId="Caption">
    <w:name w:val="caption"/>
    <w:basedOn w:val="Standard"/>
    <w:qFormat/>
    <w:pPr>
      <w:suppressLineNumbers/>
      <w:spacing w:before="120" w:after="120"/>
    </w:pPr>
    <w:rPr>
      <w:rFonts w:cs="FreeSans"/>
      <w:i/>
      <w:iCs/>
    </w:rPr>
  </w:style>
  <w:style w:type="paragraph" w:customStyle="1" w:styleId="Index">
    <w:name w:val="Index"/>
    <w:basedOn w:val="Standard"/>
    <w:qFormat/>
    <w:pPr>
      <w:suppressLineNumbers/>
    </w:pPr>
    <w:rPr>
      <w:rFonts w:cs="FreeSans"/>
    </w:rPr>
  </w:style>
  <w:style w:type="paragraph" w:customStyle="1" w:styleId="Standard">
    <w:name w:val="Standard"/>
    <w:qFormat/>
    <w:rPr>
      <w:color w:val="00000A"/>
    </w:rPr>
  </w:style>
  <w:style w:type="paragraph" w:customStyle="1" w:styleId="Textbody">
    <w:name w:val="Text body"/>
    <w:basedOn w:val="Standard"/>
    <w:qFormat/>
    <w:pPr>
      <w:spacing w:after="140" w:line="288" w:lineRule="auto"/>
    </w:pPr>
  </w:style>
  <w:style w:type="paragraph" w:styleId="Footer">
    <w:name w:val="footer"/>
    <w:basedOn w:val="Standard"/>
    <w:pPr>
      <w:tabs>
        <w:tab w:val="center" w:pos="4680"/>
        <w:tab w:val="right" w:pos="9360"/>
      </w:tabs>
    </w:pPr>
  </w:style>
  <w:style w:type="paragraph" w:styleId="ListParagraph">
    <w:name w:val="List Paragraph"/>
    <w:basedOn w:val="Standard"/>
    <w:qFormat/>
    <w:pPr>
      <w:ind w:left="720"/>
    </w:pPr>
  </w:style>
  <w:style w:type="paragraph" w:styleId="Header">
    <w:name w:val="header"/>
    <w:basedOn w:val="Standard"/>
    <w:pPr>
      <w:tabs>
        <w:tab w:val="center" w:pos="4680"/>
        <w:tab w:val="right" w:pos="9360"/>
      </w:tabs>
    </w:pPr>
  </w:style>
  <w:style w:type="paragraph" w:styleId="Bibliography">
    <w:name w:val="Bibliography"/>
    <w:basedOn w:val="Standard"/>
    <w:next w:val="Standard"/>
    <w:qFormat/>
    <w:pPr>
      <w:tabs>
        <w:tab w:val="left" w:pos="524"/>
      </w:tabs>
      <w:spacing w:line="480" w:lineRule="auto"/>
      <w:ind w:left="264" w:hanging="264"/>
    </w:pPr>
  </w:style>
  <w:style w:type="paragraph" w:styleId="BalloonText">
    <w:name w:val="Balloon Text"/>
    <w:basedOn w:val="Standard"/>
    <w:qFormat/>
    <w:rPr>
      <w:rFonts w:ascii="Times New Roman" w:eastAsia="Times New Roman" w:hAnsi="Times New Roman" w:cs="Times New Roman"/>
      <w:sz w:val="18"/>
      <w:szCs w:val="18"/>
    </w:rPr>
  </w:style>
  <w:style w:type="paragraph" w:styleId="CommentText">
    <w:name w:val="annotation text"/>
    <w:basedOn w:val="Standard"/>
    <w:qFormat/>
    <w:rPr>
      <w:sz w:val="20"/>
      <w:szCs w:val="20"/>
    </w:rPr>
  </w:style>
  <w:style w:type="paragraph" w:styleId="CommentSubject">
    <w:name w:val="annotation subject"/>
    <w:basedOn w:val="CommentText"/>
    <w:qFormat/>
    <w:rPr>
      <w:b/>
      <w:bCs/>
    </w:rPr>
  </w:style>
  <w:style w:type="paragraph" w:customStyle="1" w:styleId="PreformattedText">
    <w:name w:val="Preformatted Text"/>
    <w:basedOn w:val="Normal"/>
    <w:qFormat/>
  </w:style>
  <w:style w:type="numbering" w:customStyle="1" w:styleId="NoList1">
    <w:name w:val="No List_1"/>
    <w:qFormat/>
  </w:style>
  <w:style w:type="character" w:styleId="Hyperlink">
    <w:name w:val="Hyperlink"/>
    <w:basedOn w:val="DefaultParagraphFont"/>
    <w:uiPriority w:val="99"/>
    <w:unhideWhenUsed/>
    <w:rsid w:val="005327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682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24</Pages>
  <Words>20370</Words>
  <Characters>116115</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Bartel</dc:creator>
  <dc:description/>
  <cp:lastModifiedBy>Chris Bartel</cp:lastModifiedBy>
  <cp:revision>6</cp:revision>
  <cp:lastPrinted>2019-10-15T22:07:00Z</cp:lastPrinted>
  <dcterms:created xsi:type="dcterms:W3CDTF">2019-11-13T18:50:00Z</dcterms:created>
  <dcterms:modified xsi:type="dcterms:W3CDTF">2019-11-13T19:46:00Z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id="Lqyfuk7m"/&gt;&lt;style id="http://www.zotero.org/styles/nature" hasBibliography="1" bibliographyStyleHasBeenSet="1"/&gt;&lt;prefs&gt;&lt;pref name="fieldType" value="Field"/&gt;&lt;/prefs&gt;&lt;/data&gt;</vt:lpwstr>
  </property>
</Properties>
</file>