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7568"/>
        <w:tblLook w:firstRow="1" w:lastRow="0" w:firstColumn="0" w:lastColumn="0" w:noHBand="0" w:noVBand="1"/>
      </w:tblPr>
      <w:tblGrid>
        <w:gridCol w:w="2221"/>
        <w:gridCol w:w="8534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R_0vnGDk68z0HrDSF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come from a very small village where we are surrounded by towns who have people with higher incomes than us. Where I live there are many different type of Hispanic/latinos from different country. Most of the time I do not feel safe because these type of guys are always just looking/staring/whistling when a female wakes by. However, my village overall is not the worst in Westchester county. </w:t>
              <w:br/>
              <w:t xml:space="preserve">Coming from a low-income family we have insurance that covers our fees but are not the best. Where I live there is like a small clinic provided for those with certain insurances but most of the time they are crowded and the doctors usually rush through the appointments. </w:t>
              <w:br/>
              <w:t xml:space="preserve">Living in a small village is like you know everybody and everybody knows you. It is easy to make friendships, especially if you speak Spanish because my community is a more Spanish speaking community.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2020-08-14T12:13:08Z</dcterms:modified>
  <cp:category/>
</cp:coreProperties>
</file>