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5277"/>
        <w:tblLook w:firstRow="1" w:lastRow="0" w:firstColumn="0" w:lastColumn="0" w:noHBand="0" w:noVBand="1"/>
      </w:tblPr>
      <w:tblGrid>
        <w:gridCol w:w="2221"/>
        <w:gridCol w:w="4305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R_1GOJcba2UWfoVh7</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 Minority Identities/None/None of Above/Blank/Priveleged Identity Listed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in a big city, which means I have easy access to health care, well paying jobs to support myself, and maybe most importantly, I am confident that most of the people around me are open minded. Also, it's easy for me to meet friends and romantic partners who are educated on lgbtq issues and have no problem with my sexuality. I am originally from a rural town in Maine, and I have only lived in big cities as an adult for these reasons.</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2020-08-14T12:29:41Z</dcterms:modified>
  <cp:category/>
</cp:coreProperties>
</file>