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825"/>
        <w:tblLook w:firstRow="1" w:lastRow="0" w:firstColumn="0" w:lastColumn="0" w:noHBand="0" w:noVBand="1"/>
      </w:tblPr>
      <w:tblGrid>
        <w:gridCol w:w="2221"/>
        <w:gridCol w:w="3060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R_1I3H0EUSfEDYOF4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in an isolated location away from the lower 48 provides itâ€™s own challenges in regards to cost of living, access to health care, general amenities, access to food/supplies. Safety can sometimes be  challenging based on weather conditions and access to daylight. Access to mental health care is sparse.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2020-08-14T12:16:04Z</dcterms:modified>
  <cp:category/>
</cp:coreProperties>
</file>