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4765"/>
        <w:tblLook w:firstRow="1" w:lastRow="0" w:firstColumn="0" w:lastColumn="0" w:noHBand="0" w:noVBand="1"/>
      </w:tblPr>
      <w:tblGrid>
        <w:gridCol w:w="2221"/>
        <w:gridCol w:w="3254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R_1IdeVMGFrH5cVxG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hometown is very safe when it comes to physical health. It's a small town; therefore, there are not many places to go for mental health help. Especially for minorities. For a teenager, who is a person of colour, everything feels predominantly white. The ostracizing doesn't come from peers but mostly adults (specifically teachers).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2020-08-14T12:19:55Z</dcterms:modified>
  <cp:category/>
</cp:coreProperties>
</file>