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078"/>
        <w:tblLook w:firstRow="1" w:lastRow="0" w:firstColumn="0" w:lastColumn="0" w:noHBand="0" w:noVBand="1"/>
      </w:tblPr>
      <w:tblGrid>
        <w:gridCol w:w="2221"/>
        <w:gridCol w:w="298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R_1JUUwcKlaH7Dml2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 live in a small, almost isolated village, I feel safe there. My relationships are more likely to have a negative impact, as I am difficult to reach by public transport and cannot stay in the city for long in the evenings because the trains don&amp;#39;t travel that long. My health is not affected by where I live.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2020-08-14T12:32:28Z</dcterms:modified>
  <cp:category/>
</cp:coreProperties>
</file>