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778"/>
        <w:tblLook w:firstRow="1" w:lastRow="0" w:firstColumn="0" w:lastColumn="0" w:noHBand="0" w:noVBand="1"/>
      </w:tblPr>
      <w:tblGrid>
        <w:gridCol w:w="2221"/>
        <w:gridCol w:w="205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R_1LIscKi7m4ZAT1X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the rural south, and it can be really tough as a queer individual. I am proud of my queer identity, which can sometimes mean people act hostile towards me if my â€œvibeâ€ isnâ€™t heteronormative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2020-08-14T12:16:42Z</dcterms:modified>
  <cp:category/>
</cp:coreProperties>
</file>