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8154"/>
        <w:tblLook w:firstRow="1" w:lastRow="0" w:firstColumn="0" w:lastColumn="0" w:noHBand="0" w:noVBand="1"/>
      </w:tblPr>
      <w:tblGrid>
        <w:gridCol w:w="2221"/>
        <w:gridCol w:w="2593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R_1P5mwNdErioqTq4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pretty religious neighbourhood so even though I donâ€™t actively go to services or shul, it can feel strange being such a minority. But then when I go out into the bigger world, my ethnicity and religion impact my queerness and I have to navigate the two.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2020-08-14T12:28:25Z</dcterms:modified>
  <cp:category/>
</cp:coreProperties>
</file>