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4577"/>
        <w:tblLook w:firstRow="1" w:lastRow="0" w:firstColumn="0" w:lastColumn="0" w:noHBand="0" w:noVBand="1"/>
      </w:tblPr>
      <w:tblGrid>
        <w:gridCol w:w="2221"/>
        <w:gridCol w:w="42356"/>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R_1feK4l6UZln5qT4</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Multi-Racial</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Short</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Although I live within California, the area is heavily republican leaning. It is the agriculture part of the state. The culture is much different than you would see in Southern California. I did not come out as bisexual until a year ago because of fear of what those immediately around me would think. People here are also very judgemental of those on social programs so those in low Socioeconomic Status households may feel ostracized.</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2020-08-14T12:17:17Z</dcterms:modified>
  <cp:category/>
</cp:coreProperties>
</file>