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295"/>
        <w:tblLook w:firstRow="1" w:lastRow="0" w:firstColumn="0" w:lastColumn="0" w:noHBand="0" w:noVBand="1"/>
      </w:tblPr>
      <w:tblGrid>
        <w:gridCol w:w="2221"/>
        <w:gridCol w:w="2207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R_1gwHHSOfAO9G9cz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that living in the bay area is one of the more open and accepting places to be. I find that my sexual orientation of asexuality is largely misunderstood and not taken seriously. I don't believe this is related to my location.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2020-08-14T12:29:29Z</dcterms:modified>
  <cp:category/>
</cp:coreProperties>
</file>