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012"/>
        <w:tblLook w:firstRow="1" w:lastRow="0" w:firstColumn="0" w:lastColumn="0" w:noHBand="0" w:noVBand="1"/>
      </w:tblPr>
      <w:tblGrid>
        <w:gridCol w:w="2221"/>
        <w:gridCol w:w="547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R_1ikgqFnGistaSQl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Chronic Pain/Illness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a student, I have my own beautiful apartment in my study town Emden. Most of the time, however, I like to spend my time with my partner who runs a farm. I cling with heart and soul to this place - a small farm in the middle of a growing village that has everything you need: doctors, banks, shops. My own apartment in Emden is very comfortable and centrally located, but I don&amp;#39;t feel at home in the city or particularly safe in my part of town: a local resident was recently stabbed by drug addicts in the neighborhood, and garbage is often in around town.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2020-08-14T12:32:47Z</dcterms:modified>
  <cp:category/>
</cp:coreProperties>
</file>