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6033"/>
        <w:tblLook w:firstRow="1" w:lastRow="0" w:firstColumn="0" w:lastColumn="0" w:noHBand="0" w:noVBand="1"/>
      </w:tblPr>
      <w:tblGrid>
        <w:gridCol w:w="2221"/>
        <w:gridCol w:w="33812"/>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R_1jAJPKIevf6L3Yt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Canada</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Asian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The location I live in is very open and is very safe. It has friendly neighbors and is also a diverse neighborhood. I do find it easy to go for walks and hang out with some of my neighbors constantly which helps with my mental health and helps me develop more relationships. However, it's the other stuff revolving my life that can impact my health.</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2020-08-14T12:19:08Z</dcterms:modified>
  <cp:category/>
</cp:coreProperties>
</file>