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540"/>
        <w:tblLook w:firstRow="1" w:lastRow="0" w:firstColumn="0" w:lastColumn="0" w:noHBand="0" w:noVBand="1"/>
      </w:tblPr>
      <w:tblGrid>
        <w:gridCol w:w="2221"/>
        <w:gridCol w:w="253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R_1jcDmYClNlQSor8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well-off/middle-class area which is why my responses reflect that my living conditions are great and my mental health is mostly stable. That doesnâ€™t really do much for the goals that I would prefer to be achieving or have achieved however.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2020-08-14T12:22:49Z</dcterms:modified>
  <cp:category/>
</cp:coreProperties>
</file>