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8361"/>
        <w:tblLook w:firstRow="1" w:lastRow="0" w:firstColumn="0" w:lastColumn="0" w:noHBand="0" w:noVBand="1"/>
      </w:tblPr>
      <w:tblGrid>
        <w:gridCol w:w="2221"/>
        <w:gridCol w:w="76140"/>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R_1jq6J5gzR7WlWCC</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Gay</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Larger Bodied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 State of West Virginia does not protect LGBTQ+ citizens from discrimination in housing, employment, etc. I'm fortunate to have a support system, and I believe I live and work in open-minded settings, or I at least surround myself with open-minded individuals. However, I know not all queer people in the Mountain State have the same privilege, including my boyfriend... My partner of 10+ years is closeted to his conservative family. Although I believe they know (because how could they not know?), they seem to go out of their way to make comments against the LGBTQ community. This undoubtedly causes tension in our relationship. One Example: The secrets cause us to spend the holidays separated. We don't have the luxury straight couples have in their communities.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2020-08-14T12:14:06Z</dcterms:modified>
  <cp:category/>
</cp:coreProperties>
</file>