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176"/>
        <w:tblLook w:firstRow="1" w:lastRow="0" w:firstColumn="0" w:lastColumn="0" w:noHBand="0" w:noVBand="1"/>
      </w:tblPr>
      <w:tblGrid>
        <w:gridCol w:w="2221"/>
        <w:gridCol w:w="299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R_1juOmirDq6eSFh1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Chester WV and Hancock County in general has just been really bad for my mental health. From the little help of Oak Glen Middle and High School which I switched to an online school, to the environment of the area itself. Since I moved to Pittsburgh recently for college I have been doing so much better.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2020-08-14T12:15:54Z</dcterms:modified>
  <cp:category/>
</cp:coreProperties>
</file>