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4543"/>
        <w:tblLook w:firstRow="1" w:lastRow="0" w:firstColumn="0" w:lastColumn="0" w:noHBand="0" w:noVBand="1"/>
      </w:tblPr>
      <w:tblGrid>
        <w:gridCol w:w="2221"/>
        <w:gridCol w:w="423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R_1l4Ch11Wakrk2Go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currently am in college and that environment makes me more open to talking about aspects of my identity than where I've lived before. I also feel safe with the friends and relationships I've formed on campus, especially since the campus is a fairly open and accepting place. It is easier for me to get therapy/healthcare here because it is provided under my tuition and I don't have to go through my parents for medical care anymore.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2020-08-14T12:13:58Z</dcterms:modified>
  <cp:category/>
</cp:coreProperties>
</file>