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4721"/>
        <w:tblLook w:firstRow="1" w:lastRow="0" w:firstColumn="0" w:lastColumn="0" w:noHBand="0" w:noVBand="1"/>
      </w:tblPr>
      <w:tblGrid>
        <w:gridCol w:w="2221"/>
        <w:gridCol w:w="8250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R_2Cea9uKUqFqDgtg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Kingdom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Immigrant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like I was lucky, growing up privileged growing up in an environment where I never lacked anything and always had people around. I therefore never faced challenges that a part of the population does face, there was always support on all aspects. </w:t>
              <w:br/>
              <w:t xml:space="preserve">Still, it came with its own set of challenges. The need for success at all cost came from a very high pressure from family and school but it has toughed me up and made me adverse in front all challenges, but it has also distanced me from a lot of issues, meaning I can look at issues sometimes from a very cold and distant perspective. Even if I don't have any complicated relation with sexuality or identity, I know this would have been a problem in my family coming from a privileged catholic background. In general term I was very lucky and had access to health services and always felt safe.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2020-08-14T12:10:36Z</dcterms:modified>
  <cp:category/>
</cp:coreProperties>
</file>