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690"/>
        <w:tblLook w:firstRow="1" w:lastRow="0" w:firstColumn="0" w:lastColumn="0" w:noHBand="0" w:noVBand="1"/>
      </w:tblPr>
      <w:tblGrid>
        <w:gridCol w:w="2221"/>
        <w:gridCol w:w="1746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R_2EauihCzjTwyPR3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locations can affect your health, safety and relationships. Poorer, generally more rural areas have higher levels of pollution, crime rates, and less access to resources.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2020-08-14T12:24:16Z</dcterms:modified>
  <cp:category/>
</cp:coreProperties>
</file>