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241"/>
        <w:tblLook w:firstRow="1" w:lastRow="0" w:firstColumn="0" w:lastColumn="0" w:noHBand="0" w:noVBand="1"/>
      </w:tblPr>
      <w:tblGrid>
        <w:gridCol w:w="2221"/>
        <w:gridCol w:w="710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R_2QPrLqLL6dOwyq8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Actively Religious/Athiest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city that I do not feel rejected in, and have many queer friends. I have also been given the opportunity to specialize my work as a psychologist in younger queer communities. I have never felt threatened as a cis bi man, and I have never felt unsafe being affectionate Rin public with my non-binary husband. My location has sometimes led me to feel unsafe over the past several years in a different, extremely specific wayâ€”in my apartment I can often hear my downstairs neighbor, and he is routinely aggressive. I have come to hate living in a city because of this circumstance and it has had some negative impact on my health because it is sometimes difficult to sleep through his noise and has caused panic attacks.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2020-08-14T12:31:35Z</dcterms:modified>
  <cp:category/>
</cp:coreProperties>
</file>