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0316"/>
        <w:tblLook w:firstRow="1" w:lastRow="0" w:firstColumn="0" w:lastColumn="0" w:noHBand="0" w:noVBand="1"/>
      </w:tblPr>
      <w:tblGrid>
        <w:gridCol w:w="2221"/>
        <w:gridCol w:w="380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R_2SdZYnSbftL2GBl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This week has been a bad couple of weeks for me and I actively seek out professional medical health via a therapy, so my answers are very honest but a bit more depressing than usual. I'm in a long-distance relationship with my fiance (I'm in NYC, he's in Maine), so that's a huge pressing factor on my happiness. Other than that, the stress I experience at work/school is also immaculate.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2020-08-14T12:09:21Z</dcterms:modified>
  <cp:category/>
</cp:coreProperties>
</file>