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1188"/>
        <w:tblLook w:firstRow="1" w:lastRow="0" w:firstColumn="0" w:lastColumn="0" w:noHBand="0" w:noVBand="1"/>
      </w:tblPr>
      <w:tblGrid>
        <w:gridCol w:w="2221"/>
        <w:gridCol w:w="3896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R_2Vm7OnYs4fQnkkp</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Actively Religious/Athiest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Where I am located has changed my outlook dramatically as I went from a small town to a large city. Small cities make it difficult to find resources and connect with like minded people and support, but larger cities by design have more options to work with and more people to reach out to. I feel much more confident and open regarding my sexual and gender identities now that I am in a larger city.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2020-08-14T12:29:59Z</dcterms:modified>
  <cp:category/>
</cp:coreProperties>
</file>