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1416"/>
        <w:tblLook w:firstRow="1" w:lastRow="0" w:firstColumn="0" w:lastColumn="0" w:noHBand="0" w:noVBand="1"/>
      </w:tblPr>
      <w:tblGrid>
        <w:gridCol w:w="2221"/>
        <w:gridCol w:w="29195"/>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R_2afPDIrZOMnoFiQ</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Canada</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Asian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2nd Generation Immigrant</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location plays a huge role in my safety, health and relationships. Most of my immediate family live within the same area. My school is very close to home which makes it convenient to see my friends often. There are several parks and recreational centres near me to help with my mental health.</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2020-08-14T12:20:45Z</dcterms:modified>
  <cp:category/>
</cp:coreProperties>
</file>