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737"/>
        <w:tblLook w:firstRow="1" w:lastRow="0" w:firstColumn="0" w:lastColumn="0" w:noHBand="0" w:noVBand="1"/>
      </w:tblPr>
      <w:tblGrid>
        <w:gridCol w:w="2221"/>
        <w:gridCol w:w="305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R_2dp96Kyn4lvlo4T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doesnâ€™t really impact much, however because I am originally from a smaller rural town, being gay or apart of the LGBT community was highly frowned upon. In regards to health, I do have to travel a distance to be able to see competent specialists for my chronic illnesses, which is inconvenient.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2020-08-14T12:12:03Z</dcterms:modified>
  <cp:category/>
</cp:coreProperties>
</file>