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9597"/>
        <w:tblLook w:firstRow="1" w:lastRow="0" w:firstColumn="0" w:lastColumn="0" w:noHBand="0" w:noVBand="1"/>
      </w:tblPr>
      <w:tblGrid>
        <w:gridCol w:w="2221"/>
        <w:gridCol w:w="7737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R_2pPoHDC2r2u4At6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 mit Turkish Background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 an Anatolian Swabian you often have difficulties in the application process. But when it comes to talking, I&amp;#39;ve never received a refusal. However, I had a maximum of 5 interviews for 200 applications. My German fellow students without a migration background were hired more quickly. So I started my own company. Because I donâ € ™ t want to be judged by people who donâ € ™ t want to see my qualifications behind my â € œoutsideâ €. Many of my friends in 2nd / 3rd / 4th Generation can share similar experiences. Otherwise I have never experienced racism in Germany until 2012, but since then there have been &amp;quot;racist problems&amp;quot; almost every day. Germany is a very social, innovative, safe and fair country. Without said everyday racism it would still be a dream. :)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2020-08-14T12:32:49Z</dcterms:modified>
  <cp:category/>
</cp:coreProperties>
</file>