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0590"/>
        <w:tblLook w:firstRow="1" w:lastRow="0" w:firstColumn="0" w:lastColumn="0" w:noHBand="0" w:noVBand="1"/>
      </w:tblPr>
      <w:tblGrid>
        <w:gridCol w:w="2221"/>
        <w:gridCol w:w="118370"/>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R_2rH0wOOmpZV8eru</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situation is definitely geographically-related, though it's complicated since I moved across the country about 2 years ago. I was originally living in a very conservative state in a community that shared my religious views, but was not supportive of queer identities. That was really challenging for me because there was no social support for me in my queer development, and that didn't change until I moved to where I am now. In my current location, I'm experiencing the opposite -- my queer identity is (usually) affirmed, but as I've grappled with how my religious identity intersects with that, I've found little support. People don't understand the tension as well as I would like them to, and I've had to wrestle with the tension pretty much alone. Now I'm in a place where I'm rejecting in my religious identity -- an experience with nuances that others don't seem to understand either. </w:t>
              <w:br/>
              <w:t xml:space="preserve"/>
              <w:br/>
              <w:t xml:space="preserve">Because I spend most of my time in a big city, I feel safe because I'm just one of millions, but that also feels really isolating and erasing. I've struggled a lot more to understand who I am and who I want to be in such a context, because the tight-knit community I grew up in formed my identity even though it ultimately pushed me away.</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2020-08-14T12:15:02Z</dcterms:modified>
  <cp:category/>
</cp:coreProperties>
</file>