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2709"/>
        <w:tblLook w:firstRow="1" w:lastRow="0" w:firstColumn="0" w:lastColumn="0" w:noHBand="0" w:noVBand="1"/>
      </w:tblPr>
      <w:tblGrid>
        <w:gridCol w:w="2221"/>
        <w:gridCol w:w="604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R_2ru6Yt4mj4I15Jb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Certain geographic locations can identify the socioeconomic status of an individual. For example, an area with many amenities such as malls, restaurants, hospitals, etc. would most likely include residents with a higher socioeconomic status than an area with a lot of poverty. Living in a country like Canada, which is a first world country, and a neighbourhood that is surrounded by the essentials and more, it makes my life a lot easier and privileged. Health and safety wise, I live in an area where crime is low, security is high, hospitals are just minutes away and friends/family are a short drive or public transit ride away.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2020-08-14T12:22:00Z</dcterms:modified>
  <cp:category/>
</cp:coreProperties>
</file>