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298"/>
        <w:tblLook w:firstRow="1" w:lastRow="0" w:firstColumn="0" w:lastColumn="0" w:noHBand="0" w:noVBand="1"/>
      </w:tblPr>
      <w:tblGrid>
        <w:gridCol w:w="2221"/>
        <w:gridCol w:w="320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R_2sYEAh4zG6Oe8QY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donâ€™t necessarily live in a â€œbadâ€ area, but itâ€™s not completely safe. The homeless population is high and the drug use is high as well. I have to go out of my city to get the health care I need. Itâ€™s still the same county, but outside of Anaheim. My church is outside of my city as well and Iâ€™m thankful for this.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2020-08-14T12:21:23Z</dcterms:modified>
  <cp:category/>
</cp:coreProperties>
</file>