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267"/>
        <w:tblLook w:firstRow="1" w:lastRow="0" w:firstColumn="0" w:lastColumn="0" w:noHBand="0" w:noVBand="1"/>
      </w:tblPr>
      <w:tblGrid>
        <w:gridCol w:w="2221"/>
        <w:gridCol w:w="410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R_2t5UaOL5JzVVkOQ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First, some of those questions do not have answers that are Likert scale easy.</w:t>
              <w:br/>
              <w:t xml:space="preserve"/>
              <w:br/>
              <w:t xml:space="preserve">My geographic location in relationship to my parents and the rest of both my blood family and family of choice is the largest impact on me.  I have lived in several parts of the country and that has effected me the most.  beyond that, I tend to be indifferent to where I am and more interested in how long it takes me to go where I want to be.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2020-08-14T12:17:45Z</dcterms:modified>
  <cp:category/>
</cp:coreProperties>
</file>