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822"/>
        <w:tblLook w:firstRow="1" w:lastRow="0" w:firstColumn="0" w:lastColumn="0" w:noHBand="0" w:noVBand="1"/>
      </w:tblPr>
      <w:tblGrid>
        <w:gridCol w:w="2221"/>
        <w:gridCol w:w="366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R_2v7eLS1hxuR7unh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Questioning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growing up in Missouri as a conservative state overall meant I had very little access to positive representation of LGBTQ+ people. However, I think I was very privileged otherwise and had access to resources for mental and physical health. I also believe my poor mental health comes from childhood experiences/traumas that are not gender/sexual orientation related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2020-08-14T12:30:04Z</dcterms:modified>
  <cp:category/>
</cp:coreProperties>
</file>