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9307"/>
        <w:tblLook w:firstRow="1" w:lastRow="0" w:firstColumn="0" w:lastColumn="0" w:noHBand="0" w:noVBand="1"/>
      </w:tblPr>
      <w:tblGrid>
        <w:gridCol w:w="2221"/>
        <w:gridCol w:w="4708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R_2xVRkkm8EMNghKy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Nigeria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Response (Left Blank)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an academic environment where the focus is almost always on education. This it's difficult to cultivate strong interpersonal relationships, but not impossible. </w:t>
              <w:br/>
              <w:t xml:space="preserve">With regard to mental health, it's also difficult to physically find a confidant. There are hardly any professional psychiatrists around, and the greater population here knows little or nothing about mental health.</w:t>
              <w:br/>
              <w:t xml:space="preserve">There are thieves and robbers, but of course I try to avoid trouble by staying safe and ensuring my security.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2020-08-14T12:18:25Z</dcterms:modified>
  <cp:category/>
</cp:coreProperties>
</file>