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136"/>
        <w:tblLook w:firstRow="1" w:lastRow="0" w:firstColumn="0" w:lastColumn="0" w:noHBand="0" w:noVBand="1"/>
      </w:tblPr>
      <w:tblGrid>
        <w:gridCol w:w="2221"/>
        <w:gridCol w:w="2891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R_3D6GJLNxSvCM1SU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like where I live, even if it took some getting used to living in a small town. I can&amp;#39;t say whether it influences me, though, apart from the fact that I&amp;#39;m missing a few things, such as shopping opportunities and a hairdresser, which have an impact on my well-being, albeit not significantly.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2020-08-14T12:33:33Z</dcterms:modified>
  <cp:category/>
</cp:coreProperties>
</file>