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8137"/>
        <w:tblLook w:firstRow="1" w:lastRow="0" w:firstColumn="0" w:lastColumn="0" w:noHBand="0" w:noVBand="1"/>
      </w:tblPr>
      <w:tblGrid>
        <w:gridCol w:w="2221"/>
        <w:gridCol w:w="45917"/>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R_3Eu3BDsMHuaHTGx</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Bisexual</w:t>
            </w:r>
          </w:p>
        </w:tc>
      </w:tr>
      <w:tr>
        <w:trPr>
          <w:cantSplit/>
          <w:trHeight w:val="411"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Multi-Racial</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Unemployed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Living in Inglewood, CA while the city undergoes many changes, such as the building of the new Rams football stadium and the Forum, I've had to watch as my city and neighborhood are slowly gentrified. There are physical and mental ramifications of this, such as the increased noise level, increased foot and vehicle traffic, and it is mentally draining having to experience the push out of the members of my community by those hoping to "improve" the state of the city.</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2020-08-14T12:26:51Z</dcterms:modified>
  <cp:category/>
</cp:coreProperties>
</file>