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2248"/>
        <w:tblLook w:firstRow="1" w:lastRow="0" w:firstColumn="0" w:lastColumn="0" w:noHBand="0" w:noVBand="1"/>
      </w:tblPr>
      <w:tblGrid>
        <w:gridCol w:w="2221"/>
        <w:gridCol w:w="500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R_3F3xxoNgCgb9hwl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Addiction/In Recovery</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sexuality. For mental health and access to trans related services, obviously living in the USA is not idea no matter your location with the expense of health care.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2020-08-14T12:29:50Z</dcterms:modified>
  <cp:category/>
</cp:coreProperties>
</file>