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770"/>
        <w:tblLook w:firstRow="1" w:lastRow="0" w:firstColumn="0" w:lastColumn="0" w:noHBand="0" w:noVBand="1"/>
      </w:tblPr>
      <w:tblGrid>
        <w:gridCol w:w="2221"/>
        <w:gridCol w:w="415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R_3F54TchOqcWrl62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current place of residence definitely influences my current well-being. I have many friends around me, the opportunity to escape everyday life by bike or on foot and to go into nature. There are about 4 supermarkets in the immediate vicinity and I have enough light in the room. In addition, the whole health system in Finland is good, so I am not worried if something should happen to me and medical treatment is needed.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2020-08-14T12:33:07Z</dcterms:modified>
  <cp:category/>
</cp:coreProperties>
</file>